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Editable Word Table Feasibility Test</w:t>
      </w:r>
    </w:p>
    <w:p>
      <w:r>
        <w:t>This document uses real Word tables, not table screenshots. It is a separate test for the UMC report workflow.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</w:tblPr>
      <w:tblGrid>
        <w:gridCol w:w="1550"/>
        <w:gridCol w:w="1800"/>
        <w:gridCol w:w="2600"/>
        <w:gridCol w:w="1600"/>
        <w:gridCol w:w="1810"/>
      </w:tblGrid>
      <w:tr>
        <w:trPr>
          <w:tblHeader w:val="true"/>
        </w:trPr>
        <w:tc>
          <w:tcPr>
            <w:tcW w:type="dxa" w:w="155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Dimension</w:t>
            </w:r>
          </w:p>
        </w:tc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Indicator</w:t>
            </w:r>
          </w:p>
        </w:tc>
        <w:tc>
          <w:tcPr>
            <w:tcW w:type="dxa" w:w="2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Unit / scale</w:t>
            </w:r>
          </w:p>
        </w:tc>
        <w:tc>
          <w:tcPr>
            <w:tcW w:type="dxa" w:w="1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Source</w:t>
            </w:r>
          </w:p>
        </w:tc>
        <w:tc>
          <w:tcPr>
            <w:tcW w:type="dxa" w:w="1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Method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Connectivity</w:t>
            </w:r>
          </w:p>
        </w:tc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Mobile data usage</w:t>
            </w:r>
          </w:p>
        </w:tc>
        <w:tc>
          <w:tcPr>
            <w:tcW w:type="dxa" w:w="2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0-1 normalized score; higher is better</w:t>
            </w:r>
          </w:p>
        </w:tc>
        <w:tc>
          <w:tcPr>
            <w:tcW w:type="dxa" w:w="1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Telecom traffic data</w:t>
            </w:r>
          </w:p>
        </w:tc>
        <w:tc>
          <w:tcPr>
            <w:tcW w:type="dxa" w:w="1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Min-max normalization by district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Availability</w:t>
            </w:r>
          </w:p>
        </w:tc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Digital service access points</w:t>
            </w:r>
          </w:p>
        </w:tc>
        <w:tc>
          <w:tcPr>
            <w:tcW w:type="dxa" w:w="2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Facilities per population; higher is better</w:t>
            </w:r>
          </w:p>
        </w:tc>
        <w:tc>
          <w:tcPr>
            <w:tcW w:type="dxa" w:w="1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Seoul administrative data</w:t>
            </w:r>
          </w:p>
        </w:tc>
        <w:tc>
          <w:tcPr>
            <w:tcW w:type="dxa" w:w="1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Population-adjusted district ratio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Affordability</w:t>
            </w:r>
          </w:p>
        </w:tc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Service cost burden</w:t>
            </w:r>
          </w:p>
        </w:tc>
        <w:tc>
          <w:tcPr>
            <w:tcW w:type="dxa" w:w="2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0-1 normalized affordability score; higher is better</w:t>
            </w:r>
          </w:p>
        </w:tc>
        <w:tc>
          <w:tcPr>
            <w:tcW w:type="dxa" w:w="1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Price and income proxies</w:t>
            </w:r>
          </w:p>
        </w:tc>
        <w:tc>
          <w:tcPr>
            <w:tcW w:type="dxa" w:w="1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Direction-aligned rescaling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Digital Skills</w:t>
            </w:r>
          </w:p>
        </w:tc>
        <w:tc>
          <w:tcPr>
            <w:tcW w:type="dxa" w:w="18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Self-reported competency</w:t>
            </w:r>
          </w:p>
        </w:tc>
        <w:tc>
          <w:tcPr>
            <w:tcW w:type="dxa" w:w="2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Survey score, weighted</w:t>
            </w:r>
          </w:p>
        </w:tc>
        <w:tc>
          <w:tcPr>
            <w:tcW w:type="dxa" w:w="16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Seoul survey / SKT survey</w:t>
            </w:r>
          </w:p>
        </w:tc>
        <w:tc>
          <w:tcPr>
            <w:tcW w:type="dxa" w:w="181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Survey weights documented separately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