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F7B9" w14:textId="77777777" w:rsidR="005F12DE" w:rsidRPr="000F27DF" w:rsidRDefault="00000000">
      <w:pPr>
        <w:pStyle w:val="1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분석 3: 다층모형(HLM) 변수 사양 및 연구 모형</w:t>
      </w:r>
    </w:p>
    <w:p w14:paraId="49A26C51" w14:textId="77777777" w:rsidR="005F12DE" w:rsidRPr="000F27DF" w:rsidRDefault="00000000">
      <w:pPr>
        <w:spacing w:after="2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i/>
          <w:iCs/>
          <w:color w:val="555555"/>
          <w:sz w:val="21"/>
          <w:szCs w:val="21"/>
        </w:rPr>
        <w:t>UMC 해커톤 — 서울 디지털 격차 프로젝트</w:t>
      </w:r>
    </w:p>
    <w:p w14:paraId="77223FDB" w14:textId="77777777" w:rsidR="005F12DE" w:rsidRPr="000F27DF" w:rsidRDefault="00000000">
      <w:pPr>
        <w:pStyle w:val="2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1. 연구 모형</w:t>
      </w:r>
    </w:p>
    <w:p w14:paraId="19EB1DCC" w14:textId="338C423E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본 연구는 </w:t>
      </w: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Van Dijk(2005)의 자원 전유 이론(Resources &amp; Appropriation Theory)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과 </w:t>
      </w: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ITU의 보편적 의미있는 연결성(UMC) 프레임워크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를 결합하여, 서울시 25개 자치구</w:t>
      </w:r>
      <w:r w:rsidR="00E43038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 xml:space="preserve">에 거주하는 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개인의 디지털 서비스 이용 다양성을 설명하는 다층모형을 구축한다.</w:t>
      </w:r>
      <w:r w:rsidR="002765C6">
        <w:rPr>
          <w:rFonts w:ascii="KoPubWorld돋움체 Medium" w:eastAsia="KoPubWorld돋움체 Medium" w:hAnsi="KoPubWorld돋움체 Medium" w:cs="KoPubWorld돋움체 Medium" w:hint="eastAsia"/>
        </w:rPr>
        <w:t xml:space="preserve"> 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핵심 연구 질문은 다음과 같다: </w:t>
      </w: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개인의 디지털 서비스 활용이 주로 개인 수준의 사회경제적 특성에 의해 결정되는가, 아니면 자치구 수준의 UMC 환경(인프라·역량·안전)이 유의미한 추가 설명력을 가지는가?</w:t>
      </w:r>
    </w:p>
    <w:p w14:paraId="6BE2CB96" w14:textId="0960A3B1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Van Dijk</w:t>
      </w:r>
      <w:r w:rsidR="00612905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(2015)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의 모형에 따르면, 디지털 격차는 순차적 과정을 거친다: 범주적 불평등 → 자원 분배 불평등 → 동기적 접근 → 물질적 접근 → 역량 접근 → 이용 접근 → 참여 성과. 이 과정에서 개인 수준(Level 1)의 사회인구학적 특성과 디지털 역량이 직접적으로 작용하고, 자치구 수준(Level 2)의 UMC 환경이 맥락적 기회구조로서 개인 수준의 관계를 조절한다.</w:t>
      </w:r>
    </w:p>
    <w:p w14:paraId="76A92756" w14:textId="77777777" w:rsidR="005F12DE" w:rsidRPr="000F27DF" w:rsidRDefault="00000000">
      <w:pPr>
        <w:spacing w:after="60" w:line="276" w:lineRule="auto"/>
        <w:jc w:val="center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[그림 1] 연구 모형: 다층 인과구조</w:t>
      </w:r>
    </w:p>
    <w:p w14:paraId="5256F32B" w14:textId="77777777" w:rsidR="005F12DE" w:rsidRPr="000F27DF" w:rsidRDefault="00000000">
      <w:pPr>
        <w:spacing w:after="100"/>
        <w:jc w:val="center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noProof/>
        </w:rPr>
        <w:drawing>
          <wp:inline distT="0" distB="0" distL="0" distR="0" wp14:anchorId="0E685068" wp14:editId="6E7C729A">
            <wp:extent cx="4063680" cy="345412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162" cy="346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5E0C" w14:textId="176BDA7F" w:rsidR="005F12DE" w:rsidRPr="000F27DF" w:rsidRDefault="00000000" w:rsidP="00612D62">
      <w:pPr>
        <w:spacing w:after="200" w:line="276" w:lineRule="auto"/>
        <w:jc w:val="center"/>
        <w:rPr>
          <w:rFonts w:ascii="KoPubWorld돋움체 Medium" w:eastAsia="KoPubWorld돋움체 Medium" w:hAnsi="KoPubWorld돋움체 Medium" w:cs="KoPubWorld돋움체 Medium" w:hint="eastAsia"/>
        </w:rPr>
      </w:pPr>
      <w:r w:rsidRPr="000F27DF">
        <w:rPr>
          <w:rFonts w:ascii="KoPubWorld돋움체 Medium" w:eastAsia="KoPubWorld돋움체 Medium" w:hAnsi="KoPubWorld돋움체 Medium" w:cs="KoPubWorld돋움체 Medium"/>
          <w:i/>
          <w:iCs/>
          <w:color w:val="555555"/>
          <w:sz w:val="18"/>
          <w:szCs w:val="18"/>
        </w:rPr>
        <w:t>주: 실선 화살표는 직접효과, 점선 화살표는 교차수준 상호작용 및 직접효과(c' 경로)를 나타냄.</w:t>
      </w:r>
    </w:p>
    <w:p w14:paraId="16EF4206" w14:textId="77777777" w:rsidR="003C326A" w:rsidRPr="000F27DF" w:rsidRDefault="003C326A" w:rsidP="003C326A">
      <w:pPr>
        <w:pStyle w:val="2"/>
        <w:rPr>
          <w:rFonts w:ascii="KoPubWorld돋움체 Medium" w:eastAsia="KoPubWorld돋움체 Medium" w:hAnsi="KoPubWorld돋움체 Medium" w:cs="KoPubWorld돋움체 Medium" w:hint="eastAsia"/>
        </w:rPr>
      </w:pPr>
      <w:r>
        <w:rPr>
          <w:rFonts w:ascii="KoPubWorld돋움체 Medium" w:eastAsia="KoPubWorld돋움체 Medium" w:hAnsi="KoPubWorld돋움체 Medium" w:cs="KoPubWorld돋움체 Medium" w:hint="eastAsia"/>
        </w:rPr>
        <w:lastRenderedPageBreak/>
        <w:t>2</w:t>
      </w:r>
      <w:r w:rsidRPr="000F27DF">
        <w:rPr>
          <w:rFonts w:ascii="KoPubWorld돋움체 Medium" w:eastAsia="KoPubWorld돋움체 Medium" w:hAnsi="KoPubWorld돋움체 Medium" w:cs="KoPubWorld돋움체 Medium"/>
        </w:rPr>
        <w:t xml:space="preserve">. </w:t>
      </w:r>
      <w:r>
        <w:rPr>
          <w:rFonts w:ascii="KoPubWorld돋움체 Medium" w:eastAsia="KoPubWorld돋움체 Medium" w:hAnsi="KoPubWorld돋움체 Medium" w:cs="KoPubWorld돋움체 Medium" w:hint="eastAsia"/>
        </w:rPr>
        <w:t>Variable</w:t>
      </w:r>
    </w:p>
    <w:p w14:paraId="73C49441" w14:textId="77777777" w:rsidR="003C326A" w:rsidRPr="000F27DF" w:rsidRDefault="003C326A" w:rsidP="003C326A">
      <w:pPr>
        <w:spacing w:after="12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아래 표는 분석에 사용되는 모든 변수의 정의, 조작화, 이론적 근거를 요약한다.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2400"/>
        <w:gridCol w:w="1800"/>
        <w:gridCol w:w="800"/>
        <w:gridCol w:w="2522"/>
      </w:tblGrid>
      <w:tr w:rsidR="003C326A" w:rsidRPr="000F27DF" w14:paraId="27EB0F63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864AB" w14:textId="77777777" w:rsidR="003C326A" w:rsidRPr="000F27DF" w:rsidRDefault="003C326A" w:rsidP="00B60D1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FFFFFF"/>
                <w:sz w:val="17"/>
                <w:szCs w:val="17"/>
              </w:rPr>
              <w:t>역할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D30E" w14:textId="77777777" w:rsidR="003C326A" w:rsidRPr="000F27DF" w:rsidRDefault="003C326A" w:rsidP="00B60D1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FFFFFF"/>
                <w:sz w:val="17"/>
                <w:szCs w:val="17"/>
              </w:rPr>
              <w:t>변수명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9F3E" w14:textId="77777777" w:rsidR="003C326A" w:rsidRPr="000F27DF" w:rsidRDefault="003C326A" w:rsidP="00B60D1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FFFFFF"/>
                <w:sz w:val="17"/>
                <w:szCs w:val="17"/>
              </w:rPr>
              <w:t>설명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0196" w14:textId="77777777" w:rsidR="003C326A" w:rsidRPr="000F27DF" w:rsidRDefault="003C326A" w:rsidP="00B60D1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FFFFFF"/>
                <w:sz w:val="17"/>
                <w:szCs w:val="17"/>
              </w:rPr>
              <w:t>조작화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BF32" w14:textId="77777777" w:rsidR="003C326A" w:rsidRPr="000F27DF" w:rsidRDefault="003C326A" w:rsidP="00B60D1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FFFFFF"/>
                <w:sz w:val="17"/>
                <w:szCs w:val="17"/>
              </w:rPr>
              <w:t>척도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A3A0" w14:textId="77777777" w:rsidR="003C326A" w:rsidRPr="000F27DF" w:rsidRDefault="003C326A" w:rsidP="00B60D1D">
            <w:pPr>
              <w:jc w:val="center"/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FFFFFF"/>
                <w:sz w:val="17"/>
                <w:szCs w:val="17"/>
              </w:rPr>
              <w:t>이론/출처</w:t>
            </w:r>
          </w:p>
        </w:tc>
      </w:tr>
      <w:tr w:rsidR="003C326A" w:rsidRPr="000F27DF" w14:paraId="1FFBEB5C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992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A0FC5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1F4E79"/>
                <w:sz w:val="17"/>
                <w:szCs w:val="17"/>
              </w:rPr>
              <w:t>종속변수 — 디지털 서비스 이용 다양성 지수</w:t>
            </w:r>
          </w:p>
        </w:tc>
      </w:tr>
      <w:tr w:rsidR="003C326A" w:rsidRPr="000F27DF" w14:paraId="2EED5747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E664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DV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461F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Q3_1~Q3_8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EB27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디지털 서비스 이용 빈도 (생활정보, 전자상거래, 금융, 공공, 커뮤니케이션, 여가, 교육, 모바일결제)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137A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8문항 평균 (1~4점)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2721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4점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507EA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Van Dijk 이용다양성; ITU UMC 서울서베이</w:t>
            </w:r>
          </w:p>
        </w:tc>
      </w:tr>
      <w:tr w:rsidR="003C326A" w:rsidRPr="000F27DF" w14:paraId="67F585DC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992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0C44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1F4E79"/>
                <w:sz w:val="17"/>
                <w:szCs w:val="17"/>
              </w:rPr>
              <w:t>Level 1 통제변수 — 사회인구학적 특성</w:t>
            </w:r>
          </w:p>
        </w:tc>
      </w:tr>
      <w:tr w:rsidR="003C326A" w:rsidRPr="000F27DF" w14:paraId="358811D1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3E1C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통제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954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C913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만 나이 (연속형)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9B6C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총평균 센터링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3696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연속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C7E3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Scheerder et al. (2017)</w:t>
            </w:r>
          </w:p>
        </w:tc>
      </w:tr>
      <w:tr w:rsidR="003C326A" w:rsidRPr="000F27DF" w14:paraId="6CE46939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3F84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통제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7476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SEX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8D9C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성별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8318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더미 (여성=1)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1F7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이항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ADEDC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ITU 성별 디지털 격차</w:t>
            </w:r>
          </w:p>
        </w:tc>
      </w:tr>
      <w:tr w:rsidR="003C326A" w:rsidRPr="000F27DF" w14:paraId="04422253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59E9B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통제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4D31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DQ1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2312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최종학력 (7단계)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5451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순서형 (1~7)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D54B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1~7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68C53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Van Dijk 위치적 범주</w:t>
            </w:r>
          </w:p>
        </w:tc>
      </w:tr>
      <w:tr w:rsidR="003C326A" w:rsidRPr="000F27DF" w14:paraId="022122E3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84B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통제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6EE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DQ3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A58FA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직업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41AE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범주형 → 더미셋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FC16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범주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A372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노동지위</w:t>
            </w:r>
          </w:p>
        </w:tc>
      </w:tr>
      <w:tr w:rsidR="003C326A" w:rsidRPr="000F27DF" w14:paraId="0C17407C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031B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통제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7F5D4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DISABLED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C0C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등록장애인 여부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4D76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더미 (장애=1)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954D3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이항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7FBE4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NIA 취약계층</w:t>
            </w:r>
          </w:p>
        </w:tc>
      </w:tr>
      <w:tr w:rsidR="003C326A" w:rsidRPr="000F27DF" w14:paraId="01CF1871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992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82AD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1F4E79"/>
                <w:sz w:val="17"/>
                <w:szCs w:val="17"/>
              </w:rPr>
              <w:t>Level 1 매개변수 — 개인 UMC 차원</w:t>
            </w:r>
          </w:p>
        </w:tc>
      </w:tr>
      <w:tr w:rsidR="003C326A" w:rsidRPr="000F27DF" w14:paraId="55CD978A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9689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매개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2668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Q7_1~Q7_6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264F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디지털시민성 (접근성, 커뮤니케이션, 보안, 정보리터러시, 윤리)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79D2B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6문항 평균 (1~5점) ※ 2024 전용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390A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5점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9F3E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UMC Skills+Safety Van Dijk 역량접근</w:t>
            </w:r>
          </w:p>
        </w:tc>
      </w:tr>
      <w:tr w:rsidR="003C326A" w:rsidRPr="000F27DF" w14:paraId="39249409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67B2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매개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5EAFC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Q9_1~Q9_3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49ECA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디지털전환 긍정 인식 (능력 중요성, 삶 결정력, 업무효율)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C6BAD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3문항 평균 (1~5점)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B797B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5점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02EE9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Van Dijk 동기적 접근 2023+2024 공통</w:t>
            </w:r>
          </w:p>
        </w:tc>
      </w:tr>
      <w:tr w:rsidR="003C326A" w:rsidRPr="000F27DF" w14:paraId="619EB43A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FEC9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매개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50F3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Q2A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F552B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디지털 기기 접근 다양성 (PC, 휴대전화, 스마트패드, 기타)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12C2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기기 수 합산 (0~4)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388E6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0~4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7B319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UMC Devices Van Dijk 물질적 접근</w:t>
            </w:r>
          </w:p>
        </w:tc>
      </w:tr>
      <w:tr w:rsidR="003C326A" w:rsidRPr="000F27DF" w14:paraId="410F718A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9922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EF5C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b/>
                <w:bCs/>
                <w:color w:val="1F4E79"/>
                <w:sz w:val="17"/>
                <w:szCs w:val="17"/>
              </w:rPr>
              <w:t>Level 2 — 자치구 구조적 맥락 (j = 25, 독립 출처)</w:t>
            </w:r>
          </w:p>
        </w:tc>
      </w:tr>
      <w:tr w:rsidR="003C326A" w:rsidRPr="000F27DF" w14:paraId="5957FFBF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3A22A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L2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0CF5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UMC_total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02622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자치구 종합 UMC 점수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3D027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Part 1 산출 (0~1)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52DE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0~1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FBB0F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ITU UMC 6차원 CQ+디지털역량조사+행정</w:t>
            </w:r>
          </w:p>
        </w:tc>
      </w:tr>
      <w:tr w:rsidR="003C326A" w:rsidRPr="000F27DF" w14:paraId="715550A5" w14:textId="77777777" w:rsidTr="00B60D1D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1F4D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L2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8970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2E75B6"/>
                <w:sz w:val="16"/>
                <w:szCs w:val="16"/>
              </w:rPr>
              <w:t>UMC 차원별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17DEE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Connectivity, Skills, Safety 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F133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차원별 정규화 점수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9EDEB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0~1</w:t>
            </w:r>
          </w:p>
        </w:tc>
        <w:tc>
          <w:tcPr>
            <w:tcW w:w="25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39A5" w14:textId="77777777" w:rsidR="003C326A" w:rsidRPr="000F27DF" w:rsidRDefault="003C326A" w:rsidP="00B60D1D">
            <w:pPr>
              <w:rPr>
                <w:rFonts w:ascii="KoPubWorld돋움체 Medium" w:eastAsia="KoPubWorld돋움체 Medium" w:hAnsi="KoPubWorld돋움체 Medium" w:cs="KoPubWorld돋움체 Medium"/>
              </w:rPr>
            </w:pPr>
            <w:r w:rsidRPr="000F27DF">
              <w:rPr>
                <w:rFonts w:ascii="KoPubWorld돋움체 Medium" w:eastAsia="KoPubWorld돋움체 Medium" w:hAnsi="KoPubWorld돋움체 Medium" w:cs="KoPubWorld돋움체 Medium"/>
                <w:color w:val="000000"/>
                <w:sz w:val="16"/>
                <w:szCs w:val="16"/>
              </w:rPr>
              <w:t>차원별 효과 비교 (보조 분석)</w:t>
            </w:r>
          </w:p>
        </w:tc>
      </w:tr>
    </w:tbl>
    <w:p w14:paraId="7103C4BF" w14:textId="77777777" w:rsidR="003C326A" w:rsidRDefault="003C326A" w:rsidP="003C326A">
      <w:pPr>
        <w:pStyle w:val="2"/>
        <w:spacing w:before="300"/>
        <w:rPr>
          <w:rFonts w:ascii="KoPubWorld돋움체 Medium" w:eastAsia="KoPubWorld돋움체 Medium" w:hAnsi="KoPubWorld돋움체 Medium" w:cs="KoPubWorld돋움체 Medium"/>
        </w:rPr>
      </w:pPr>
    </w:p>
    <w:p w14:paraId="7F3932A8" w14:textId="77777777" w:rsidR="003C326A" w:rsidRDefault="003C326A">
      <w:pPr>
        <w:widowControl/>
        <w:wordWrap/>
        <w:autoSpaceDE/>
        <w:autoSpaceDN/>
        <w:rPr>
          <w:rFonts w:ascii="KoPubWorld돋움체 Medium" w:eastAsia="KoPubWorld돋움체 Medium" w:hAnsi="KoPubWorld돋움체 Medium" w:cs="KoPubWorld돋움체 Medium"/>
          <w:b/>
          <w:bCs/>
          <w:color w:val="1F4E79"/>
          <w:sz w:val="26"/>
          <w:szCs w:val="26"/>
        </w:rPr>
      </w:pPr>
      <w:r>
        <w:rPr>
          <w:rFonts w:ascii="KoPubWorld돋움체 Medium" w:eastAsia="KoPubWorld돋움체 Medium" w:hAnsi="KoPubWorld돋움체 Medium" w:cs="KoPubWorld돋움체 Medium"/>
        </w:rPr>
        <w:br w:type="page"/>
      </w:r>
    </w:p>
    <w:p w14:paraId="72E3F40F" w14:textId="28DC613B" w:rsidR="005F12DE" w:rsidRPr="000F27DF" w:rsidRDefault="003C326A">
      <w:pPr>
        <w:pStyle w:val="2"/>
        <w:rPr>
          <w:rFonts w:ascii="KoPubWorld돋움체 Medium" w:eastAsia="KoPubWorld돋움체 Medium" w:hAnsi="KoPubWorld돋움체 Medium" w:cs="KoPubWorld돋움체 Medium"/>
        </w:rPr>
      </w:pPr>
      <w:r>
        <w:rPr>
          <w:rFonts w:ascii="KoPubWorld돋움체 Medium" w:eastAsia="KoPubWorld돋움체 Medium" w:hAnsi="KoPubWorld돋움체 Medium" w:cs="KoPubWorld돋움체 Medium" w:hint="eastAsia"/>
        </w:rPr>
        <w:lastRenderedPageBreak/>
        <w:t>3</w:t>
      </w:r>
      <w:r w:rsidR="00000000" w:rsidRPr="000F27DF">
        <w:rPr>
          <w:rFonts w:ascii="KoPubWorld돋움체 Medium" w:eastAsia="KoPubWorld돋움체 Medium" w:hAnsi="KoPubWorld돋움체 Medium" w:cs="KoPubWorld돋움체 Medium"/>
        </w:rPr>
        <w:t>. 모형 사양 (Model Specification)</w:t>
      </w:r>
    </w:p>
    <w:p w14:paraId="2E16CD79" w14:textId="3121C685" w:rsidR="005F12DE" w:rsidRPr="000F27DF" w:rsidRDefault="001B32AC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>
        <w:rPr>
          <w:rFonts w:ascii="KoPubWorld돋움체 Medium" w:eastAsia="KoPubWorld돋움체 Medium" w:hAnsi="KoPubWorld돋움체 Medium" w:cs="KoPubWorld돋움체 Medium" w:hint="eastAsia"/>
          <w:b/>
          <w:bCs/>
          <w:sz w:val="21"/>
          <w:szCs w:val="21"/>
        </w:rPr>
        <w:t>3</w:t>
      </w:r>
      <w:r w:rsidR="00000000"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 xml:space="preserve">.1 Model A: 2024년 단독 (N </w:t>
      </w:r>
      <w:r w:rsidR="00000000" w:rsidRPr="000F27DF">
        <w:rPr>
          <w:rFonts w:ascii="Cambria Math" w:eastAsia="KoPubWorld돋움체 Medium" w:hAnsi="Cambria Math" w:cs="Cambria Math"/>
          <w:b/>
          <w:bCs/>
          <w:sz w:val="21"/>
          <w:szCs w:val="21"/>
        </w:rPr>
        <w:t>≈</w:t>
      </w:r>
      <w:r w:rsidR="00000000"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 xml:space="preserve"> 5,000) </w:t>
      </w:r>
      <w:r w:rsidR="00000000" w:rsidRPr="000F27DF">
        <w:rPr>
          <w:rFonts w:ascii="KoPubWorld돋움체 Medium" w:eastAsia="KoPubWorld돋움체 Medium" w:hAnsi="KoPubWorld돋움체 Medium" w:cs="KoPubWorld돋움체 Medium" w:hint="eastAsia"/>
          <w:b/>
          <w:bCs/>
          <w:sz w:val="21"/>
          <w:szCs w:val="21"/>
        </w:rPr>
        <w:t>—</w:t>
      </w:r>
      <w:r w:rsidR="00000000"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 xml:space="preserve"> 풀 모형</w:t>
      </w:r>
    </w:p>
    <w:p w14:paraId="3BD575B2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i/>
          <w:iCs/>
          <w:color w:val="555555"/>
          <w:sz w:val="21"/>
          <w:szCs w:val="21"/>
        </w:rPr>
        <w:t>디지털시민성(Q7) 매개변수를 포함한 주 분석 모형</w:t>
      </w:r>
    </w:p>
    <w:p w14:paraId="0711063C" w14:textId="77777777" w:rsidR="005F12DE" w:rsidRPr="000F27DF" w:rsidRDefault="00000000">
      <w:pPr>
        <w:pStyle w:val="3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M0: 무조건 모형 (Unconditional Model)</w:t>
      </w:r>
    </w:p>
    <w:p w14:paraId="3328D3BC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집단 내·집단 간 분산 분해를 통해 다층모형 적용 타당성(ICC)을 확인한다.</w:t>
      </w:r>
    </w:p>
    <w:p w14:paraId="404FA605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1:  Y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r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</w:p>
    <w:p w14:paraId="4AA0D5AC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2: 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γ₀₀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u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</w:p>
    <w:p w14:paraId="173208BE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여기서 Y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는 자치구 j에 속한 개인 i의 디지털 서비스 이용지수(Q3 평균), γ₀₀는 총 평균, u₀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는 자치구 수준 잔차, r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는 개인 수준 잔차이다.</w:t>
      </w:r>
    </w:p>
    <w:p w14:paraId="75863205" w14:textId="77777777" w:rsidR="005F12DE" w:rsidRPr="000F27DF" w:rsidRDefault="00000000">
      <w:pPr>
        <w:spacing w:after="16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ICC = τ₀₀ / (τ₀₀ + σ²)</w:t>
      </w:r>
    </w:p>
    <w:p w14:paraId="3839D138" w14:textId="77777777" w:rsidR="005F12DE" w:rsidRPr="000F27DF" w:rsidRDefault="00000000">
      <w:pPr>
        <w:pStyle w:val="3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M1: Level 1 통제변수 모형</w:t>
      </w:r>
    </w:p>
    <w:p w14:paraId="1D1C1E4C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1:  Y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β₁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(AGE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β₂(FEMALE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β₃(EDU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5AC311FD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β₄(DISABLED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r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</w:p>
    <w:p w14:paraId="08960296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2: 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γ₀₀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u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</w:p>
    <w:p w14:paraId="7DEDE8A4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β₁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γ₁₀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(고정)</w:t>
      </w:r>
    </w:p>
    <w:p w14:paraId="2B02C59A" w14:textId="18B2FC70" w:rsidR="005F12DE" w:rsidRPr="000F27DF" w:rsidRDefault="00000000">
      <w:pPr>
        <w:spacing w:after="16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AGE와 EDU는 총평균 센터링을 적용한다. 사회인구학적 특성만의 설명력을 확인한다.</w:t>
      </w:r>
    </w:p>
    <w:p w14:paraId="24637FAF" w14:textId="77777777" w:rsidR="005F12DE" w:rsidRPr="000F27DF" w:rsidRDefault="00000000">
      <w:pPr>
        <w:pStyle w:val="3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M2: Level 1 매개변수 추가 모형</w:t>
      </w:r>
    </w:p>
    <w:p w14:paraId="18263524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1:  Y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β₁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(AGE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β₂(FEMALE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β₃(EDU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0CD17462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β₄(DISABLED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5A6A7FF5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β₅(DIGITAL_CITIZEN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42BBC839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β₆(DIGITAL_PERCEP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38FD13F7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β₇(DEVICE_ACCESS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r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</w:p>
    <w:p w14:paraId="5FF3BBBA" w14:textId="77777777" w:rsidR="005F12DE" w:rsidRPr="000F27DF" w:rsidRDefault="00000000">
      <w:pPr>
        <w:spacing w:after="16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lastRenderedPageBreak/>
        <w:t>개인 수준의 UMC 관련 매개변수(디지털시민성, 디지털전환 인식, 기기 접근)를 추가하여, 통제변수 대비 추가 설명력을 확인한다.</w:t>
      </w:r>
    </w:p>
    <w:p w14:paraId="2475B5F9" w14:textId="77777777" w:rsidR="005F12DE" w:rsidRPr="000F27DF" w:rsidRDefault="00000000">
      <w:pPr>
        <w:pStyle w:val="3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M3: Level 2 UMC 투입 모형</w:t>
      </w:r>
    </w:p>
    <w:p w14:paraId="52D2DE68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2: 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γ₀₀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γ₀₁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(UMC_TOTAL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u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</w:p>
    <w:p w14:paraId="7EAB2A86" w14:textId="77777777" w:rsidR="005F12DE" w:rsidRPr="000F27DF" w:rsidRDefault="00000000">
      <w:pPr>
        <w:spacing w:after="16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자치구 수준의 UMC 종합점수를 Level 2 예측변수로 투입한다. γ₀₁이 유의하면, 개인 특성을 통제한 후에도 자치구의 디지털 환경이 개인의 서비스 이용에 추가적인 영향을 미침을 의미한다.</w:t>
      </w:r>
    </w:p>
    <w:p w14:paraId="078B425B" w14:textId="77777777" w:rsidR="005F12DE" w:rsidRPr="000F27DF" w:rsidRDefault="00000000">
      <w:pPr>
        <w:pStyle w:val="3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t>M4: 교차수준 상호작용 모형 (최종 모형)</w:t>
      </w:r>
    </w:p>
    <w:p w14:paraId="047D514A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1:  Y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β₁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(AGE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β₂(FEMALE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β₃(EDU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56A42826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β₄(DISABLED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β₅(DIGITAL_CITIZEN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</w:t>
      </w:r>
    </w:p>
    <w:p w14:paraId="72A51058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    + β₆(DIGITAL_PERCEP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β₇(DEVICE_ACCESS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r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ᵢⱼ</w:t>
      </w:r>
    </w:p>
    <w:p w14:paraId="4170F84E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Level 2:  β₀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γ₀₀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γ₀₁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(UMC_TOTAL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u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₀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</w:p>
    <w:p w14:paraId="25F29763" w14:textId="77777777" w:rsidR="005F12DE" w:rsidRPr="000F27DF" w:rsidRDefault="00000000">
      <w:pPr>
        <w:spacing w:after="6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        β₁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=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γ₁₀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+ 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γ₁₁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(UMC_TOTAL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 + u</w:t>
      </w:r>
      <w:r w:rsidRPr="000F27DF">
        <w:rPr>
          <w:rFonts w:ascii="KoPubWorld돋움체 Medium" w:eastAsia="KoPubWorld돋움체 Medium" w:hAnsi="KoPubWorld돋움체 Medium" w:cs="KoPubWorld돋움체 Medium" w:hint="eastAsia"/>
          <w:sz w:val="21"/>
          <w:szCs w:val="21"/>
        </w:rPr>
        <w:t>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</w:p>
    <w:p w14:paraId="66A67CA4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핵심 계수 γ₁₁은 </w:t>
      </w: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교차수준 상호작용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을 나타낸다. 이것이 유의하면: </w:t>
      </w:r>
      <w:r w:rsidRPr="000F27DF">
        <w:rPr>
          <w:rFonts w:ascii="KoPubWorld돋움체 Medium" w:eastAsia="KoPubWorld돋움체 Medium" w:hAnsi="KoPubWorld돋움체 Medium" w:cs="KoPubWorld돋움체 Medium"/>
          <w:i/>
          <w:iCs/>
          <w:color w:val="555555"/>
          <w:sz w:val="21"/>
          <w:szCs w:val="21"/>
        </w:rPr>
        <w:t>"UMC 환경이 좋은 자치구에서는 연령에 따른 디지털 이용 격차가 완화(또는 심화)되는가?"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라는 정책적 질문에 답할 수 있다.</w:t>
      </w:r>
    </w:p>
    <w:p w14:paraId="1C088AF4" w14:textId="77777777" w:rsidR="005F12DE" w:rsidRPr="000F27DF" w:rsidRDefault="00000000">
      <w:pPr>
        <w:spacing w:after="2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연령의 기울기(β₁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)에 랜덤 효과(u₁</w:t>
      </w:r>
      <w:r w:rsidRPr="000F27DF">
        <w:rPr>
          <w:rFonts w:ascii="Times New Roman" w:eastAsia="KoPubWorld돋움체 Medium" w:hAnsi="Times New Roman" w:cs="Times New Roman"/>
          <w:sz w:val="21"/>
          <w:szCs w:val="21"/>
        </w:rPr>
        <w:t>ⱼ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)를 허용하여, 자치구마다 연령 효과의 크기가 다를 수 있음을 모형화한다.</w:t>
      </w:r>
    </w:p>
    <w:p w14:paraId="0EC77149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 xml:space="preserve">2.2 Model B: 2023+2024 풀링 (N </w:t>
      </w:r>
      <w:r w:rsidRPr="000F27DF">
        <w:rPr>
          <w:rFonts w:ascii="Cambria Math" w:eastAsia="KoPubWorld돋움체 Medium" w:hAnsi="Cambria Math" w:cs="Cambria Math"/>
          <w:b/>
          <w:bCs/>
          <w:sz w:val="21"/>
          <w:szCs w:val="21"/>
        </w:rPr>
        <w:t>≈</w:t>
      </w: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 xml:space="preserve"> 10,000) </w:t>
      </w:r>
      <w:r w:rsidRPr="000F27DF">
        <w:rPr>
          <w:rFonts w:ascii="KoPubWorld돋움체 Medium" w:eastAsia="KoPubWorld돋움체 Medium" w:hAnsi="KoPubWorld돋움체 Medium" w:cs="KoPubWorld돋움체 Medium" w:hint="eastAsia"/>
          <w:b/>
          <w:bCs/>
          <w:sz w:val="21"/>
          <w:szCs w:val="21"/>
        </w:rPr>
        <w:t>—</w:t>
      </w: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 xml:space="preserve"> 강건성 검증</w:t>
      </w:r>
    </w:p>
    <w:p w14:paraId="1451AB4E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Model A와 동일한 구조이되, 다음이 다르다:</w:t>
      </w:r>
    </w:p>
    <w:p w14:paraId="1C258224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(1) 디지털시민성(Q7) 매개변수 제외 (2023년 미측정)</w:t>
      </w:r>
    </w:p>
    <w:p w14:paraId="65FE5865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(2) 연도 더미(YEAR: 2024=1) 통제변수 추가</w:t>
      </w:r>
    </w:p>
    <w:p w14:paraId="6992192B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(3) 표본 크기 약 2배로 추정 안정성 향상</w:t>
      </w:r>
    </w:p>
    <w:p w14:paraId="24DC77D7" w14:textId="77777777" w:rsidR="005F12DE" w:rsidRPr="000F27DF" w:rsidRDefault="00000000">
      <w:pPr>
        <w:spacing w:after="2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Model A의 결과가 Model B에서도 재현되면, 결과의 강건성이 확보된다. 특히 교차수준 상호작용(γ₁₁)의 부호·유의성 일치 여부가 핵심 판단 기준이다.</w:t>
      </w:r>
    </w:p>
    <w:p w14:paraId="38EE3831" w14:textId="77777777" w:rsidR="005F12DE" w:rsidRPr="000F27DF" w:rsidRDefault="00000000">
      <w:pPr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br w:type="page"/>
      </w:r>
    </w:p>
    <w:p w14:paraId="2914E3D0" w14:textId="77777777" w:rsidR="00FB31C3" w:rsidRDefault="00FB31C3">
      <w:pPr>
        <w:widowControl/>
        <w:wordWrap/>
        <w:autoSpaceDE/>
        <w:autoSpaceDN/>
        <w:rPr>
          <w:rFonts w:ascii="KoPubWorld돋움체 Medium" w:eastAsia="KoPubWorld돋움체 Medium" w:hAnsi="KoPubWorld돋움체 Medium" w:cs="KoPubWorld돋움체 Medium"/>
          <w:b/>
          <w:bCs/>
          <w:color w:val="1F4E79"/>
          <w:sz w:val="26"/>
          <w:szCs w:val="26"/>
        </w:rPr>
      </w:pPr>
      <w:r>
        <w:rPr>
          <w:rFonts w:ascii="KoPubWorld돋움체 Medium" w:eastAsia="KoPubWorld돋움체 Medium" w:hAnsi="KoPubWorld돋움체 Medium" w:cs="KoPubWorld돋움체 Medium"/>
        </w:rPr>
        <w:lastRenderedPageBreak/>
        <w:br w:type="page"/>
      </w:r>
    </w:p>
    <w:p w14:paraId="40F7E5D6" w14:textId="127B8E75" w:rsidR="005F12DE" w:rsidRPr="000F27DF" w:rsidRDefault="00000000">
      <w:pPr>
        <w:pStyle w:val="2"/>
        <w:spacing w:before="300"/>
        <w:rPr>
          <w:rFonts w:ascii="KoPubWorld돋움체 Medium" w:eastAsia="KoPubWorld돋움체 Medium" w:hAnsi="KoPubWorld돋움체 Medium" w:cs="KoPubWorld돋움체 Medium" w:hint="eastAsia"/>
        </w:rPr>
      </w:pPr>
      <w:r w:rsidRPr="000F27DF">
        <w:rPr>
          <w:rFonts w:ascii="KoPubWorld돋움체 Medium" w:eastAsia="KoPubWorld돋움체 Medium" w:hAnsi="KoPubWorld돋움체 Medium" w:cs="KoPubWorld돋움체 Medium"/>
        </w:rPr>
        <w:lastRenderedPageBreak/>
        <w:t xml:space="preserve">4. </w:t>
      </w:r>
      <w:r w:rsidR="00B82529">
        <w:rPr>
          <w:rFonts w:ascii="KoPubWorld돋움체 Medium" w:eastAsia="KoPubWorld돋움체 Medium" w:hAnsi="KoPubWorld돋움체 Medium" w:cs="KoPubWorld돋움체 Medium" w:hint="eastAsia"/>
        </w:rPr>
        <w:t>Data</w:t>
      </w:r>
    </w:p>
    <w:p w14:paraId="03DFB646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Level 1 (개인 수준)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: 2023-2024 서울서베이 시민조사 (N = 5,000~10,000)</w:t>
      </w:r>
    </w:p>
    <w:p w14:paraId="386059B2" w14:textId="77777777" w:rsidR="005F12DE" w:rsidRPr="000F27DF" w:rsidRDefault="00000000">
      <w:pPr>
        <w:spacing w:after="100" w:line="276" w:lineRule="auto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b/>
          <w:bCs/>
          <w:sz w:val="21"/>
          <w:szCs w:val="21"/>
        </w:rPr>
        <w:t>Level 2 (자치구 수준)</w:t>
      </w: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>: Part 1에서 산출한 UMC 점수</w:t>
      </w:r>
    </w:p>
    <w:p w14:paraId="635DE4D3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- Connectivity: 과학기술정보통신부 통신품질(CQ) 데이터</w:t>
      </w:r>
    </w:p>
    <w:p w14:paraId="24206778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- Available for Use: 서울시 공공와이파이 행정 데이터 + 디지털역량실태조사 인터넷 이용률</w:t>
      </w:r>
    </w:p>
    <w:p w14:paraId="0A2E20E4" w14:textId="77777777" w:rsidR="005F12DE" w:rsidRPr="000F27DF" w:rsidRDefault="00000000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- Devices, Skills, Safety: 서울시민 디지털역량실태조사 (서울서베이와 별도 조사)</w:t>
      </w:r>
    </w:p>
    <w:p w14:paraId="5DBBF30E" w14:textId="4BB9A932" w:rsidR="005F12DE" w:rsidRPr="000F27DF" w:rsidRDefault="00000000" w:rsidP="00221CC3">
      <w:pPr>
        <w:spacing w:after="100" w:line="276" w:lineRule="auto"/>
        <w:ind w:left="400"/>
        <w:rPr>
          <w:rFonts w:ascii="KoPubWorld돋움체 Medium" w:eastAsia="KoPubWorld돋움체 Medium" w:hAnsi="KoPubWorld돋움체 Medium" w:cs="KoPubWorld돋움체 Medium" w:hint="eastAsia"/>
        </w:rPr>
      </w:pPr>
      <w:r w:rsidRPr="000F27DF">
        <w:rPr>
          <w:rFonts w:ascii="KoPubWorld돋움체 Medium" w:eastAsia="KoPubWorld돋움체 Medium" w:hAnsi="KoPubWorld돋움체 Medium" w:cs="KoPubWorld돋움체 Medium"/>
          <w:sz w:val="21"/>
          <w:szCs w:val="21"/>
        </w:rPr>
        <w:t xml:space="preserve">  - Affordability: 서울서베이 가구소득</w:t>
      </w:r>
    </w:p>
    <w:sectPr w:rsidR="005F12DE" w:rsidRPr="000F27DF">
      <w:pgSz w:w="12240" w:h="15840"/>
      <w:pgMar w:top="13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Medium">
    <w:panose1 w:val="00000600000000000000"/>
    <w:charset w:val="81"/>
    <w:family w:val="auto"/>
    <w:pitch w:val="variable"/>
    <w:sig w:usb0="B000AABF" w:usb1="7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757A3"/>
    <w:multiLevelType w:val="hybridMultilevel"/>
    <w:tmpl w:val="9AC86CE2"/>
    <w:lvl w:ilvl="0" w:tplc="7CA8C68A">
      <w:start w:val="1"/>
      <w:numFmt w:val="bullet"/>
      <w:lvlText w:val="●"/>
      <w:lvlJc w:val="left"/>
      <w:pPr>
        <w:ind w:left="720" w:hanging="360"/>
      </w:pPr>
    </w:lvl>
    <w:lvl w:ilvl="1" w:tplc="4404CFB4">
      <w:start w:val="1"/>
      <w:numFmt w:val="bullet"/>
      <w:lvlText w:val="○"/>
      <w:lvlJc w:val="left"/>
      <w:pPr>
        <w:ind w:left="1440" w:hanging="360"/>
      </w:pPr>
    </w:lvl>
    <w:lvl w:ilvl="2" w:tplc="AF84C8F6">
      <w:start w:val="1"/>
      <w:numFmt w:val="bullet"/>
      <w:lvlText w:val="■"/>
      <w:lvlJc w:val="left"/>
      <w:pPr>
        <w:ind w:left="2160" w:hanging="360"/>
      </w:pPr>
    </w:lvl>
    <w:lvl w:ilvl="3" w:tplc="09846A26">
      <w:start w:val="1"/>
      <w:numFmt w:val="bullet"/>
      <w:lvlText w:val="●"/>
      <w:lvlJc w:val="left"/>
      <w:pPr>
        <w:ind w:left="2880" w:hanging="360"/>
      </w:pPr>
    </w:lvl>
    <w:lvl w:ilvl="4" w:tplc="B9B28F9E">
      <w:start w:val="1"/>
      <w:numFmt w:val="bullet"/>
      <w:lvlText w:val="○"/>
      <w:lvlJc w:val="left"/>
      <w:pPr>
        <w:ind w:left="3600" w:hanging="360"/>
      </w:pPr>
    </w:lvl>
    <w:lvl w:ilvl="5" w:tplc="291697DE">
      <w:start w:val="1"/>
      <w:numFmt w:val="bullet"/>
      <w:lvlText w:val="■"/>
      <w:lvlJc w:val="left"/>
      <w:pPr>
        <w:ind w:left="4320" w:hanging="360"/>
      </w:pPr>
    </w:lvl>
    <w:lvl w:ilvl="6" w:tplc="CA48E6CA">
      <w:start w:val="1"/>
      <w:numFmt w:val="bullet"/>
      <w:lvlText w:val="●"/>
      <w:lvlJc w:val="left"/>
      <w:pPr>
        <w:ind w:left="5040" w:hanging="360"/>
      </w:pPr>
    </w:lvl>
    <w:lvl w:ilvl="7" w:tplc="513CF474">
      <w:start w:val="1"/>
      <w:numFmt w:val="bullet"/>
      <w:lvlText w:val="●"/>
      <w:lvlJc w:val="left"/>
      <w:pPr>
        <w:ind w:left="5760" w:hanging="360"/>
      </w:pPr>
    </w:lvl>
    <w:lvl w:ilvl="8" w:tplc="97B819B6">
      <w:start w:val="1"/>
      <w:numFmt w:val="bullet"/>
      <w:lvlText w:val="●"/>
      <w:lvlJc w:val="left"/>
      <w:pPr>
        <w:ind w:left="6480" w:hanging="360"/>
      </w:pPr>
    </w:lvl>
  </w:abstractNum>
  <w:num w:numId="1" w16cid:durableId="18548781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DE"/>
    <w:rsid w:val="000A6F19"/>
    <w:rsid w:val="000F27DF"/>
    <w:rsid w:val="001B32AC"/>
    <w:rsid w:val="00221CC3"/>
    <w:rsid w:val="002765C6"/>
    <w:rsid w:val="002A2D1F"/>
    <w:rsid w:val="003C326A"/>
    <w:rsid w:val="004E7955"/>
    <w:rsid w:val="005F12DE"/>
    <w:rsid w:val="00612905"/>
    <w:rsid w:val="00612D62"/>
    <w:rsid w:val="009A6E42"/>
    <w:rsid w:val="009C088F"/>
    <w:rsid w:val="00B82529"/>
    <w:rsid w:val="00B9465C"/>
    <w:rsid w:val="00DA76EE"/>
    <w:rsid w:val="00E43038"/>
    <w:rsid w:val="00F43B7C"/>
    <w:rsid w:val="00FB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00959"/>
  <w15:docId w15:val="{DF131C51-28E0-4F27-B736-5D90418C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link w:val="2Char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2Char">
    <w:name w:val="제목 2 Char"/>
    <w:basedOn w:val="a0"/>
    <w:link w:val="2"/>
    <w:uiPriority w:val="9"/>
    <w:rsid w:val="003C326A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준빈 우</cp:lastModifiedBy>
  <cp:revision>19</cp:revision>
  <dcterms:created xsi:type="dcterms:W3CDTF">2026-03-13T07:23:00Z</dcterms:created>
  <dcterms:modified xsi:type="dcterms:W3CDTF">2026-03-13T07:32:00Z</dcterms:modified>
</cp:coreProperties>
</file>