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분석 3: HLM 분석 결과표</w:t>
      </w:r>
    </w:p>
    <w:p>
      <w:pPr>
        <w:pStyle w:val="Normal"/>
      </w:pPr>
      <w:r>
        <w:t xml:space="preserve">† p &lt; .10, * p &lt; .05, ** p &lt; .01, *** p &lt; .001</w:t>
      </w:r>
    </w:p>
    <w:p>
      <w:pPr>
        <w:pStyle w:val="Normal"/>
      </w:pPr>
      <w:r>
        <w:t xml:space="preserve">Model A ICC = 0.0051 | Model B ICC = 0.0038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표 0-1. 기술통계량 — Model A (2024, N ≈ 5,000)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 기술통계량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1"/>
        <w:gridCol w:w="681"/>
        <w:gridCol w:w="811"/>
        <w:gridCol w:w="961"/>
        <w:gridCol w:w="1061"/>
        <w:gridCol w:w="861"/>
        <w:gridCol w:w="961"/>
        <w:gridCol w:w="1491"/>
      </w:tblGrid>
      <w:tr>
        <w:trPr>
          <w:trHeight w:val="559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유형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평균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최소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최대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빈도_비율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[종속변수]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 서비스 이용지수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1 통제변수]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성별: 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2160 (43.3%)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성별: 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2827 (56.7%)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중학이하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(4.1%)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고등학교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1212 (24.3%)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전문대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752 (15.1%)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대학+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2820 (56.5%)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장애: 비장애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4848 (97.2%)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장애: 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(2.8%)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관리전문사무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2196 (44%)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서비스판매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974 (19.5%)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생산노무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363 (7.3%)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비취업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1454 (29.2%)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혼인: 미혼등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1879 (37.7%)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혼인: 기혼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3108 (62.3%)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아파트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2146 (43%)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단독주택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1236 (24.8%)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다세대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937 (18.8%)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기타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668 (13.4%)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점유형태: 비자가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2338 (46.9%)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점유형태: 자가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2649 (53.1%)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 거주기간 (년)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 근로소득 (만원)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1 추가 통제변수]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디지털시민성 (1~5)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 (1~5)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기기 접근 다양성 (0~4)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2 자치구]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 (0~1)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4987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0-2. 기술통계량 — Model B (풀링, N ≈ 10,000)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B 기술통계량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1"/>
        <w:gridCol w:w="681"/>
        <w:gridCol w:w="811"/>
        <w:gridCol w:w="1061"/>
        <w:gridCol w:w="1061"/>
        <w:gridCol w:w="861"/>
        <w:gridCol w:w="861"/>
        <w:gridCol w:w="1491"/>
      </w:tblGrid>
      <w:tr>
        <w:trPr>
          <w:trHeight w:val="559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유형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평균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최소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최대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빈도_비율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[종속변수]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 서비스 이용지수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1 통제변수]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성별: 남성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4333 (43.5%)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성별: 여성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5626 (56.5%)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중학이하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고등학교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2387 (24%)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전문대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1500 (15.1%)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학력: 대학+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5672 (57%)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장애: 비장애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9697 (97.4%)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장애: 장애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(2.6%)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관리전문사무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4301 (43.2%)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서비스판매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1886 (18.9%)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생산노무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651 (6.5%)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직업: 비취업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3121 (31.3%)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혼인: 미혼등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3811 (38.3%)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혼인: 기혼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6148 (61.7%)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아파트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4284 (43%)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단독주택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2467 (24.8%)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다세대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1870 (18.8%)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주택형태: 기타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1338 (13.4%)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점유형태: 비자가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4697 (47.2%)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점유형태: 자가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범주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5262 (52.8%)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 거주기간 (년)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 근로소득 (만원)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1 추가 통제변수]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 (1~5)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기기 접근 다양성 (0~4)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[Level 2 자치구]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 (0~1)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연속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1. Model A: 2024년 단독 (N ≈ 5,000) 고정효과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A: 2024년 단독 분석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6"/>
        <w:gridCol w:w="1131"/>
        <w:gridCol w:w="1131"/>
        <w:gridCol w:w="1131"/>
        <w:gridCol w:w="1131"/>
      </w:tblGrid>
      <w:tr>
        <w:trPr>
          <w:trHeight w:val="54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M2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M3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1.495***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여성(ref:남성)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고등학교(ref:중학이하)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전문대(ref:중학이하)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대학+(ref:중학이하)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0.641***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장애(ref:비장애)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서비스판매(ref:관리전문사무)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생산노무(ref:관리전문사무)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비취업(ref:관리전문사무)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기혼(ref:미혼)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단독주택(ref:아파트)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다세대(ref:아파트)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기타주택(ref:아파트)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자가(ref:비자가)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서울거주기간(센터링)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월평균근로소득(센터링)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디지털시민성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종합점수(L2)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-0.181**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(0.066)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연령×UMC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6429.8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6570.1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6592.7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(marginal)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0.4066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(conditional)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0.4070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2. Model B: 2023+2024 풀링 (N ≈ 10,000) 고정효과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B: 강건성 검증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6"/>
        <w:gridCol w:w="1131"/>
        <w:gridCol w:w="1131"/>
        <w:gridCol w:w="1131"/>
        <w:gridCol w:w="1131"/>
      </w:tblGrid>
      <w:tr>
        <w:trPr>
          <w:trHeight w:val="54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M2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M3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M4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2.066***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여성(ref:남성)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고등학교(ref:중학이하)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전문대(ref:중학이하)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0.727***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대학+(ref:중학이하)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0.786***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장애(ref:비장애)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서비스판매(ref:관리전문사무)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생산노무(ref:관리전문사무)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-0.068**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비취업(ref:관리전문사무)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-0.071***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기혼(ref:미혼)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단독주택(ref:아파트)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-0.079***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다세대(ref:아파트)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기타주택(ref:아파트)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자가(ref:비자가)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서울거주기간(센터링)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월평균근로소득(센터링)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연도(2024=1)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0.145***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종합점수(L2)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-0.140**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(0.047)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연령×UMC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15181.9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14814.2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14969.4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14972.2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14994.3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(marginal)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0.3153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(conditional)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S1. HLM vs OLS 비교 — Model 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M3 모형: HLM vs OLS (Cluster-Robust 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6"/>
        <w:gridCol w:w="1131"/>
        <w:gridCol w:w="981"/>
        <w:gridCol w:w="1131"/>
        <w:gridCol w:w="1441"/>
      </w:tblGrid>
      <w:tr>
        <w:trPr>
          <w:trHeight w:val="58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(SE)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(Robust SE)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여성(ref:남성)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고등학교(ref:중학이하)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전문대(ref:중학이하)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대학+(ref:중학이하)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장애(ref:비장애)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서비스판매(ref:관리전문사무)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생산노무(ref:관리전문사무)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비취업(ref:관리전문사무)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기혼(ref:미혼)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단독주택(ref:아파트)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다세대(ref:아파트)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기타주택(ref:아파트)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자가(ref:비자가)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서울거주기간(센터링)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월평균근로소득(센터링)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디지털시민성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종합점수(L2)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-0.172*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-0.173**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S2. HLM vs OLS 비교 — Model B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M3 모형: HLM vs OLS (Cluster-Robust 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6"/>
        <w:gridCol w:w="1131"/>
        <w:gridCol w:w="981"/>
        <w:gridCol w:w="1131"/>
        <w:gridCol w:w="1441"/>
      </w:tblGrid>
      <w:tr>
        <w:trPr>
          <w:trHeight w:val="58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변수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HLM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(SE)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OLS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(Robust SE)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절편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연령(센터링)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여성(ref:남성)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고등학교(ref:중학이하)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(0.040)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전문대(ref:중학이하)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대학+(ref:중학이하)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장애(ref:비장애)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서비스판매(ref:관리전문사무)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생산노무(ref:관리전문사무)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(0.033)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비취업(ref:관리전문사무)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기혼(ref:미혼)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단독주택(ref:아파트)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다세대(ref:아파트)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(0.019)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기타주택(ref:아파트)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(0.025)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자가(ref:비자가)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서울거주기간(센터링)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월평균근로소득(센터링)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연도(2024=1)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디지털전환 인식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종합점수(L2)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-0.135*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-0.135**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S3. 교차수준 상호작용 효과 비교 (2024)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UMC × 개인변수 교차수준 상호작용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1"/>
        <w:gridCol w:w="1021"/>
        <w:gridCol w:w="961"/>
        <w:gridCol w:w="921"/>
        <w:gridCol w:w="961"/>
        <w:gridCol w:w="816"/>
        <w:gridCol w:w="1011"/>
      </w:tblGrid>
      <w:tr>
        <w:trPr>
          <w:trHeight w:val="544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상호작용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유의성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 × 고학력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-0.1653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0.1181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-1.399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0.1618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6,426.8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S4. Level 2 교란변수 민감도 분석 (2024)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교란변수 통제에 따른 UMC 효과 변화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1"/>
        <w:gridCol w:w="1326"/>
        <w:gridCol w:w="1161"/>
        <w:gridCol w:w="1031"/>
        <w:gridCol w:w="816"/>
        <w:gridCol w:w="1011"/>
      </w:tblGrid>
      <w:tr>
        <w:trPr>
          <w:trHeight w:val="577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모형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UMC_p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유의성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AIC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M3a: UMC만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6,426.8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M3b: +고령화율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6,424.7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M3c: +평균소득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6,428.2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M3d: +수급자비율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6,427.0</w:t>
            </w:r>
          </w:p>
        </w:tc>
      </w:tr>
      <w:tr>
        <w:trPr>
          <w:trHeight w:val="566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M3e: +전체 교란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6,428.5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표 S5. UMC 차원별 효과 비교 (2024)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UMC 차원별 Level 2 효과 (개별 투입)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1"/>
        <w:gridCol w:w="1021"/>
        <w:gridCol w:w="961"/>
        <w:gridCol w:w="921"/>
        <w:gridCol w:w="961"/>
        <w:gridCol w:w="816"/>
      </w:tblGrid>
      <w:tr>
        <w:trPr>
          <w:trHeight w:val="544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차원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추정치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유의성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umc_connect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†</w:t>
            </w:r>
          </w:p>
        </w:tc>
      </w:tr>
      <w:tr>
        <w:trPr>
          <w:trHeight w:val="58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umc_safety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-0.0649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-2.583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맑은 고딕" w:hAnsi="맑은 고딕" w:eastAsia="맑은 고딕" w:cs="맑은 고딕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2026-03-14T02:40:50Z</dcterms:modified>
  <cp:category/>
</cp:coreProperties>
</file>