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00"/>
        <w:jc w:val="center"/>
      </w:pPr>
      <w:r>
        <w:rPr>
          <w:rFonts w:ascii="Times New Roman" w:hAnsi="Times New Roman"/>
          <w:b/>
          <w:color w:val="555555"/>
          <w:sz w:val="20"/>
        </w:rPr>
        <w:t>T E C H N I C A L   R E P O R T</w:t>
      </w:r>
    </w:p>
    <w:p>
      <w:pPr>
        <w:spacing w:after="120"/>
        <w:jc w:val="center"/>
      </w:pPr>
      <w:r>
        <w:rPr>
          <w:rFonts w:ascii="Times New Roman" w:hAnsi="Times New Roman"/>
          <w:b/>
          <w:color w:val="000000"/>
          <w:sz w:val="68"/>
        </w:rPr>
        <w:t>YONGA ATTENTION ENGINE</w:t>
      </w:r>
    </w:p>
    <w:p>
      <w:pPr>
        <w:spacing w:after="400"/>
        <w:jc w:val="center"/>
      </w:pPr>
      <w:r>
        <w:rPr>
          <w:rFonts w:ascii="Times New Roman" w:hAnsi="Times New Roman"/>
          <w:i/>
          <w:color w:val="000000"/>
          <w:sz w:val="28"/>
        </w:rPr>
        <w:t>A Hardware Self-Attention Accelerator on Xilinx Artix-7</w:t>
      </w:r>
    </w:p>
    <w:tbl>
      <w:tblPr>
        <w:tblW w:type="auto" w:w="0"/>
        <w:jc w:val="center"/>
        <w:tblLayout w:type="fixed"/>
        <w:tblLook w:firstColumn="1" w:firstRow="1" w:lastColumn="0" w:lastRow="0" w:noHBand="0" w:noVBand="1" w:val="04A0"/>
        <w:tblW w:type="dxa" w:w="1872"/>
        <w:tblBorders>
          <w:bottom w:val="single" w:sz="12" w:color="333333"/>
          <w:top w:val="none"/>
          <w:left w:val="none"/>
          <w:right w:val="none"/>
          <w:insideH w:val="none"/>
          <w:insideV w:val="none"/>
        </w:tblBorders>
      </w:tblPr>
      <w:tblGrid>
        <w:gridCol w:w="9029"/>
      </w:tblGrid>
      <w:tr>
        <w:tc>
          <w:tcPr>
            <w:tcW w:type="dxa" w:w="1872"/>
          </w:tcPr>
          <w:p>
            <w:pPr>
              <w:spacing w:after="0"/>
            </w:pPr>
            <w:r/>
          </w:p>
        </w:tc>
      </w:tr>
    </w:tbl>
    <w:p/>
    <w:p/>
    <w:p/>
    <w:p/>
    <w:p/>
    <w:p>
      <w:pPr>
        <w:spacing w:after="80"/>
        <w:jc w:val="center"/>
      </w:pPr>
      <w:r>
        <w:rPr>
          <w:rFonts w:ascii="Times New Roman" w:hAnsi="Times New Roman"/>
          <w:b/>
          <w:color w:val="000000"/>
          <w:sz w:val="24"/>
        </w:rPr>
        <w:t>Belinay Güler. Can Ertürk. M. Taha Aydemir. Hasan Sancak.</w:t>
      </w:r>
    </w:p>
    <w:p>
      <w:pPr>
        <w:spacing w:after="40"/>
        <w:jc w:val="center"/>
      </w:pPr>
      <w:r>
        <w:rPr>
          <w:rFonts w:ascii="Times New Roman" w:hAnsi="Times New Roman"/>
          <w:color w:val="666666"/>
          <w:sz w:val="22"/>
        </w:rPr>
        <w:t>İTÜ Yonga</w:t>
      </w:r>
    </w:p>
    <w:p>
      <w:pPr>
        <w:jc w:val="center"/>
      </w:pPr>
      <w:r>
        <w:rPr>
          <w:rFonts w:ascii="Times New Roman" w:hAnsi="Times New Roman"/>
          <w:color w:val="666666"/>
          <w:sz w:val="22"/>
        </w:rPr>
        <w:t>August 2026</w:t>
      </w:r>
    </w:p>
    <w:p/>
    <w:p/>
    <w:p/>
    <w:p/>
    <w:p/>
    <w:p/>
    <w:p/>
    <w:tbl>
      <w:tblPr>
        <w:tblW w:type="auto" w:w="0"/>
        <w:jc w:val="center"/>
        <w:tblLayout w:type="fixed"/>
        <w:tblLook w:firstColumn="1" w:firstRow="1" w:lastColumn="0" w:lastRow="0" w:noHBand="0" w:noVBand="1" w:val="04A0"/>
        <w:tblW w:type="dxa" w:w="1872"/>
        <w:tblBorders>
          <w:bottom w:val="single" w:sz="4" w:color="CCCCCC"/>
          <w:top w:val="none"/>
          <w:left w:val="none"/>
          <w:right w:val="none"/>
          <w:insideH w:val="none"/>
          <w:insideV w:val="none"/>
        </w:tblBorders>
      </w:tblPr>
      <w:tblGrid>
        <w:gridCol w:w="9029"/>
      </w:tblGrid>
      <w:tr>
        <w:tc>
          <w:tcPr>
            <w:tcW w:type="dxa" w:w="1872"/>
          </w:tcPr>
          <w:p>
            <w:pPr>
              <w:spacing w:after="0"/>
            </w:pPr>
            <w:r/>
          </w:p>
        </w:tc>
      </w:tr>
    </w:tbl>
    <w:p>
      <w:pPr>
        <w:spacing w:before="160"/>
        <w:jc w:val="center"/>
      </w:pPr>
      <w:r>
        <w:rPr>
          <w:rFonts w:ascii="Times New Roman" w:hAnsi="Times New Roman"/>
          <w:color w:val="999999"/>
          <w:sz w:val="19"/>
        </w:rPr>
        <w:t>github.com/ITUYonga/yonga_attention_engine</w:t>
      </w:r>
    </w:p>
    <w:p>
      <w:r>
        <w:br w:type="page"/>
      </w:r>
    </w:p>
    <w:p>
      <w:pPr>
        <w:keepNext/>
        <w:spacing w:before="400" w:after="160"/>
      </w:pPr>
      <w:r>
        <w:rPr>
          <w:rFonts w:ascii="Times New Roman" w:hAnsi="Times New Roman"/>
          <w:b/>
          <w:color w:val="000000"/>
          <w:sz w:val="30"/>
        </w:rPr>
        <w:t>Contents</w:t>
      </w:r>
    </w:p>
    <w:p>
      <w:pPr>
        <w:tabs>
          <w:tab w:pos="9029" w:val="right" w:leader="dot"/>
        </w:tabs>
        <w:spacing w:after="140"/>
      </w:pPr>
      <w:r>
        <w:rPr>
          <w:rFonts w:ascii="Times New Roman" w:hAnsi="Times New Roman"/>
          <w:b/>
          <w:color w:val="000000"/>
          <w:sz w:val="23"/>
        </w:rPr>
        <w:t>Introduction</w:t>
        <w:tab/>
        <w:t>3</w:t>
      </w:r>
    </w:p>
    <w:p>
      <w:pPr>
        <w:tabs>
          <w:tab w:pos="9029" w:val="right" w:leader="dot"/>
        </w:tabs>
        <w:spacing w:after="140"/>
      </w:pPr>
      <w:r>
        <w:rPr>
          <w:rFonts w:ascii="Times New Roman" w:hAnsi="Times New Roman"/>
          <w:b/>
          <w:color w:val="000000"/>
          <w:sz w:val="23"/>
        </w:rPr>
        <w:t>Overview</w:t>
        <w:tab/>
        <w:t>3</w:t>
      </w:r>
    </w:p>
    <w:p>
      <w:pPr>
        <w:tabs>
          <w:tab w:pos="9029" w:val="right" w:leader="dot"/>
        </w:tabs>
        <w:spacing w:after="140"/>
      </w:pPr>
      <w:r>
        <w:rPr>
          <w:rFonts w:ascii="Times New Roman" w:hAnsi="Times New Roman"/>
          <w:b/>
          <w:color w:val="000000"/>
          <w:sz w:val="23"/>
        </w:rPr>
        <w:t>System Architecture</w:t>
        <w:tab/>
        <w:t>3</w:t>
      </w:r>
    </w:p>
    <w:p>
      <w:pPr>
        <w:tabs>
          <w:tab w:pos="9029" w:val="right" w:leader="dot"/>
        </w:tabs>
        <w:spacing w:after="80"/>
        <w:ind w:left="461"/>
      </w:pPr>
      <w:r>
        <w:rPr>
          <w:rFonts w:ascii="Times New Roman" w:hAnsi="Times New Roman"/>
          <w:b w:val="0"/>
          <w:color w:val="444444"/>
          <w:sz w:val="21"/>
        </w:rPr>
        <w:t>QKV Projection</w:t>
        <w:tab/>
        <w:t>4</w:t>
      </w:r>
    </w:p>
    <w:p>
      <w:pPr>
        <w:tabs>
          <w:tab w:pos="9029" w:val="right" w:leader="dot"/>
        </w:tabs>
        <w:spacing w:after="80"/>
        <w:ind w:left="461"/>
      </w:pPr>
      <w:r>
        <w:rPr>
          <w:rFonts w:ascii="Times New Roman" w:hAnsi="Times New Roman"/>
          <w:b w:val="0"/>
          <w:color w:val="444444"/>
          <w:sz w:val="21"/>
        </w:rPr>
        <w:t>Rotary Position Embedding (RoPE)</w:t>
        <w:tab/>
        <w:t>4</w:t>
      </w:r>
    </w:p>
    <w:p>
      <w:pPr>
        <w:tabs>
          <w:tab w:pos="9029" w:val="right" w:leader="dot"/>
        </w:tabs>
        <w:spacing w:after="80"/>
        <w:ind w:left="461"/>
      </w:pPr>
      <w:r>
        <w:rPr>
          <w:rFonts w:ascii="Times New Roman" w:hAnsi="Times New Roman"/>
          <w:b w:val="0"/>
          <w:color w:val="444444"/>
          <w:sz w:val="21"/>
        </w:rPr>
        <w:t>Grouped Query Attention (GQA) Mapping</w:t>
        <w:tab/>
        <w:t>5</w:t>
      </w:r>
    </w:p>
    <w:p>
      <w:pPr>
        <w:tabs>
          <w:tab w:pos="9029" w:val="right" w:leader="dot"/>
        </w:tabs>
        <w:spacing w:after="80"/>
        <w:ind w:left="461"/>
      </w:pPr>
      <w:r>
        <w:rPr>
          <w:rFonts w:ascii="Times New Roman" w:hAnsi="Times New Roman"/>
          <w:b w:val="0"/>
          <w:color w:val="444444"/>
          <w:sz w:val="21"/>
        </w:rPr>
        <w:t>Shared Systolic Array (Module A)</w:t>
        <w:tab/>
        <w:t>5</w:t>
      </w:r>
    </w:p>
    <w:p>
      <w:pPr>
        <w:tabs>
          <w:tab w:pos="9029" w:val="right" w:leader="dot"/>
        </w:tabs>
        <w:spacing w:after="80"/>
        <w:ind w:left="461"/>
      </w:pPr>
      <w:r>
        <w:rPr>
          <w:rFonts w:ascii="Times New Roman" w:hAnsi="Times New Roman"/>
          <w:b w:val="0"/>
          <w:color w:val="444444"/>
          <w:sz w:val="21"/>
        </w:rPr>
        <w:t>Scale, Mask and Softmax</w:t>
        <w:tab/>
        <w:t>6</w:t>
      </w:r>
    </w:p>
    <w:p>
      <w:pPr>
        <w:tabs>
          <w:tab w:pos="9029" w:val="right" w:leader="dot"/>
        </w:tabs>
        <w:spacing w:after="80"/>
        <w:ind w:left="461"/>
      </w:pPr>
      <w:r>
        <w:rPr>
          <w:rFonts w:ascii="Times New Roman" w:hAnsi="Times New Roman"/>
          <w:b w:val="0"/>
          <w:color w:val="444444"/>
          <w:sz w:val="21"/>
        </w:rPr>
        <w:t>Memory and Data Routing</w:t>
        <w:tab/>
        <w:t>6</w:t>
      </w:r>
    </w:p>
    <w:p>
      <w:pPr>
        <w:tabs>
          <w:tab w:pos="9029" w:val="right" w:leader="dot"/>
        </w:tabs>
        <w:spacing w:after="140"/>
      </w:pPr>
      <w:r>
        <w:rPr>
          <w:rFonts w:ascii="Times New Roman" w:hAnsi="Times New Roman"/>
          <w:b/>
          <w:color w:val="000000"/>
          <w:sz w:val="23"/>
        </w:rPr>
        <w:t>Verification</w:t>
        <w:tab/>
        <w:t>7</w:t>
      </w:r>
    </w:p>
    <w:p>
      <w:pPr>
        <w:tabs>
          <w:tab w:pos="9029" w:val="right" w:leader="dot"/>
        </w:tabs>
        <w:spacing w:after="140"/>
      </w:pPr>
      <w:r>
        <w:rPr>
          <w:rFonts w:ascii="Times New Roman" w:hAnsi="Times New Roman"/>
          <w:b/>
          <w:color w:val="000000"/>
          <w:sz w:val="23"/>
        </w:rPr>
        <w:t>Resource Utilization</w:t>
        <w:tab/>
        <w:t>9</w:t>
      </w:r>
    </w:p>
    <w:p>
      <w:pPr>
        <w:tabs>
          <w:tab w:pos="9029" w:val="right" w:leader="dot"/>
        </w:tabs>
        <w:spacing w:after="140"/>
      </w:pPr>
      <w:r>
        <w:rPr>
          <w:rFonts w:ascii="Times New Roman" w:hAnsi="Times New Roman"/>
          <w:b/>
          <w:color w:val="000000"/>
          <w:sz w:val="23"/>
        </w:rPr>
        <w:t>Integration</w:t>
        <w:tab/>
        <w:t>10</w:t>
      </w:r>
    </w:p>
    <w:p>
      <w:pPr>
        <w:tabs>
          <w:tab w:pos="9029" w:val="right" w:leader="dot"/>
        </w:tabs>
        <w:spacing w:after="140"/>
      </w:pPr>
      <w:r>
        <w:rPr>
          <w:rFonts w:ascii="Times New Roman" w:hAnsi="Times New Roman"/>
          <w:b/>
          <w:color w:val="000000"/>
          <w:sz w:val="23"/>
        </w:rPr>
        <w:t>Current Limitations</w:t>
        <w:tab/>
        <w:t>10</w:t>
      </w:r>
    </w:p>
    <w:p>
      <w:r>
        <w:br w:type="page"/>
      </w:r>
    </w:p>
    <w:p>
      <w:pPr>
        <w:keepNext/>
        <w:spacing w:before="400" w:after="160"/>
      </w:pPr>
      <w:r>
        <w:rPr>
          <w:rFonts w:ascii="Times New Roman" w:hAnsi="Times New Roman"/>
          <w:b/>
          <w:color w:val="000000"/>
          <w:sz w:val="30"/>
        </w:rPr>
        <w:t>1. Introduction</w:t>
      </w:r>
    </w:p>
    <w:p>
      <w:pPr>
        <w:spacing w:after="160"/>
        <w:jc w:val="both"/>
      </w:pPr>
      <w:r>
        <w:rPr>
          <w:rFonts w:ascii="Times New Roman" w:hAnsi="Times New Roman"/>
          <w:color w:val="000000"/>
          <w:sz w:val="22"/>
        </w:rPr>
        <w:t>Attention is one of the oldest tricks nervous systems ever learned. Long before anything had a cortex, or even a brain, organisms had already solved a version of the same problem: incoming information is cheap, but processing it is not, so something has to decide, moment to moment, what is worth paying for. A frog's retina does not forward an equally weighted account of everything in its visual field to the rest of its nervous system. It forwards the fly. That same asymmetry, weighting some information heavily and the rest barely at all, reappears billions of years later at the center of every modern large language model.</w:t>
      </w:r>
    </w:p>
    <w:p>
      <w:pPr>
        <w:spacing w:after="160"/>
        <w:jc w:val="both"/>
      </w:pPr>
      <w:r>
        <w:rPr>
          <w:rFonts w:ascii="Times New Roman" w:hAnsi="Times New Roman"/>
          <w:color w:val="000000"/>
          <w:sz w:val="22"/>
        </w:rPr>
        <w:t>Self-attention is the mechanism transformer models use to decide, for every token in a sequence, which other tokens actually deserve its attention, and by how much. Each token is projected into a Query, a Key, and a Value vector, similarity is measured between every pair of tokens by a dot product of Query and Key, and those similarity scores are turned into a weighted sum over Value vectors by softmax: Attention(Q, K, V) = softmax(QKᵀ / √d_k + mask) · V. It is a small amount of arithmetic, repeated at scale, and it is most of what makes a modern language model work at all.</w:t>
      </w:r>
    </w:p>
    <w:p>
      <w:pPr>
        <w:spacing w:after="160"/>
        <w:jc w:val="both"/>
      </w:pPr>
      <w:r>
        <w:rPr>
          <w:rFonts w:ascii="Times New Roman" w:hAnsi="Times New Roman"/>
          <w:color w:val="000000"/>
          <w:sz w:val="22"/>
        </w:rPr>
        <w:t>That formula usually runs as a handful of matrix multiplications on a GPU, several layers of software away from the transistors doing the work. Yonga Attention Engine asks a narrower question: what does that same operation look like written directly as digital logic, with no soft-core processor executing instructions and no vendor-supplied neural network block doing the actual computation? Every multiply, every accumulation, and every exponential in the pipeline described in this report is RTL the team wrote, simulated, and can account for.</w:t>
      </w:r>
    </w:p>
    <w:p>
      <w:pPr>
        <w:spacing w:after="160"/>
        <w:jc w:val="both"/>
      </w:pPr>
      <w:r>
        <w:rPr>
          <w:rFonts w:ascii="Times New Roman" w:hAnsi="Times New Roman"/>
          <w:color w:val="000000"/>
          <w:sz w:val="22"/>
        </w:rPr>
        <w:t>This report documents the resulting design in three parts. Sections 2 and 3 describe what was built and why it is organized the way it is. Sections 4 and 5 describe how it was checked and what it costs on real hardware. Sections 6 and 7 describe what happened when four independently written pieces had to work as a single chip, and what is still open.</w:t>
      </w:r>
    </w:p>
    <w:p>
      <w:pPr>
        <w:keepNext/>
        <w:spacing w:before="400" w:after="160"/>
      </w:pPr>
      <w:r>
        <w:rPr>
          <w:rFonts w:ascii="Times New Roman" w:hAnsi="Times New Roman"/>
          <w:b/>
          <w:color w:val="000000"/>
          <w:sz w:val="30"/>
        </w:rPr>
        <w:t>2. Overview</w:t>
      </w:r>
    </w:p>
    <w:p>
      <w:pPr>
        <w:spacing w:after="160"/>
        <w:jc w:val="both"/>
      </w:pPr>
      <w:r>
        <w:rPr>
          <w:rFonts w:ascii="Times New Roman" w:hAnsi="Times New Roman"/>
          <w:color w:val="000000"/>
          <w:sz w:val="22"/>
        </w:rPr>
        <w:t>Yonga Attention Engine is a from-scratch register-transfer-level implementation of transformer self-attention: rotary position embeddings, grouped query attention, and scaled dot-product attention with softmax, written directly in synthesizable SystemVerilog and running on a single mid-range FPGA. The goal was to take the mathematical definition of attention and implement it in hardware without a soft-core processor or a vendor IP block doing the actual computation: every multiply, every accumulation, and every exponential in the pipeline is logic the team wrote and can account for.</w:t>
      </w:r>
    </w:p>
    <w:p>
      <w:pPr>
        <w:spacing w:after="160"/>
        <w:jc w:val="both"/>
      </w:pPr>
      <w:r>
        <w:rPr>
          <w:rFonts w:ascii="Times New Roman" w:hAnsi="Times New Roman"/>
          <w:color w:val="000000"/>
          <w:sz w:val="22"/>
        </w:rPr>
        <w:t>Arithmetic throughout the design is bfloat16 (BF16), chosen for its wide dynamic range and its cheap conversion to and from the FP32 values used at the AXI-Stream boundary. Four people designed, verified, and merged their own modules into a single RTL tree. This report documents the resulting architecture, the testbench-based verification used to check it, and the resource cost of running it on real hardware.</w:t>
      </w:r>
    </w:p>
    <w:p>
      <w:pPr>
        <w:keepNext/>
        <w:spacing w:before="400" w:after="160"/>
      </w:pPr>
      <w:r>
        <w:rPr>
          <w:rFonts w:ascii="Times New Roman" w:hAnsi="Times New Roman"/>
          <w:b/>
          <w:color w:val="000000"/>
          <w:sz w:val="30"/>
        </w:rPr>
        <w:t>3. System Architecture</w:t>
      </w:r>
    </w:p>
    <w:p>
      <w:pPr>
        <w:spacing w:after="160"/>
        <w:jc w:val="both"/>
      </w:pPr>
      <w:r>
        <w:rPr>
          <w:rFonts w:ascii="Times New Roman" w:hAnsi="Times New Roman"/>
          <w:color w:val="000000"/>
          <w:sz w:val="22"/>
        </w:rPr>
        <w:t>The design is organized as a streaming pipeline. Tokens arrive one at a time over AXI-Stream, are projected into query, key, and value vectors, rotated by RoPE, mapped from query heads to key/value heads by the GQA mapper, and fed into a shared systolic array that computes both the Q·Kᵀ similarity scores and, after softmax, the score·V weighted sum. The result is projected back out and converted to FP32 on its way off-chip.</w:t>
      </w:r>
    </w:p>
    <w:p>
      <w:pPr>
        <w:spacing w:before="120"/>
        <w:jc w:val="center"/>
      </w:pPr>
      <w:r>
        <w:drawing>
          <wp:inline xmlns:a="http://schemas.openxmlformats.org/drawingml/2006/main" xmlns:pic="http://schemas.openxmlformats.org/drawingml/2006/picture">
            <wp:extent cx="5760720" cy="2341255"/>
            <wp:docPr id="1" name="Picture 1"/>
            <wp:cNvGraphicFramePr>
              <a:graphicFrameLocks noChangeAspect="1"/>
            </wp:cNvGraphicFramePr>
            <a:graphic>
              <a:graphicData uri="http://schemas.openxmlformats.org/drawingml/2006/picture">
                <pic:pic>
                  <pic:nvPicPr>
                    <pic:cNvPr id="0" name="diagram_architecture.png"/>
                    <pic:cNvPicPr/>
                  </pic:nvPicPr>
                  <pic:blipFill>
                    <a:blip r:embed="rId11"/>
                    <a:stretch>
                      <a:fillRect/>
                    </a:stretch>
                  </pic:blipFill>
                  <pic:spPr>
                    <a:xfrm>
                      <a:off x="0" y="0"/>
                      <a:ext cx="5760720" cy="2341255"/>
                    </a:xfrm>
                    <a:prstGeom prst="rect"/>
                  </pic:spPr>
                </pic:pic>
              </a:graphicData>
            </a:graphic>
          </wp:inline>
        </w:drawing>
      </w:r>
    </w:p>
    <w:p>
      <w:pPr>
        <w:spacing w:after="200"/>
        <w:jc w:val="center"/>
      </w:pPr>
      <w:r>
        <w:rPr>
          <w:rFonts w:ascii="Times New Roman" w:hAnsi="Times New Roman"/>
          <w:i/>
          <w:color w:val="555555"/>
          <w:sz w:val="19"/>
        </w:rPr>
        <w:t>Figure 1. Top-level data flow of Yonga Attention Engine.</w:t>
      </w:r>
    </w:p>
    <w:p>
      <w:pPr>
        <w:spacing w:after="160"/>
        <w:jc w:val="both"/>
      </w:pPr>
      <w:r>
        <w:rPr>
          <w:rFonts w:ascii="Times New Roman" w:hAnsi="Times New Roman"/>
          <w:color w:val="000000"/>
          <w:sz w:val="22"/>
        </w:rPr>
        <w:t>The array at the center of the pipeline, referred to internally as Module A, is instantiated exactly once. The same physical grid of processing elements computes Q·Kᵀ on one pass and score·V on the next, distinguishing the two data streams with a one-bit tag carried alongside every value. Reusing one array for both matrix products, rather than building two, is the single largest resource-saving decision in the design.</w:t>
      </w:r>
    </w:p>
    <w:p>
      <w:pPr>
        <w:keepNext/>
        <w:spacing w:before="280" w:after="80"/>
      </w:pPr>
      <w:r>
        <w:rPr>
          <w:rFonts w:ascii="Times New Roman" w:hAnsi="Times New Roman"/>
          <w:b/>
          <w:color w:val="000000"/>
          <w:sz w:val="25"/>
        </w:rPr>
        <w:t>QKV Projection</w:t>
      </w:r>
    </w:p>
    <w:p>
      <w:pPr>
        <w:spacing w:after="160"/>
        <w:jc w:val="both"/>
      </w:pPr>
      <w:r>
        <w:rPr>
          <w:rFonts w:ascii="Times New Roman" w:hAnsi="Times New Roman"/>
          <w:color w:val="000000"/>
          <w:sz w:val="22"/>
        </w:rPr>
        <w:t>qkv_proj.sv is a single parameterized matrix-vector multiply module, instantiated four times (Wq, Wk, Wv, Wo) with a different weight matrix loaded into each. It is implemented as a state machine reusing one multiplier and one adder per instance rather than a parallel array: correctness first, with a wider datapath left as a follow-up once the team confirms it is actually the bottleneck.</w:t>
      </w:r>
    </w:p>
    <w:p>
      <w:pPr>
        <w:keepNext/>
        <w:spacing w:before="280" w:after="80"/>
      </w:pPr>
      <w:r>
        <w:rPr>
          <w:rFonts w:ascii="Times New Roman" w:hAnsi="Times New Roman"/>
          <w:b/>
          <w:color w:val="000000"/>
          <w:sz w:val="25"/>
        </w:rPr>
        <w:t>Rotary Position Embedding (RoPE)</w:t>
      </w:r>
    </w:p>
    <w:p>
      <w:pPr>
        <w:spacing w:after="160"/>
        <w:jc w:val="both"/>
      </w:pPr>
      <w:r>
        <w:rPr>
          <w:rFonts w:ascii="Times New Roman" w:hAnsi="Times New Roman"/>
          <w:color w:val="000000"/>
          <w:sz w:val="22"/>
        </w:rPr>
        <w:t>rope.sv rotates the query and key vectors, never the value vector, using sine and cosine values read from a ROM addressed by position and pair index. Because the datapath has no dedicated subtractor, the “minus” in the rotation formula is implemented by flipping the sign bit of the second operand before it reaches the shared adder, avoiding a second arithmetic unit for a case that already reduces to addition.</w:t>
      </w:r>
    </w:p>
    <w:p>
      <w:pPr>
        <w:spacing w:before="120"/>
        <w:jc w:val="center"/>
      </w:pPr>
      <w:r>
        <w:drawing>
          <wp:inline xmlns:a="http://schemas.openxmlformats.org/drawingml/2006/main" xmlns:pic="http://schemas.openxmlformats.org/drawingml/2006/picture">
            <wp:extent cx="4206240" cy="3154680"/>
            <wp:docPr id="2" name="Picture 2"/>
            <wp:cNvGraphicFramePr>
              <a:graphicFrameLocks noChangeAspect="1"/>
            </wp:cNvGraphicFramePr>
            <a:graphic>
              <a:graphicData uri="http://schemas.openxmlformats.org/drawingml/2006/picture">
                <pic:pic>
                  <pic:nvPicPr>
                    <pic:cNvPr id="0" name="diagram_fsm_rope.png"/>
                    <pic:cNvPicPr/>
                  </pic:nvPicPr>
                  <pic:blipFill>
                    <a:blip r:embed="rId12"/>
                    <a:stretch>
                      <a:fillRect/>
                    </a:stretch>
                  </pic:blipFill>
                  <pic:spPr>
                    <a:xfrm>
                      <a:off x="0" y="0"/>
                      <a:ext cx="4206240" cy="3154680"/>
                    </a:xfrm>
                    <a:prstGeom prst="rect"/>
                  </pic:spPr>
                </pic:pic>
              </a:graphicData>
            </a:graphic>
          </wp:inline>
        </w:drawing>
      </w:r>
    </w:p>
    <w:p>
      <w:pPr>
        <w:spacing w:after="200"/>
        <w:jc w:val="center"/>
      </w:pPr>
      <w:r>
        <w:rPr>
          <w:rFonts w:ascii="Times New Roman" w:hAnsi="Times New Roman"/>
          <w:i/>
          <w:color w:val="555555"/>
          <w:sz w:val="19"/>
        </w:rPr>
        <w:t>Figure 2. RoPE control flow: ROM lookup, rotate-half, and the shared adder path.</w:t>
      </w:r>
    </w:p>
    <w:p>
      <w:pPr>
        <w:keepNext/>
        <w:spacing w:before="280" w:after="80"/>
      </w:pPr>
      <w:r>
        <w:rPr>
          <w:rFonts w:ascii="Times New Roman" w:hAnsi="Times New Roman"/>
          <w:b/>
          <w:color w:val="000000"/>
          <w:sz w:val="25"/>
        </w:rPr>
        <w:t>Grouped Query Attention (GQA) Mapping</w:t>
      </w:r>
    </w:p>
    <w:p>
      <w:pPr>
        <w:spacing w:after="160"/>
        <w:jc w:val="both"/>
      </w:pPr>
      <w:r>
        <w:rPr>
          <w:rFonts w:ascii="Times New Roman" w:hAnsi="Times New Roman"/>
          <w:color w:val="000000"/>
          <w:sz w:val="22"/>
        </w:rPr>
        <w:t>gqa_mapper.sv is a purely combinational index translation: given the current query head, it returns which key/value head that query head should read from. It never touches vector data itself, which keeps the head-mapping logic independent of, and reusable across, whatever arithmetic width the rest of the pipeline settles on.</w:t>
      </w:r>
    </w:p>
    <w:p>
      <w:pPr>
        <w:keepNext/>
        <w:spacing w:before="280" w:after="80"/>
      </w:pPr>
      <w:r>
        <w:rPr>
          <w:rFonts w:ascii="Times New Roman" w:hAnsi="Times New Roman"/>
          <w:b/>
          <w:color w:val="000000"/>
          <w:sz w:val="25"/>
        </w:rPr>
        <w:t>Shared Systolic Array (Module A)</w:t>
      </w:r>
    </w:p>
    <w:p>
      <w:pPr>
        <w:spacing w:after="160"/>
        <w:jc w:val="both"/>
      </w:pPr>
      <w:r>
        <w:rPr>
          <w:rFonts w:ascii="Times New Roman" w:hAnsi="Times New Roman"/>
          <w:color w:val="000000"/>
          <w:sz w:val="22"/>
        </w:rPr>
        <w:t>The array is a SIZE×SIZE output-stationary systolic grid. Query and key elements stream in serially along the depth dimension, and once a full depth slice has accumulated, the array switches to a parallel read-out phase. An input arbiter gives priority to score·V requests arriving back from softmax over new Q·Kᵀ tiles, which keeps the softmax-to-output path from stalling behind newly arriving queries, and an output router sends each result back to softmax or on to the output projection depending on the same tag bit.</w:t>
      </w:r>
    </w:p>
    <w:p>
      <w:pPr>
        <w:spacing w:before="120"/>
        <w:jc w:val="center"/>
      </w:pPr>
      <w:r>
        <w:drawing>
          <wp:inline xmlns:a="http://schemas.openxmlformats.org/drawingml/2006/main" xmlns:pic="http://schemas.openxmlformats.org/drawingml/2006/picture">
            <wp:extent cx="3291840" cy="2889688"/>
            <wp:docPr id="3" name="Picture 3"/>
            <wp:cNvGraphicFramePr>
              <a:graphicFrameLocks noChangeAspect="1"/>
            </wp:cNvGraphicFramePr>
            <a:graphic>
              <a:graphicData uri="http://schemas.openxmlformats.org/drawingml/2006/picture">
                <pic:pic>
                  <pic:nvPicPr>
                    <pic:cNvPr id="0" name="fig2_systolic_array_notitle.jpeg"/>
                    <pic:cNvPicPr/>
                  </pic:nvPicPr>
                  <pic:blipFill>
                    <a:blip r:embed="rId13"/>
                    <a:stretch>
                      <a:fillRect/>
                    </a:stretch>
                  </pic:blipFill>
                  <pic:spPr>
                    <a:xfrm>
                      <a:off x="0" y="0"/>
                      <a:ext cx="3291840" cy="2889688"/>
                    </a:xfrm>
                    <a:prstGeom prst="rect"/>
                  </pic:spPr>
                </pic:pic>
              </a:graphicData>
            </a:graphic>
          </wp:inline>
        </w:drawing>
      </w:r>
    </w:p>
    <w:p>
      <w:pPr>
        <w:spacing w:after="200"/>
        <w:jc w:val="center"/>
      </w:pPr>
      <w:r>
        <w:rPr>
          <w:rFonts w:ascii="Times New Roman" w:hAnsi="Times New Roman"/>
          <w:i/>
          <w:color w:val="555555"/>
          <w:sz w:val="19"/>
        </w:rPr>
        <w:t>Figure 3. Output-stationary operation of the shared Q·Kᵀ / score·V systolic array.</w:t>
      </w:r>
    </w:p>
    <w:p>
      <w:pPr>
        <w:keepNext/>
        <w:spacing w:before="280" w:after="80"/>
      </w:pPr>
      <w:r>
        <w:rPr>
          <w:rFonts w:ascii="Times New Roman" w:hAnsi="Times New Roman"/>
          <w:b/>
          <w:color w:val="000000"/>
          <w:sz w:val="25"/>
        </w:rPr>
        <w:t>Scale, Mask and Softmax</w:t>
      </w:r>
    </w:p>
    <w:p>
      <w:pPr>
        <w:spacing w:after="160"/>
        <w:jc w:val="both"/>
      </w:pPr>
      <w:r>
        <w:rPr>
          <w:rFonts w:ascii="Times New Roman" w:hAnsi="Times New Roman"/>
          <w:color w:val="000000"/>
          <w:sz w:val="22"/>
        </w:rPr>
        <w:t>Raw similarity scores are scaled and, per element, masked to negative infinity in a three-stage backpressure pipeline (scale_mask.sv), then normalized by a four-state softmax finite state machine (softmax.sv): ACCUMULATE streams each row element through a LUT-based exponential and into a running sum, INVERT turns that sum into a reciprocal through a second LUT, DIVIDE_NORMALIZE streams the row back through multiplying by the reciprocal, and IDLE waits for the next row. Both the exponential and the reciprocal come from small combinational LUTs rather than an iterative approximation, trading a small amount of numerical accuracy for a pipeline that never stalls waiting on convergence.</w:t>
      </w:r>
    </w:p>
    <w:p>
      <w:pPr>
        <w:spacing w:before="120"/>
        <w:jc w:val="center"/>
      </w:pPr>
      <w:r>
        <w:drawing>
          <wp:inline xmlns:a="http://schemas.openxmlformats.org/drawingml/2006/main" xmlns:pic="http://schemas.openxmlformats.org/drawingml/2006/picture">
            <wp:extent cx="5760720" cy="1653540"/>
            <wp:docPr id="4" name="Picture 4"/>
            <wp:cNvGraphicFramePr>
              <a:graphicFrameLocks noChangeAspect="1"/>
            </wp:cNvGraphicFramePr>
            <a:graphic>
              <a:graphicData uri="http://schemas.openxmlformats.org/drawingml/2006/picture">
                <pic:pic>
                  <pic:nvPicPr>
                    <pic:cNvPr id="0" name="diagram_fsm_softmax.png"/>
                    <pic:cNvPicPr/>
                  </pic:nvPicPr>
                  <pic:blipFill>
                    <a:blip r:embed="rId14"/>
                    <a:stretch>
                      <a:fillRect/>
                    </a:stretch>
                  </pic:blipFill>
                  <pic:spPr>
                    <a:xfrm>
                      <a:off x="0" y="0"/>
                      <a:ext cx="5760720" cy="1653540"/>
                    </a:xfrm>
                    <a:prstGeom prst="rect"/>
                  </pic:spPr>
                </pic:pic>
              </a:graphicData>
            </a:graphic>
          </wp:inline>
        </w:drawing>
      </w:r>
    </w:p>
    <w:p>
      <w:pPr>
        <w:spacing w:after="200"/>
        <w:jc w:val="center"/>
      </w:pPr>
      <w:r>
        <w:rPr>
          <w:rFonts w:ascii="Times New Roman" w:hAnsi="Times New Roman"/>
          <w:i/>
          <w:color w:val="555555"/>
          <w:sz w:val="19"/>
        </w:rPr>
        <w:t>Figure 4. The four-state softmax finite state machine.</w:t>
      </w:r>
    </w:p>
    <w:p>
      <w:pPr>
        <w:keepNext/>
        <w:spacing w:before="280" w:after="80"/>
      </w:pPr>
      <w:r>
        <w:rPr>
          <w:rFonts w:ascii="Times New Roman" w:hAnsi="Times New Roman"/>
          <w:b/>
          <w:color w:val="000000"/>
          <w:sz w:val="25"/>
        </w:rPr>
        <w:t>Memory and Data Routing</w:t>
      </w:r>
    </w:p>
    <w:p>
      <w:pPr>
        <w:spacing w:after="160"/>
        <w:jc w:val="both"/>
      </w:pPr>
      <w:r>
        <w:rPr>
          <w:rFonts w:ascii="Times New Roman" w:hAnsi="Times New Roman"/>
          <w:color w:val="000000"/>
          <w:sz w:val="22"/>
        </w:rPr>
        <w:t>dbuf.sv lets a new token vector begin loading while the previous one is still being processed. Q, K, and V are held in ping-pong URAM banks, so Module A can read one bank while the next token's projections write the other. tx_fifo.sv and axi_stream_if.sv carry finished output vectors back out over AXI-Stream, performing the BF16-to-FP32 conversion at the boundary.</w:t>
      </w:r>
    </w:p>
    <w:p>
      <w:pPr>
        <w:spacing w:before="120"/>
        <w:jc w:val="center"/>
      </w:pPr>
      <w:r>
        <w:drawing>
          <wp:inline xmlns:a="http://schemas.openxmlformats.org/drawingml/2006/main" xmlns:pic="http://schemas.openxmlformats.org/drawingml/2006/picture">
            <wp:extent cx="5486400" cy="2271712"/>
            <wp:docPr id="5" name="Picture 5"/>
            <wp:cNvGraphicFramePr>
              <a:graphicFrameLocks noChangeAspect="1"/>
            </wp:cNvGraphicFramePr>
            <a:graphic>
              <a:graphicData uri="http://schemas.openxmlformats.org/drawingml/2006/picture">
                <pic:pic>
                  <pic:nvPicPr>
                    <pic:cNvPr id="0" name="diagram_fsm_uram_pingpong.png"/>
                    <pic:cNvPicPr/>
                  </pic:nvPicPr>
                  <pic:blipFill>
                    <a:blip r:embed="rId15"/>
                    <a:stretch>
                      <a:fillRect/>
                    </a:stretch>
                  </pic:blipFill>
                  <pic:spPr>
                    <a:xfrm>
                      <a:off x="0" y="0"/>
                      <a:ext cx="5486400" cy="2271712"/>
                    </a:xfrm>
                    <a:prstGeom prst="rect"/>
                  </pic:spPr>
                </pic:pic>
              </a:graphicData>
            </a:graphic>
          </wp:inline>
        </w:drawing>
      </w:r>
    </w:p>
    <w:p>
      <w:pPr>
        <w:spacing w:after="200"/>
        <w:jc w:val="center"/>
      </w:pPr>
      <w:r>
        <w:rPr>
          <w:rFonts w:ascii="Times New Roman" w:hAnsi="Times New Roman"/>
          <w:i/>
          <w:color w:val="555555"/>
          <w:sz w:val="19"/>
        </w:rPr>
        <w:t>Figure 5. Ping-pong URAM bank switching between Module A reads and QKV projection writes.</w:t>
      </w:r>
    </w:p>
    <w:p>
      <w:pPr>
        <w:keepNext/>
        <w:spacing w:before="400" w:after="160"/>
      </w:pPr>
      <w:r>
        <w:rPr>
          <w:rFonts w:ascii="Times New Roman" w:hAnsi="Times New Roman"/>
          <w:b/>
          <w:color w:val="000000"/>
          <w:sz w:val="30"/>
        </w:rPr>
        <w:t>4. Verification</w:t>
      </w:r>
    </w:p>
    <w:p>
      <w:pPr>
        <w:spacing w:after="160"/>
        <w:jc w:val="both"/>
      </w:pPr>
      <w:r>
        <w:rPr>
          <w:rFonts w:ascii="Times New Roman" w:hAnsi="Times New Roman"/>
          <w:color w:val="000000"/>
          <w:sz w:val="22"/>
        </w:rPr>
        <w:t>Every module has a directed SystemVerilog testbench under tb/, summarized in Table 1. All seven were run to completion in Vivado XSim against golden reference values computed independently in Python. Several of the bugs the testbenches caught were timing bugs invisible to static reading of the RTL, including a systolic-array stimulus loop that assumed a single ready pulse guaranteed acceptance, and a softmax pipeline that silently dropped one row element in four because a valid flag failed to clear when its enable condition went false.</w:t>
      </w:r>
    </w:p>
    <w:p>
      <w:pPr>
        <w:spacing w:before="200" w:after="80"/>
      </w:pPr>
      <w:r>
        <w:rPr>
          <w:rFonts w:ascii="Times New Roman" w:hAnsi="Times New Roman"/>
          <w:b/>
          <w:color w:val="000000"/>
          <w:sz w:val="21"/>
        </w:rPr>
        <w:t>Table 1. Testbench coverage and results.</w:t>
      </w:r>
    </w:p>
    <w:tbl>
      <w:tblPr>
        <w:tblW w:type="auto" w:w="0"/>
        <w:tblLayout w:type="fixed"/>
        <w:tblLook w:firstColumn="1" w:firstRow="1" w:lastColumn="0" w:lastRow="0" w:noHBand="0" w:noVBand="1" w:val="04A0"/>
        <w:tblW w:type="dxa" w:w="9072"/>
        <w:tblLayout w:type="fixed"/>
        <w:tblBorders>
          <w:top w:val="single" w:sz="4" w:color="AAAAAA"/>
          <w:left w:val="single" w:sz="4" w:color="AAAAAA"/>
          <w:bottom w:val="single" w:sz="4" w:color="AAAAAA"/>
          <w:right w:val="single" w:sz="4" w:color="AAAAAA"/>
          <w:insideH w:val="single" w:sz="4" w:color="AAAAAA"/>
          <w:insideV w:val="single" w:sz="4" w:color="AAAAAA"/>
        </w:tblBorders>
      </w:tblPr>
      <w:tblGrid>
        <w:gridCol w:w="3010"/>
        <w:gridCol w:w="3010"/>
        <w:gridCol w:w="3010"/>
      </w:tblGrid>
      <w:tr>
        <w:trPr>
          <w:tblHeader/>
        </w:trPr>
        <w:tc>
          <w:tcPr>
            <w:tcW w:type="dxa" w:w="3024"/>
            <w:shd w:fill="2B2B2B"/>
          </w:tcPr>
          <w:p>
            <w:pPr>
              <w:jc w:val="center"/>
            </w:pPr>
            <w:r>
              <w:rPr>
                <w:rFonts w:ascii="Times New Roman" w:hAnsi="Times New Roman"/>
                <w:b/>
                <w:color w:val="FFFFFF"/>
                <w:sz w:val="20"/>
              </w:rPr>
              <w:t>Testbench</w:t>
            </w:r>
          </w:p>
        </w:tc>
        <w:tc>
          <w:tcPr>
            <w:tcW w:type="dxa" w:w="4464"/>
            <w:shd w:fill="2B2B2B"/>
          </w:tcPr>
          <w:p>
            <w:pPr>
              <w:jc w:val="center"/>
            </w:pPr>
            <w:r>
              <w:rPr>
                <w:rFonts w:ascii="Times New Roman" w:hAnsi="Times New Roman"/>
                <w:b/>
                <w:color w:val="FFFFFF"/>
                <w:sz w:val="20"/>
              </w:rPr>
              <w:t>Covers</w:t>
            </w:r>
          </w:p>
        </w:tc>
        <w:tc>
          <w:tcPr>
            <w:tcW w:type="dxa" w:w="1584"/>
            <w:shd w:fill="2B2B2B"/>
          </w:tcPr>
          <w:p>
            <w:pPr>
              <w:jc w:val="center"/>
            </w:pPr>
            <w:r>
              <w:rPr>
                <w:rFonts w:ascii="Times New Roman" w:hAnsi="Times New Roman"/>
                <w:b/>
                <w:color w:val="FFFFFF"/>
                <w:sz w:val="20"/>
              </w:rPr>
              <w:t>Result</w:t>
            </w:r>
          </w:p>
        </w:tc>
      </w:tr>
      <w:tr>
        <w:tc>
          <w:tcPr>
            <w:tcW w:type="dxa" w:w="3024"/>
          </w:tcPr>
          <w:p>
            <w:pPr>
              <w:jc w:val="left"/>
            </w:pPr>
            <w:r>
              <w:rPr>
                <w:rFonts w:ascii="Times New Roman" w:hAnsi="Times New Roman"/>
                <w:color w:val="000000"/>
                <w:sz w:val="20"/>
              </w:rPr>
              <w:t>tb_bf16_add.sv</w:t>
            </w:r>
          </w:p>
        </w:tc>
        <w:tc>
          <w:tcPr>
            <w:tcW w:type="dxa" w:w="4464"/>
          </w:tcPr>
          <w:p>
            <w:pPr>
              <w:jc w:val="center"/>
            </w:pPr>
            <w:r>
              <w:rPr>
                <w:rFonts w:ascii="Times New Roman" w:hAnsi="Times New Roman"/>
                <w:color w:val="000000"/>
                <w:sz w:val="20"/>
              </w:rPr>
              <w:t>Pipelined BF16 adder</w:t>
            </w:r>
          </w:p>
        </w:tc>
        <w:tc>
          <w:tcPr>
            <w:tcW w:type="dxa" w:w="1584"/>
          </w:tcPr>
          <w:p>
            <w:pPr>
              <w:jc w:val="center"/>
            </w:pPr>
            <w:r>
              <w:rPr>
                <w:rFonts w:ascii="Times New Roman" w:hAnsi="Times New Roman"/>
                <w:color w:val="000000"/>
                <w:sz w:val="20"/>
              </w:rPr>
              <w:t>PASS 7/7</w:t>
            </w:r>
          </w:p>
        </w:tc>
      </w:tr>
      <w:tr>
        <w:tc>
          <w:tcPr>
            <w:tcW w:type="dxa" w:w="3024"/>
          </w:tcPr>
          <w:p>
            <w:pPr>
              <w:jc w:val="left"/>
            </w:pPr>
            <w:r>
              <w:rPr>
                <w:rFonts w:ascii="Times New Roman" w:hAnsi="Times New Roman"/>
                <w:color w:val="000000"/>
                <w:sz w:val="20"/>
              </w:rPr>
              <w:t>tb_bf16_mul.sv</w:t>
            </w:r>
          </w:p>
        </w:tc>
        <w:tc>
          <w:tcPr>
            <w:tcW w:type="dxa" w:w="4464"/>
          </w:tcPr>
          <w:p>
            <w:pPr>
              <w:jc w:val="center"/>
            </w:pPr>
            <w:r>
              <w:rPr>
                <w:rFonts w:ascii="Times New Roman" w:hAnsi="Times New Roman"/>
                <w:color w:val="000000"/>
                <w:sz w:val="20"/>
              </w:rPr>
              <w:t>Pipelined BF16 multiplier</w:t>
            </w:r>
          </w:p>
        </w:tc>
        <w:tc>
          <w:tcPr>
            <w:tcW w:type="dxa" w:w="1584"/>
          </w:tcPr>
          <w:p>
            <w:pPr>
              <w:jc w:val="center"/>
            </w:pPr>
            <w:r>
              <w:rPr>
                <w:rFonts w:ascii="Times New Roman" w:hAnsi="Times New Roman"/>
                <w:color w:val="000000"/>
                <w:sz w:val="20"/>
              </w:rPr>
              <w:t>PASS 6/6</w:t>
            </w:r>
          </w:p>
        </w:tc>
      </w:tr>
      <w:tr>
        <w:tc>
          <w:tcPr>
            <w:tcW w:type="dxa" w:w="3024"/>
          </w:tcPr>
          <w:p>
            <w:pPr>
              <w:jc w:val="left"/>
            </w:pPr>
            <w:r>
              <w:rPr>
                <w:rFonts w:ascii="Times New Roman" w:hAnsi="Times New Roman"/>
                <w:color w:val="000000"/>
                <w:sz w:val="20"/>
              </w:rPr>
              <w:t>tb_gqa_mapper.sv</w:t>
            </w:r>
          </w:p>
        </w:tc>
        <w:tc>
          <w:tcPr>
            <w:tcW w:type="dxa" w:w="4464"/>
          </w:tcPr>
          <w:p>
            <w:pPr>
              <w:jc w:val="center"/>
            </w:pPr>
            <w:r>
              <w:rPr>
                <w:rFonts w:ascii="Times New Roman" w:hAnsi="Times New Roman"/>
                <w:color w:val="000000"/>
                <w:sz w:val="20"/>
              </w:rPr>
              <w:t>Query-head to KV-head mapping</w:t>
            </w:r>
          </w:p>
        </w:tc>
        <w:tc>
          <w:tcPr>
            <w:tcW w:type="dxa" w:w="1584"/>
          </w:tcPr>
          <w:p>
            <w:pPr>
              <w:jc w:val="center"/>
            </w:pPr>
            <w:r>
              <w:rPr>
                <w:rFonts w:ascii="Times New Roman" w:hAnsi="Times New Roman"/>
                <w:color w:val="000000"/>
                <w:sz w:val="20"/>
              </w:rPr>
              <w:t>PASS 8/8</w:t>
            </w:r>
          </w:p>
        </w:tc>
      </w:tr>
      <w:tr>
        <w:tc>
          <w:tcPr>
            <w:tcW w:type="dxa" w:w="3024"/>
          </w:tcPr>
          <w:p>
            <w:pPr>
              <w:jc w:val="left"/>
            </w:pPr>
            <w:r>
              <w:rPr>
                <w:rFonts w:ascii="Times New Roman" w:hAnsi="Times New Roman"/>
                <w:color w:val="000000"/>
                <w:sz w:val="20"/>
              </w:rPr>
              <w:t>tb_qkv_proj.sv</w:t>
            </w:r>
          </w:p>
        </w:tc>
        <w:tc>
          <w:tcPr>
            <w:tcW w:type="dxa" w:w="4464"/>
          </w:tcPr>
          <w:p>
            <w:pPr>
              <w:jc w:val="center"/>
            </w:pPr>
            <w:r>
              <w:rPr>
                <w:rFonts w:ascii="Times New Roman" w:hAnsi="Times New Roman"/>
                <w:color w:val="000000"/>
                <w:sz w:val="20"/>
              </w:rPr>
              <w:t>Weight loading and W·x MAC</w:t>
            </w:r>
          </w:p>
        </w:tc>
        <w:tc>
          <w:tcPr>
            <w:tcW w:type="dxa" w:w="1584"/>
          </w:tcPr>
          <w:p>
            <w:pPr>
              <w:jc w:val="center"/>
            </w:pPr>
            <w:r>
              <w:rPr>
                <w:rFonts w:ascii="Times New Roman" w:hAnsi="Times New Roman"/>
                <w:color w:val="000000"/>
                <w:sz w:val="20"/>
              </w:rPr>
              <w:t>PASS 2/2</w:t>
            </w:r>
          </w:p>
        </w:tc>
      </w:tr>
      <w:tr>
        <w:tc>
          <w:tcPr>
            <w:tcW w:type="dxa" w:w="3024"/>
          </w:tcPr>
          <w:p>
            <w:pPr>
              <w:jc w:val="left"/>
            </w:pPr>
            <w:r>
              <w:rPr>
                <w:rFonts w:ascii="Times New Roman" w:hAnsi="Times New Roman"/>
                <w:color w:val="000000"/>
                <w:sz w:val="20"/>
              </w:rPr>
              <w:t>tb_rope.sv</w:t>
            </w:r>
          </w:p>
        </w:tc>
        <w:tc>
          <w:tcPr>
            <w:tcW w:type="dxa" w:w="4464"/>
          </w:tcPr>
          <w:p>
            <w:pPr>
              <w:jc w:val="center"/>
            </w:pPr>
            <w:r>
              <w:rPr>
                <w:rFonts w:ascii="Times New Roman" w:hAnsi="Times New Roman"/>
                <w:color w:val="000000"/>
                <w:sz w:val="20"/>
              </w:rPr>
              <w:t>ROM load, rotate-half, sin/cos check</w:t>
            </w:r>
          </w:p>
        </w:tc>
        <w:tc>
          <w:tcPr>
            <w:tcW w:type="dxa" w:w="1584"/>
          </w:tcPr>
          <w:p>
            <w:pPr>
              <w:jc w:val="center"/>
            </w:pPr>
            <w:r>
              <w:rPr>
                <w:rFonts w:ascii="Times New Roman" w:hAnsi="Times New Roman"/>
                <w:color w:val="000000"/>
                <w:sz w:val="20"/>
              </w:rPr>
              <w:t>PASS</w:t>
            </w:r>
          </w:p>
        </w:tc>
      </w:tr>
      <w:tr>
        <w:tc>
          <w:tcPr>
            <w:tcW w:type="dxa" w:w="3024"/>
          </w:tcPr>
          <w:p>
            <w:pPr>
              <w:jc w:val="left"/>
            </w:pPr>
            <w:r>
              <w:rPr>
                <w:rFonts w:ascii="Times New Roman" w:hAnsi="Times New Roman"/>
                <w:color w:val="000000"/>
                <w:sz w:val="20"/>
              </w:rPr>
              <w:t>tb_qk_array.sv</w:t>
            </w:r>
          </w:p>
        </w:tc>
        <w:tc>
          <w:tcPr>
            <w:tcW w:type="dxa" w:w="4464"/>
          </w:tcPr>
          <w:p>
            <w:pPr>
              <w:jc w:val="center"/>
            </w:pPr>
            <w:r>
              <w:rPr>
                <w:rFonts w:ascii="Times New Roman" w:hAnsi="Times New Roman"/>
                <w:color w:val="000000"/>
                <w:sz w:val="20"/>
              </w:rPr>
              <w:t>Shared systolic array (mod_a_wrapper)</w:t>
            </w:r>
          </w:p>
        </w:tc>
        <w:tc>
          <w:tcPr>
            <w:tcW w:type="dxa" w:w="1584"/>
          </w:tcPr>
          <w:p>
            <w:pPr>
              <w:jc w:val="center"/>
            </w:pPr>
            <w:r>
              <w:rPr>
                <w:rFonts w:ascii="Times New Roman" w:hAnsi="Times New Roman"/>
                <w:color w:val="000000"/>
                <w:sz w:val="20"/>
              </w:rPr>
              <w:t>PASS 4/4</w:t>
            </w:r>
          </w:p>
        </w:tc>
      </w:tr>
      <w:tr>
        <w:tc>
          <w:tcPr>
            <w:tcW w:type="dxa" w:w="3024"/>
          </w:tcPr>
          <w:p>
            <w:pPr>
              <w:jc w:val="left"/>
            </w:pPr>
            <w:r>
              <w:rPr>
                <w:rFonts w:ascii="Times New Roman" w:hAnsi="Times New Roman"/>
                <w:color w:val="000000"/>
                <w:sz w:val="20"/>
              </w:rPr>
              <w:t>tb_scale_mask_softmax.sv</w:t>
            </w:r>
          </w:p>
        </w:tc>
        <w:tc>
          <w:tcPr>
            <w:tcW w:type="dxa" w:w="4464"/>
          </w:tcPr>
          <w:p>
            <w:pPr>
              <w:jc w:val="center"/>
            </w:pPr>
            <w:r>
              <w:rPr>
                <w:rFonts w:ascii="Times New Roman" w:hAnsi="Times New Roman"/>
                <w:color w:val="000000"/>
                <w:sz w:val="20"/>
              </w:rPr>
              <w:t>Scale, mask, softmax over two rows</w:t>
            </w:r>
          </w:p>
        </w:tc>
        <w:tc>
          <w:tcPr>
            <w:tcW w:type="dxa" w:w="1584"/>
          </w:tcPr>
          <w:p>
            <w:pPr>
              <w:jc w:val="center"/>
            </w:pPr>
            <w:r>
              <w:rPr>
                <w:rFonts w:ascii="Times New Roman" w:hAnsi="Times New Roman"/>
                <w:color w:val="000000"/>
                <w:sz w:val="20"/>
              </w:rPr>
              <w:t>PASS 8/8</w:t>
            </w:r>
          </w:p>
        </w:tc>
      </w:tr>
    </w:tbl>
    <w:p>
      <w:pPr>
        <w:spacing w:after="200"/>
      </w:pPr>
    </w:p>
    <w:tbl>
      <w:tblPr>
        <w:tblW w:type="auto" w:w="0"/>
        <w:tblLayout w:type="autofit"/>
        <w:tblLook w:firstColumn="1" w:firstRow="1" w:lastColumn="0" w:lastRow="0" w:noHBand="0" w:noVBand="1" w:val="04A0"/>
      </w:tblPr>
      <w:tblGrid>
        <w:gridCol w:w="4514"/>
        <w:gridCol w:w="4514"/>
      </w:tblGrid>
      <w:tr>
        <w:tc>
          <w:tcPr>
            <w:tcW w:type="dxa" w:w="4514"/>
          </w:tcPr>
          <w:p>
            <w:r/>
            <w:r>
              <w:drawing>
                <wp:inline xmlns:a="http://schemas.openxmlformats.org/drawingml/2006/main" xmlns:pic="http://schemas.openxmlformats.org/drawingml/2006/picture">
                  <wp:extent cx="2651760" cy="1692359"/>
                  <wp:docPr id="6" name="Picture 6"/>
                  <wp:cNvGraphicFramePr>
                    <a:graphicFrameLocks noChangeAspect="1"/>
                  </wp:cNvGraphicFramePr>
                  <a:graphic>
                    <a:graphicData uri="http://schemas.openxmlformats.org/drawingml/2006/picture">
                      <pic:pic>
                        <pic:nvPicPr>
                          <pic:cNvPr id="0" name="fig4_tb_qk_array_cropped.png"/>
                          <pic:cNvPicPr/>
                        </pic:nvPicPr>
                        <pic:blipFill>
                          <a:blip r:embed="rId16"/>
                          <a:stretch>
                            <a:fillRect/>
                          </a:stretch>
                        </pic:blipFill>
                        <pic:spPr>
                          <a:xfrm>
                            <a:off x="0" y="0"/>
                            <a:ext cx="2651760" cy="1692359"/>
                          </a:xfrm>
                          <a:prstGeom prst="rect"/>
                        </pic:spPr>
                      </pic:pic>
                    </a:graphicData>
                  </a:graphic>
                </wp:inline>
              </w:drawing>
            </w:r>
          </w:p>
          <w:p>
            <w:pPr>
              <w:jc w:val="center"/>
            </w:pPr>
            <w:r>
              <w:rPr>
                <w:rFonts w:ascii="Times New Roman" w:hAnsi="Times New Roman"/>
                <w:i/>
                <w:color w:val="555555"/>
                <w:sz w:val="18"/>
              </w:rPr>
              <w:t>Figure 6a. tb_qk_array.sv</w:t>
            </w:r>
          </w:p>
        </w:tc>
        <w:tc>
          <w:tcPr>
            <w:tcW w:type="dxa" w:w="4514"/>
          </w:tcPr>
          <w:p>
            <w:r>
              <w:drawing>
                <wp:inline xmlns:a="http://schemas.openxmlformats.org/drawingml/2006/main" xmlns:pic="http://schemas.openxmlformats.org/drawingml/2006/picture">
                  <wp:extent cx="2651760" cy="1606038"/>
                  <wp:docPr id="7" name="Picture 7"/>
                  <wp:cNvGraphicFramePr>
                    <a:graphicFrameLocks noChangeAspect="1"/>
                  </wp:cNvGraphicFramePr>
                  <a:graphic>
                    <a:graphicData uri="http://schemas.openxmlformats.org/drawingml/2006/picture">
                      <pic:pic>
                        <pic:nvPicPr>
                          <pic:cNvPr id="0" name="tb_rope_cropped.png"/>
                          <pic:cNvPicPr/>
                        </pic:nvPicPr>
                        <pic:blipFill>
                          <a:blip r:embed="rId17"/>
                          <a:stretch>
                            <a:fillRect/>
                          </a:stretch>
                        </pic:blipFill>
                        <pic:spPr>
                          <a:xfrm>
                            <a:off x="0" y="0"/>
                            <a:ext cx="2651760" cy="1606038"/>
                          </a:xfrm>
                          <a:prstGeom prst="rect"/>
                        </pic:spPr>
                      </pic:pic>
                    </a:graphicData>
                  </a:graphic>
                </wp:inline>
              </w:drawing>
            </w:r>
          </w:p>
          <w:p>
            <w:pPr>
              <w:jc w:val="center"/>
            </w:pPr>
            <w:r>
              <w:rPr>
                <w:rFonts w:ascii="Times New Roman" w:hAnsi="Times New Roman"/>
                <w:i/>
                <w:color w:val="555555"/>
                <w:sz w:val="18"/>
              </w:rPr>
              <w:t>Figure 6b. tb_rope.sv</w:t>
            </w:r>
          </w:p>
        </w:tc>
      </w:tr>
      <w:tr>
        <w:tc>
          <w:tcPr>
            <w:tcW w:type="dxa" w:w="4514"/>
          </w:tcPr>
          <w:p>
            <w:r>
              <w:drawing>
                <wp:inline xmlns:a="http://schemas.openxmlformats.org/drawingml/2006/main" xmlns:pic="http://schemas.openxmlformats.org/drawingml/2006/picture">
                  <wp:extent cx="2651760" cy="1534428"/>
                  <wp:docPr id="8" name="Picture 8"/>
                  <wp:cNvGraphicFramePr>
                    <a:graphicFrameLocks noChangeAspect="1"/>
                  </wp:cNvGraphicFramePr>
                  <a:graphic>
                    <a:graphicData uri="http://schemas.openxmlformats.org/drawingml/2006/picture">
                      <pic:pic>
                        <pic:nvPicPr>
                          <pic:cNvPr id="0" name="tb_gqa_mapper_cropped.png"/>
                          <pic:cNvPicPr/>
                        </pic:nvPicPr>
                        <pic:blipFill>
                          <a:blip r:embed="rId18"/>
                          <a:stretch>
                            <a:fillRect/>
                          </a:stretch>
                        </pic:blipFill>
                        <pic:spPr>
                          <a:xfrm>
                            <a:off x="0" y="0"/>
                            <a:ext cx="2651760" cy="1534428"/>
                          </a:xfrm>
                          <a:prstGeom prst="rect"/>
                        </pic:spPr>
                      </pic:pic>
                    </a:graphicData>
                  </a:graphic>
                </wp:inline>
              </w:drawing>
            </w:r>
          </w:p>
          <w:p>
            <w:pPr>
              <w:jc w:val="center"/>
            </w:pPr>
            <w:r>
              <w:rPr>
                <w:rFonts w:ascii="Times New Roman" w:hAnsi="Times New Roman"/>
                <w:i/>
                <w:color w:val="555555"/>
                <w:sz w:val="18"/>
              </w:rPr>
              <w:t>Figure 6c. tb_gqa_mapper.sv</w:t>
            </w:r>
          </w:p>
        </w:tc>
        <w:tc>
          <w:tcPr>
            <w:tcW w:type="dxa" w:w="4514"/>
          </w:tcPr>
          <w:p>
            <w:r>
              <w:drawing>
                <wp:inline xmlns:a="http://schemas.openxmlformats.org/drawingml/2006/main" xmlns:pic="http://schemas.openxmlformats.org/drawingml/2006/picture">
                  <wp:extent cx="2651760" cy="1715129"/>
                  <wp:docPr id="9" name="Picture 9"/>
                  <wp:cNvGraphicFramePr>
                    <a:graphicFrameLocks noChangeAspect="1"/>
                  </wp:cNvGraphicFramePr>
                  <a:graphic>
                    <a:graphicData uri="http://schemas.openxmlformats.org/drawingml/2006/picture">
                      <pic:pic>
                        <pic:nvPicPr>
                          <pic:cNvPr id="0" name="tb_scale_softmax_cropped.png"/>
                          <pic:cNvPicPr/>
                        </pic:nvPicPr>
                        <pic:blipFill>
                          <a:blip r:embed="rId19"/>
                          <a:stretch>
                            <a:fillRect/>
                          </a:stretch>
                        </pic:blipFill>
                        <pic:spPr>
                          <a:xfrm>
                            <a:off x="0" y="0"/>
                            <a:ext cx="2651760" cy="1715129"/>
                          </a:xfrm>
                          <a:prstGeom prst="rect"/>
                        </pic:spPr>
                      </pic:pic>
                    </a:graphicData>
                  </a:graphic>
                </wp:inline>
              </w:drawing>
            </w:r>
          </w:p>
          <w:p>
            <w:pPr>
              <w:jc w:val="center"/>
            </w:pPr>
            <w:r>
              <w:rPr>
                <w:rFonts w:ascii="Times New Roman" w:hAnsi="Times New Roman"/>
                <w:i/>
                <w:color w:val="555555"/>
                <w:sz w:val="18"/>
              </w:rPr>
              <w:t>Figure 6d. tb_scale_mask_softmax.sv</w:t>
            </w:r>
          </w:p>
        </w:tc>
      </w:tr>
    </w:tbl>
    <w:p>
      <w:pPr>
        <w:spacing w:before="80" w:after="200"/>
        <w:jc w:val="center"/>
      </w:pPr>
      <w:r>
        <w:rPr>
          <w:rFonts w:ascii="Times New Roman" w:hAnsi="Times New Roman"/>
          <w:i/>
          <w:color w:val="555555"/>
          <w:sz w:val="19"/>
        </w:rPr>
        <w:t>Figure 6. Representative waveforms from four of the seven testbenches.</w:t>
      </w:r>
    </w:p>
    <w:p>
      <w:r>
        <w:br w:type="page"/>
      </w:r>
    </w:p>
    <w:p>
      <w:pPr>
        <w:keepNext/>
        <w:spacing w:before="400" w:after="160"/>
      </w:pPr>
      <w:r>
        <w:rPr>
          <w:rFonts w:ascii="Times New Roman" w:hAnsi="Times New Roman"/>
          <w:b/>
          <w:color w:val="000000"/>
          <w:sz w:val="30"/>
        </w:rPr>
        <w:t>5. Resource Utilization</w:t>
      </w:r>
    </w:p>
    <w:p>
      <w:pPr>
        <w:spacing w:after="160"/>
        <w:jc w:val="both"/>
      </w:pPr>
      <w:r>
        <w:rPr>
          <w:rFonts w:ascii="Times New Roman" w:hAnsi="Times New Roman"/>
          <w:color w:val="000000"/>
          <w:sz w:val="22"/>
        </w:rPr>
        <w:t>Post-implementation synthesis targets a Xilinx Artix-7 device (Nexys4 DDR, xc7a100tcsg324-1) in Vivado 2024.1. The design uses no DSP48E1 slices and no Block RAM at all, consistent with the goal of a portable, LUT-only BF16 arithmetic core: the majority of LUT usage is distributed RAM for weight and ROM storage rather than logic.</w:t>
      </w:r>
    </w:p>
    <w:p>
      <w:pPr>
        <w:spacing w:before="200" w:after="80"/>
      </w:pPr>
      <w:r>
        <w:rPr>
          <w:rFonts w:ascii="Times New Roman" w:hAnsi="Times New Roman"/>
          <w:b/>
          <w:color w:val="000000"/>
          <w:sz w:val="21"/>
        </w:rPr>
        <w:t>Table 2. Post-implementation resource utilization.</w:t>
      </w:r>
    </w:p>
    <w:tbl>
      <w:tblPr>
        <w:tblW w:type="auto" w:w="0"/>
        <w:tblLayout w:type="fixed"/>
        <w:tblLook w:firstColumn="1" w:firstRow="1" w:lastColumn="0" w:lastRow="0" w:noHBand="0" w:noVBand="1" w:val="04A0"/>
        <w:tblW w:type="dxa" w:w="7632"/>
        <w:tblLayout w:type="fixed"/>
        <w:tblBorders>
          <w:top w:val="single" w:sz="4" w:color="AAAAAA"/>
          <w:left w:val="single" w:sz="4" w:color="AAAAAA"/>
          <w:bottom w:val="single" w:sz="4" w:color="AAAAAA"/>
          <w:right w:val="single" w:sz="4" w:color="AAAAAA"/>
          <w:insideH w:val="single" w:sz="4" w:color="AAAAAA"/>
          <w:insideV w:val="single" w:sz="4" w:color="AAAAAA"/>
        </w:tblBorders>
      </w:tblPr>
      <w:tblGrid>
        <w:gridCol w:w="2257"/>
        <w:gridCol w:w="2257"/>
        <w:gridCol w:w="2257"/>
        <w:gridCol w:w="2257"/>
      </w:tblGrid>
      <w:tr>
        <w:trPr>
          <w:tblHeader/>
        </w:trPr>
        <w:tc>
          <w:tcPr>
            <w:tcW w:type="dxa" w:w="2304"/>
            <w:shd w:fill="2B2B2B"/>
          </w:tcPr>
          <w:p>
            <w:pPr>
              <w:jc w:val="center"/>
            </w:pPr>
            <w:r>
              <w:rPr>
                <w:rFonts w:ascii="Times New Roman" w:hAnsi="Times New Roman"/>
                <w:b/>
                <w:color w:val="FFFFFF"/>
                <w:sz w:val="20"/>
              </w:rPr>
              <w:t>Resource</w:t>
            </w:r>
          </w:p>
        </w:tc>
        <w:tc>
          <w:tcPr>
            <w:tcW w:type="dxa" w:w="1584"/>
            <w:shd w:fill="2B2B2B"/>
          </w:tcPr>
          <w:p>
            <w:pPr>
              <w:jc w:val="center"/>
            </w:pPr>
            <w:r>
              <w:rPr>
                <w:rFonts w:ascii="Times New Roman" w:hAnsi="Times New Roman"/>
                <w:b/>
                <w:color w:val="FFFFFF"/>
                <w:sz w:val="20"/>
              </w:rPr>
              <w:t>Used</w:t>
            </w:r>
          </w:p>
        </w:tc>
        <w:tc>
          <w:tcPr>
            <w:tcW w:type="dxa" w:w="1872"/>
            <w:shd w:fill="2B2B2B"/>
          </w:tcPr>
          <w:p>
            <w:pPr>
              <w:jc w:val="center"/>
            </w:pPr>
            <w:r>
              <w:rPr>
                <w:rFonts w:ascii="Times New Roman" w:hAnsi="Times New Roman"/>
                <w:b/>
                <w:color w:val="FFFFFF"/>
                <w:sz w:val="20"/>
              </w:rPr>
              <w:t>Available</w:t>
            </w:r>
          </w:p>
        </w:tc>
        <w:tc>
          <w:tcPr>
            <w:tcW w:type="dxa" w:w="1872"/>
            <w:shd w:fill="2B2B2B"/>
          </w:tcPr>
          <w:p>
            <w:pPr>
              <w:jc w:val="center"/>
            </w:pPr>
            <w:r>
              <w:rPr>
                <w:rFonts w:ascii="Times New Roman" w:hAnsi="Times New Roman"/>
                <w:b/>
                <w:color w:val="FFFFFF"/>
                <w:sz w:val="20"/>
              </w:rPr>
              <w:t>Utilization</w:t>
            </w:r>
          </w:p>
        </w:tc>
      </w:tr>
      <w:tr>
        <w:tc>
          <w:tcPr>
            <w:tcW w:type="dxa" w:w="2304"/>
          </w:tcPr>
          <w:p>
            <w:pPr>
              <w:jc w:val="left"/>
            </w:pPr>
            <w:r>
              <w:rPr>
                <w:rFonts w:ascii="Times New Roman" w:hAnsi="Times New Roman"/>
                <w:color w:val="000000"/>
                <w:sz w:val="20"/>
              </w:rPr>
              <w:t>Slice LUTs</w:t>
            </w:r>
          </w:p>
        </w:tc>
        <w:tc>
          <w:tcPr>
            <w:tcW w:type="dxa" w:w="1584"/>
          </w:tcPr>
          <w:p>
            <w:pPr>
              <w:jc w:val="center"/>
            </w:pPr>
            <w:r>
              <w:rPr>
                <w:rFonts w:ascii="Times New Roman" w:hAnsi="Times New Roman"/>
                <w:color w:val="000000"/>
                <w:sz w:val="20"/>
              </w:rPr>
              <w:t>1,486</w:t>
            </w:r>
          </w:p>
        </w:tc>
        <w:tc>
          <w:tcPr>
            <w:tcW w:type="dxa" w:w="1872"/>
          </w:tcPr>
          <w:p>
            <w:pPr>
              <w:jc w:val="center"/>
            </w:pPr>
            <w:r>
              <w:rPr>
                <w:rFonts w:ascii="Times New Roman" w:hAnsi="Times New Roman"/>
                <w:color w:val="000000"/>
                <w:sz w:val="20"/>
              </w:rPr>
              <w:t>63,400</w:t>
            </w:r>
          </w:p>
        </w:tc>
        <w:tc>
          <w:tcPr>
            <w:tcW w:type="dxa" w:w="1872"/>
          </w:tcPr>
          <w:p>
            <w:pPr>
              <w:jc w:val="center"/>
            </w:pPr>
            <w:r>
              <w:rPr>
                <w:rFonts w:ascii="Times New Roman" w:hAnsi="Times New Roman"/>
                <w:color w:val="000000"/>
                <w:sz w:val="20"/>
              </w:rPr>
              <w:t>2.34%</w:t>
            </w:r>
          </w:p>
        </w:tc>
      </w:tr>
      <w:tr>
        <w:tc>
          <w:tcPr>
            <w:tcW w:type="dxa" w:w="2304"/>
          </w:tcPr>
          <w:p>
            <w:pPr>
              <w:jc w:val="left"/>
            </w:pPr>
            <w:r>
              <w:rPr>
                <w:rFonts w:ascii="Times New Roman" w:hAnsi="Times New Roman"/>
                <w:color w:val="000000"/>
                <w:sz w:val="20"/>
              </w:rPr>
              <w:t>Slice Registers</w:t>
            </w:r>
          </w:p>
        </w:tc>
        <w:tc>
          <w:tcPr>
            <w:tcW w:type="dxa" w:w="1584"/>
          </w:tcPr>
          <w:p>
            <w:pPr>
              <w:jc w:val="center"/>
            </w:pPr>
            <w:r>
              <w:rPr>
                <w:rFonts w:ascii="Times New Roman" w:hAnsi="Times New Roman"/>
                <w:color w:val="000000"/>
                <w:sz w:val="20"/>
              </w:rPr>
              <w:t>510</w:t>
            </w:r>
          </w:p>
        </w:tc>
        <w:tc>
          <w:tcPr>
            <w:tcW w:type="dxa" w:w="1872"/>
          </w:tcPr>
          <w:p>
            <w:pPr>
              <w:jc w:val="center"/>
            </w:pPr>
            <w:r>
              <w:rPr>
                <w:rFonts w:ascii="Times New Roman" w:hAnsi="Times New Roman"/>
                <w:color w:val="000000"/>
                <w:sz w:val="20"/>
              </w:rPr>
              <w:t>126,800</w:t>
            </w:r>
          </w:p>
        </w:tc>
        <w:tc>
          <w:tcPr>
            <w:tcW w:type="dxa" w:w="1872"/>
          </w:tcPr>
          <w:p>
            <w:pPr>
              <w:jc w:val="center"/>
            </w:pPr>
            <w:r>
              <w:rPr>
                <w:rFonts w:ascii="Times New Roman" w:hAnsi="Times New Roman"/>
                <w:color w:val="000000"/>
                <w:sz w:val="20"/>
              </w:rPr>
              <w:t>0.40%</w:t>
            </w:r>
          </w:p>
        </w:tc>
      </w:tr>
      <w:tr>
        <w:tc>
          <w:tcPr>
            <w:tcW w:type="dxa" w:w="2304"/>
          </w:tcPr>
          <w:p>
            <w:pPr>
              <w:jc w:val="left"/>
            </w:pPr>
            <w:r>
              <w:rPr>
                <w:rFonts w:ascii="Times New Roman" w:hAnsi="Times New Roman"/>
                <w:color w:val="000000"/>
                <w:sz w:val="20"/>
              </w:rPr>
              <w:t>Block RAM</w:t>
            </w:r>
          </w:p>
        </w:tc>
        <w:tc>
          <w:tcPr>
            <w:tcW w:type="dxa" w:w="1584"/>
          </w:tcPr>
          <w:p>
            <w:pPr>
              <w:jc w:val="center"/>
            </w:pPr>
            <w:r>
              <w:rPr>
                <w:rFonts w:ascii="Times New Roman" w:hAnsi="Times New Roman"/>
                <w:color w:val="000000"/>
                <w:sz w:val="20"/>
              </w:rPr>
              <w:t>0</w:t>
            </w:r>
          </w:p>
        </w:tc>
        <w:tc>
          <w:tcPr>
            <w:tcW w:type="dxa" w:w="1872"/>
          </w:tcPr>
          <w:p>
            <w:pPr>
              <w:jc w:val="center"/>
            </w:pPr>
            <w:r>
              <w:rPr>
                <w:rFonts w:ascii="Times New Roman" w:hAnsi="Times New Roman"/>
                <w:color w:val="000000"/>
                <w:sz w:val="20"/>
              </w:rPr>
              <w:t>135</w:t>
            </w:r>
          </w:p>
        </w:tc>
        <w:tc>
          <w:tcPr>
            <w:tcW w:type="dxa" w:w="1872"/>
          </w:tcPr>
          <w:p>
            <w:pPr>
              <w:jc w:val="center"/>
            </w:pPr>
            <w:r>
              <w:rPr>
                <w:rFonts w:ascii="Times New Roman" w:hAnsi="Times New Roman"/>
                <w:color w:val="000000"/>
                <w:sz w:val="20"/>
              </w:rPr>
              <w:t>0.00%</w:t>
            </w:r>
          </w:p>
        </w:tc>
      </w:tr>
      <w:tr>
        <w:tc>
          <w:tcPr>
            <w:tcW w:type="dxa" w:w="2304"/>
          </w:tcPr>
          <w:p>
            <w:pPr>
              <w:jc w:val="left"/>
            </w:pPr>
            <w:r>
              <w:rPr>
                <w:rFonts w:ascii="Times New Roman" w:hAnsi="Times New Roman"/>
                <w:color w:val="000000"/>
                <w:sz w:val="20"/>
              </w:rPr>
              <w:t>DSP48E1</w:t>
            </w:r>
          </w:p>
        </w:tc>
        <w:tc>
          <w:tcPr>
            <w:tcW w:type="dxa" w:w="1584"/>
          </w:tcPr>
          <w:p>
            <w:pPr>
              <w:jc w:val="center"/>
            </w:pPr>
            <w:r>
              <w:rPr>
                <w:rFonts w:ascii="Times New Roman" w:hAnsi="Times New Roman"/>
                <w:color w:val="000000"/>
                <w:sz w:val="20"/>
              </w:rPr>
              <w:t>0</w:t>
            </w:r>
          </w:p>
        </w:tc>
        <w:tc>
          <w:tcPr>
            <w:tcW w:type="dxa" w:w="1872"/>
          </w:tcPr>
          <w:p>
            <w:pPr>
              <w:jc w:val="center"/>
            </w:pPr>
            <w:r>
              <w:rPr>
                <w:rFonts w:ascii="Times New Roman" w:hAnsi="Times New Roman"/>
                <w:color w:val="000000"/>
                <w:sz w:val="20"/>
              </w:rPr>
              <w:t>240</w:t>
            </w:r>
          </w:p>
        </w:tc>
        <w:tc>
          <w:tcPr>
            <w:tcW w:type="dxa" w:w="1872"/>
          </w:tcPr>
          <w:p>
            <w:pPr>
              <w:jc w:val="center"/>
            </w:pPr>
            <w:r>
              <w:rPr>
                <w:rFonts w:ascii="Times New Roman" w:hAnsi="Times New Roman"/>
                <w:color w:val="000000"/>
                <w:sz w:val="20"/>
              </w:rPr>
              <w:t>0.00%</w:t>
            </w:r>
          </w:p>
        </w:tc>
      </w:tr>
    </w:tbl>
    <w:p>
      <w:pPr>
        <w:spacing w:after="200"/>
      </w:pPr>
    </w:p>
    <w:p>
      <w:pPr>
        <w:spacing w:after="160"/>
        <w:jc w:val="both"/>
      </w:pPr>
      <w:r>
        <w:rPr>
          <w:rFonts w:ascii="Times New Roman" w:hAnsi="Times New Roman"/>
          <w:color w:val="000000"/>
          <w:sz w:val="22"/>
        </w:rPr>
        <w:t>A single port-width bug during integration, an AXI-Stream data output declared 16 bits wide instead of 32, was enough for Vivado's synthesizer to prove the entire output path carried no usable information and quietly optimize the design from roughly 1,500 real LUTs down to 73. Correcting that one port restored the full pipeline to the numbers above, and is the reason the team now treats a clean post-synthesis utilization report, not just a passing simulation, as part of verifying a merge.</w:t>
      </w:r>
    </w:p>
    <w:p>
      <w:pPr>
        <w:spacing w:before="120"/>
        <w:jc w:val="center"/>
      </w:pPr>
      <w:r>
        <w:drawing>
          <wp:inline xmlns:a="http://schemas.openxmlformats.org/drawingml/2006/main" xmlns:pic="http://schemas.openxmlformats.org/drawingml/2006/picture">
            <wp:extent cx="2377440" cy="3579034"/>
            <wp:docPr id="10" name="Picture 10"/>
            <wp:cNvGraphicFramePr>
              <a:graphicFrameLocks noChangeAspect="1"/>
            </wp:cNvGraphicFramePr>
            <a:graphic>
              <a:graphicData uri="http://schemas.openxmlformats.org/drawingml/2006/picture">
                <pic:pic>
                  <pic:nvPicPr>
                    <pic:cNvPr id="0" name="device.png"/>
                    <pic:cNvPicPr/>
                  </pic:nvPicPr>
                  <pic:blipFill>
                    <a:blip r:embed="rId20"/>
                    <a:stretch>
                      <a:fillRect/>
                    </a:stretch>
                  </pic:blipFill>
                  <pic:spPr>
                    <a:xfrm>
                      <a:off x="0" y="0"/>
                      <a:ext cx="2377440" cy="3579034"/>
                    </a:xfrm>
                    <a:prstGeom prst="rect"/>
                  </pic:spPr>
                </pic:pic>
              </a:graphicData>
            </a:graphic>
          </wp:inline>
        </w:drawing>
      </w:r>
    </w:p>
    <w:p>
      <w:pPr>
        <w:spacing w:after="200"/>
        <w:jc w:val="center"/>
      </w:pPr>
      <w:r>
        <w:rPr>
          <w:rFonts w:ascii="Times New Roman" w:hAnsi="Times New Roman"/>
          <w:i/>
          <w:color w:val="555555"/>
          <w:sz w:val="19"/>
        </w:rPr>
        <w:t>Figure 7. Post-implementation device floorplan on the Nexys4 DDR (xc7a100tcsg324-1).</w:t>
      </w:r>
    </w:p>
    <w:p>
      <w:pPr>
        <w:keepNext/>
        <w:spacing w:before="400" w:after="160"/>
      </w:pPr>
      <w:r>
        <w:rPr>
          <w:rFonts w:ascii="Times New Roman" w:hAnsi="Times New Roman"/>
          <w:b/>
          <w:color w:val="000000"/>
          <w:sz w:val="30"/>
        </w:rPr>
        <w:t>6. Integration</w:t>
      </w:r>
    </w:p>
    <w:p>
      <w:pPr>
        <w:spacing w:after="160"/>
        <w:jc w:val="both"/>
      </w:pPr>
      <w:r>
        <w:rPr>
          <w:rFonts w:ascii="Times New Roman" w:hAnsi="Times New Roman"/>
          <w:color w:val="000000"/>
          <w:sz w:val="22"/>
        </w:rPr>
        <w:t>None of the four members' RTL lived in the same place before the integration stage: each person's modules were written and simulated in isolation, against assumptions about the others' interfaces that had never been checked against real code. Merging everything into the single rtl/ tree in this repository surfaced a list of concrete interface mismatches that reading the code side by side would not have caught. Elaborating the whole design in Vivado did: a ping-pong controller expecting a memory port that the memory module never exposed, an internally-computed “last element” signal that never reached the top-level port list, and the port-width bug described in Section 5. Each was found by trying to build the whole chip, not by reviewing any one module on its own.</w:t>
      </w:r>
    </w:p>
    <w:p>
      <w:pPr>
        <w:keepNext/>
        <w:spacing w:before="400" w:after="160"/>
      </w:pPr>
      <w:r>
        <w:rPr>
          <w:rFonts w:ascii="Times New Roman" w:hAnsi="Times New Roman"/>
          <w:b/>
          <w:color w:val="000000"/>
          <w:sz w:val="30"/>
        </w:rPr>
        <w:t>7. Current Limitations</w:t>
      </w:r>
    </w:p>
    <w:p>
      <w:pPr>
        <w:pStyle w:val="ListBullet"/>
        <w:spacing w:after="80"/>
      </w:pPr>
      <w:r>
        <w:rPr>
          <w:rFonts w:ascii="Times New Roman" w:hAnsi="Times New Roman"/>
          <w:color w:val="000000"/>
          <w:sz w:val="22"/>
        </w:rPr>
        <w:t>RoPE's rotation math is exercised by tb_rope.sv but not yet cross-checked against a reference implementation over a wide sweep of positions.</w:t>
      </w:r>
    </w:p>
    <w:p>
      <w:pPr>
        <w:pStyle w:val="ListBullet"/>
        <w:spacing w:after="80"/>
      </w:pPr>
      <w:r>
        <w:rPr>
          <w:rFonts w:ascii="Times New Roman" w:hAnsi="Times New Roman"/>
          <w:color w:val="000000"/>
          <w:sz w:val="22"/>
        </w:rPr>
        <w:t>QKV projection reuses a single multiplier and adder per weight matrix rather than a parallel datapath, which caps throughput until the team confirms a wider design is actually needed.</w:t>
      </w:r>
    </w:p>
    <w:p>
      <w:pPr>
        <w:pStyle w:val="ListBullet"/>
        <w:spacing w:after="80"/>
      </w:pPr>
      <w:r>
        <w:rPr>
          <w:rFonts w:ascii="Times New Roman" w:hAnsi="Times New Roman"/>
          <w:color w:val="000000"/>
          <w:sz w:val="22"/>
        </w:rPr>
        <w:t>The LUT-based exponential and reciprocal in softmax trade numerical accuracy for pipeline simplicity, and the size of that error has not yet been characterized against a floating-point softmax over realistic score distributions.</w:t>
      </w:r>
    </w:p>
    <w:p>
      <w:pPr>
        <w:pStyle w:val="ListBullet"/>
        <w:spacing w:after="80"/>
      </w:pPr>
      <w:r>
        <w:rPr>
          <w:rFonts w:ascii="Times New Roman" w:hAnsi="Times New Roman"/>
          <w:color w:val="000000"/>
          <w:sz w:val="22"/>
        </w:rPr>
        <w:t>End-to-end, multi-token throughput on hardware has not yet been measured: current verification is per-module, in simulation.</w:t>
      </w:r>
    </w:p>
    <w:p/>
    <w:p>
      <w:pPr>
        <w:spacing w:before="400"/>
        <w:jc w:val="center"/>
        <w:pBdr>
          <w:top w:val="single" w:sz="4" w:space="8" w:color="AAAAAA"/>
        </w:pBdr>
      </w:pPr>
      <w:r>
        <w:rPr>
          <w:rFonts w:ascii="Times New Roman" w:hAnsi="Times New Roman"/>
          <w:color w:val="666666"/>
          <w:sz w:val="19"/>
        </w:rPr>
        <w:t>Repository: github.com/ITUYonga/yonga_attention_engine</w:t>
      </w:r>
    </w:p>
    <w:sectPr w:rsidR="00FC693F" w:rsidRPr="0006063C" w:rsidSect="00034616">
      <w:footerReference w:type="first" r:id="rId9"/>
      <w:footerReference w:type="default" r:id="rId10"/>
      <w:pgSz w:w="11909" w:h="16834"/>
      <w:pgMar w:top="1296"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olor w:val="888888"/>
        <w:sz w:val="19"/>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jpe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