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rFonts w:ascii="Verdana" w:cs="Verdana" w:eastAsia="Verdana" w:hAnsi="Verdana"/>
        </w:rPr>
      </w:pPr>
      <w:bookmarkStart w:colFirst="0" w:colLast="0" w:name="_c41h6h7duabq" w:id="0"/>
      <w:bookmarkEnd w:id="0"/>
      <w:r w:rsidDel="00000000" w:rsidR="00000000" w:rsidRPr="00000000">
        <w:rPr>
          <w:rFonts w:ascii="Verdana" w:cs="Verdana" w:eastAsia="Verdana" w:hAnsi="Verdana"/>
          <w:rtl w:val="0"/>
        </w:rPr>
        <w:t xml:space="preserve">Software Engineering Intern, Environment Engineering - Scaler AI Labs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hgnc551fhstx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Scaler AI labs is doing breakthrough work in helping models improve - especially for enterprise use cases, thus driving enterprise AI adoption. Within a span of 6 months, we are already working with each of the Frontier AI Lab behind top 5 AI Models on LMArena, and doing revenue in double digit million dollars. </w:t>
      </w:r>
      <w:r w:rsidDel="00000000" w:rsidR="00000000" w:rsidRPr="00000000">
        <w:rPr>
          <w:color w:val="1d1c1d"/>
          <w:highlight w:val="white"/>
          <w:rtl w:val="0"/>
        </w:rPr>
        <w:t xml:space="preserve">Our team includes two ICPC World Finalists, along with engineers who have previously worked at leading companies and startups such as Meta, Google, Apple, and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work of the AI Lab spans: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RL environments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that simulate real software, tools, and workflows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Data benchmarking and evaluation systems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that measure model capability, reliability, and progress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Custom datasets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(human-generated, AI-generated, and hybrid) designed to improve frontier models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Execution platforms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that enable repeatable, high-quality work across complex task types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Some of this work involves humans; some is fully automated; much of it is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human–AI collaborative by design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Over time, the AI Lab’s learnings are intended to build into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enterprise-grade AI products, driving AI adoption in enterprises and bringing in real value via AI to the enterprises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h4t2yo973plv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Core Responsibilities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Creating RL environments to replicate realistic workflows on popular B2B and B2C application, Software Engineering, Medical, etc workflows.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Working on data benchmarking and evaluation platform creating high quality evals to train frontier AI Models.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Building data engineering pipelines simulating enterprise quality datasets for the RL environments.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Working on the tutor platform allowing data creation at scale.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23yso4cvympv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Must haves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Available for a 2+ month internship (in-office/ virtual) starting 26th May 2026.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Available for working 6 Days per week - Monday to Saturday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Prior experience in either of: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Frontend: ReactJS, NextJS, TypeScript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/>
        <w:ind w:left="144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Backend: Python, FastAPI, Databases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Strong hold on data structures, algorithms, and software design principles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High agility, curiosity and ownership.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Application Form Link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264a3"/>
            <w:rtl w:val="0"/>
          </w:rPr>
          <w:t xml:space="preserve">https://forms.gle/PmxKGt5qLJCmchmQ6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PmxKGt5qLJCmchmQ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