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400"/>
        <w:jc w:val="center"/>
      </w:pPr>
      <w:r>
        <w:rPr>
          <w:b/>
          <w:bCs/>
          <w:i w:val="false"/>
          <w:iCs w:val="false"/>
          <w:sz w:val="28"/>
          <w:szCs w:val="28"/>
        </w:rPr>
        <w:t xml:space="preserve">A PROJECT REPORT</w:t>
      </w:r>
    </w:p>
    <w:p>
      <w:pPr>
        <w:spacing w:after="400"/>
        <w:jc w:val="center"/>
      </w:pPr>
      <w:r>
        <w:rPr>
          <w:b/>
          <w:bCs/>
          <w:i w:val="false"/>
          <w:iCs w:val="false"/>
          <w:sz w:val="24"/>
          <w:szCs w:val="24"/>
        </w:rPr>
        <w:t xml:space="preserve">ON</w:t>
      </w:r>
    </w:p>
    <w:p>
      <w:pPr>
        <w:spacing w:after="200"/>
      </w:pPr>
      <w:r>
        <w:t xml:space="preserve"/>
      </w:r>
    </w:p>
    <w:p>
      <w:pPr>
        <w:spacing w:after="120"/>
        <w:jc w:val="center"/>
      </w:pPr>
      <w:r>
        <w:rPr>
          <w:b/>
          <w:bCs/>
          <w:i w:val="false"/>
          <w:iCs w:val="false"/>
          <w:sz w:val="36"/>
          <w:szCs w:val="36"/>
        </w:rPr>
        <w:t xml:space="preserve">ALUMNI PLATFORM</w:t>
      </w:r>
    </w:p>
    <w:p>
      <w:pPr>
        <w:spacing w:after="60"/>
        <w:jc w:val="center"/>
      </w:pPr>
      <w:r>
        <w:rPr>
          <w:b/>
          <w:bCs/>
          <w:i w:val="false"/>
          <w:iCs w:val="false"/>
          <w:sz w:val="24"/>
          <w:szCs w:val="24"/>
        </w:rPr>
        <w:t xml:space="preserve">A Web-Based Alumni Engagement System with a</w:t>
      </w:r>
    </w:p>
    <w:p>
      <w:pPr>
        <w:spacing w:after="500"/>
        <w:jc w:val="center"/>
      </w:pPr>
      <w:r>
        <w:rPr>
          <w:b/>
          <w:bCs/>
          <w:i w:val="false"/>
          <w:iCs w:val="false"/>
          <w:sz w:val="24"/>
          <w:szCs w:val="24"/>
        </w:rPr>
        <w:t xml:space="preserve">TF-IDF and Cosine Similarity Based Job Recommendation Engine</w:t>
      </w:r>
    </w:p>
    <w:p>
      <w:pPr>
        <w:spacing w:after="200"/>
      </w:pPr>
      <w:r>
        <w:t xml:space="preserve"/>
      </w:r>
    </w:p>
    <w:p>
      <w:pPr>
        <w:spacing w:after="60"/>
        <w:jc w:val="center"/>
      </w:pPr>
      <w:r>
        <w:rPr>
          <w:b w:val="false"/>
          <w:bCs w:val="false"/>
          <w:i w:val="false"/>
          <w:iCs w:val="false"/>
          <w:sz w:val="24"/>
          <w:szCs w:val="24"/>
        </w:rPr>
        <w:t xml:space="preserve">Submitted in partial fulfilment of the requirements for the course</w:t>
      </w:r>
    </w:p>
    <w:p>
      <w:pPr>
        <w:spacing w:after="600"/>
        <w:jc w:val="center"/>
      </w:pPr>
      <w:r>
        <w:rPr>
          <w:b/>
          <w:bCs/>
          <w:i w:val="false"/>
          <w:iCs w:val="false"/>
          <w:sz w:val="26"/>
          <w:szCs w:val="26"/>
        </w:rPr>
        <w:t xml:space="preserve">MACHINE LEARNING TECHNIQUES</w:t>
      </w:r>
    </w:p>
    <w:p>
      <w:pPr>
        <w:spacing w:after="300"/>
      </w:pPr>
      <w:r>
        <w:t xml:space="preserve"/>
      </w:r>
    </w:p>
    <w:p>
      <w:pPr>
        <w:spacing w:after="100"/>
        <w:jc w:val="center"/>
      </w:pPr>
      <w:r>
        <w:rPr>
          <w:b w:val="false"/>
          <w:bCs w:val="false"/>
          <w:i w:val="false"/>
          <w:iCs w:val="false"/>
          <w:sz w:val="24"/>
          <w:szCs w:val="24"/>
        </w:rPr>
        <w:t xml:space="preserve">Submitted by</w:t>
      </w:r>
    </w:p>
    <w:p>
      <w:pPr>
        <w:spacing w:after="60"/>
        <w:jc w:val="center"/>
      </w:pPr>
      <w:r>
        <w:rPr>
          <w:b/>
          <w:bCs/>
          <w:i w:val="false"/>
          <w:iCs w:val="false"/>
          <w:sz w:val="26"/>
          <w:szCs w:val="26"/>
        </w:rPr>
        <w:t xml:space="preserve">[STUDENT NAME]</w:t>
      </w:r>
    </w:p>
    <w:p>
      <w:pPr>
        <w:spacing w:after="500"/>
        <w:jc w:val="center"/>
      </w:pPr>
      <w:r>
        <w:rPr>
          <w:b w:val="false"/>
          <w:bCs w:val="false"/>
          <w:i w:val="false"/>
          <w:iCs w:val="false"/>
          <w:sz w:val="24"/>
          <w:szCs w:val="24"/>
        </w:rPr>
        <w:t xml:space="preserve">Roll No. / Registration No.: [ROLL NUMBER]</w:t>
      </w:r>
    </w:p>
    <w:p>
      <w:pPr>
        <w:spacing w:after="300"/>
      </w:pPr>
      <w:r>
        <w:t xml:space="preserve"/>
      </w:r>
    </w:p>
    <w:p>
      <w:pPr>
        <w:spacing w:after="100"/>
        <w:jc w:val="center"/>
      </w:pPr>
      <w:r>
        <w:rPr>
          <w:b w:val="false"/>
          <w:bCs w:val="false"/>
          <w:i w:val="false"/>
          <w:iCs w:val="false"/>
          <w:sz w:val="24"/>
          <w:szCs w:val="24"/>
        </w:rPr>
        <w:t xml:space="preserve">Under the guidance of</w:t>
      </w:r>
    </w:p>
    <w:p>
      <w:pPr>
        <w:spacing w:after="60"/>
        <w:jc w:val="center"/>
      </w:pPr>
      <w:r>
        <w:rPr>
          <w:b/>
          <w:bCs/>
          <w:i w:val="false"/>
          <w:iCs w:val="false"/>
          <w:sz w:val="26"/>
          <w:szCs w:val="26"/>
        </w:rPr>
        <w:t xml:space="preserve">[GUIDE / FACULTY MENTOR NAME]</w:t>
      </w:r>
    </w:p>
    <w:p>
      <w:pPr>
        <w:spacing w:after="700"/>
        <w:jc w:val="center"/>
      </w:pPr>
      <w:r>
        <w:rPr>
          <w:b w:val="false"/>
          <w:bCs w:val="false"/>
          <w:i w:val="false"/>
          <w:iCs w:val="false"/>
          <w:sz w:val="24"/>
          <w:szCs w:val="24"/>
        </w:rPr>
        <w:t xml:space="preserve">[GUIDE DESIGNATION, DEPARTMENT]</w:t>
      </w:r>
    </w:p>
    <w:p>
      <w:pPr>
        <w:spacing w:after="400"/>
      </w:pPr>
      <w:r>
        <w:t xml:space="preserve"/>
      </w:r>
    </w:p>
    <w:p>
      <w:pPr>
        <w:spacing w:after="60"/>
        <w:jc w:val="center"/>
      </w:pPr>
      <w:r>
        <w:rPr>
          <w:b/>
          <w:bCs/>
          <w:i w:val="false"/>
          <w:iCs w:val="false"/>
          <w:sz w:val="24"/>
          <w:szCs w:val="24"/>
        </w:rPr>
        <w:t xml:space="preserve">[DEPARTMENT NAME]</w:t>
      </w:r>
    </w:p>
    <w:p>
      <w:pPr>
        <w:spacing w:after="60"/>
        <w:jc w:val="center"/>
      </w:pPr>
      <w:r>
        <w:rPr>
          <w:b/>
          <w:bCs/>
          <w:i w:val="false"/>
          <w:iCs w:val="false"/>
          <w:sz w:val="26"/>
          <w:szCs w:val="26"/>
        </w:rPr>
        <w:t xml:space="preserve">[INSTITUTION / UNIVERSITY NAME]</w:t>
      </w:r>
    </w:p>
    <w:p>
      <w:pPr>
        <w:spacing w:after="60"/>
        <w:jc w:val="center"/>
      </w:pPr>
      <w:r>
        <w:rPr>
          <w:b w:val="false"/>
          <w:bCs w:val="false"/>
          <w:i w:val="false"/>
          <w:iCs w:val="false"/>
          <w:sz w:val="24"/>
          <w:szCs w:val="24"/>
        </w:rPr>
        <w:t xml:space="preserve">[CITY, STATE]</w:t>
      </w:r>
    </w:p>
    <w:p>
      <w:pPr>
        <w:spacing w:after="0"/>
        <w:jc w:val="center"/>
      </w:pPr>
      <w:r>
        <w:rPr>
          <w:b/>
          <w:bCs/>
          <w:i w:val="false"/>
          <w:iCs w:val="false"/>
          <w:sz w:val="24"/>
          <w:szCs w:val="24"/>
        </w:rPr>
        <w:t xml:space="preserve">[MONTH, YEAR]</w:t>
      </w:r>
    </w:p>
    <w:p>
      <w:pPr>
        <w:pStyle w:val="Heading1"/>
        <w:pageBreakBefore/>
        <w:spacing w:after="240" w:before="0"/>
      </w:pPr>
      <w:r>
        <w:t xml:space="preserve">CERTIFICATE</w:t>
      </w:r>
    </w:p>
    <w:p>
      <w:pPr>
        <w:spacing w:after="200" w:line="360"/>
        <w:jc w:val="both"/>
      </w:pPr>
      <w:r>
        <w:rPr>
          <w:b w:val="false"/>
          <w:bCs w:val="false"/>
          <w:i w:val="false"/>
          <w:iCs w:val="false"/>
          <w:sz w:val="24"/>
          <w:szCs w:val="24"/>
        </w:rPr>
        <w:t xml:space="preserve">This is to certify that the project report entitled “Alumni Platform: A Web-Based Alumni Engagement System with a TF-IDF and Cosine Similarity Based Job Recommendation Engine” is a bona fide record of work carried out by [STUDENT NAME], Roll No. [ROLL NUMBER], in partial fulfilment of the requirements of the course Machine Learning Techniques at [INSTITUTION NAME], during the academic year [YEAR].</w:t>
      </w:r>
    </w:p>
    <w:p>
      <w:pPr>
        <w:spacing w:after="200" w:line="360"/>
        <w:jc w:val="both"/>
      </w:pPr>
      <w:r>
        <w:rPr>
          <w:b w:val="false"/>
          <w:bCs w:val="false"/>
          <w:i w:val="false"/>
          <w:iCs w:val="false"/>
          <w:sz w:val="24"/>
          <w:szCs w:val="24"/>
        </w:rPr>
        <w:t xml:space="preserve">The work embodied in this report was carried out under my supervision and, to the best of my knowledge, has not been submitted elsewhere, either in part or in full, for the award of any other degree, diploma, or similar title.</w:t>
      </w:r>
    </w:p>
    <w:p>
      <w:pPr>
        <w:spacing w:after="500"/>
      </w:pPr>
      <w:r>
        <w:t xml:space="preserve"/>
      </w:r>
    </w:p>
    <w:p>
      <w:pPr>
        <w:spacing w:after="200" w:line="360"/>
        <w:jc w:val="left"/>
      </w:pPr>
      <w:r>
        <w:rPr>
          <w:b w:val="false"/>
          <w:bCs w:val="false"/>
          <w:i w:val="false"/>
          <w:iCs w:val="false"/>
          <w:sz w:val="24"/>
          <w:szCs w:val="24"/>
        </w:rPr>
        <w:t xml:space="preserve">Date: [DATE]</w:t>
      </w:r>
    </w:p>
    <w:p>
      <w:pPr>
        <w:spacing w:after="200" w:line="360"/>
        <w:jc w:val="left"/>
      </w:pPr>
      <w:r>
        <w:rPr>
          <w:b w:val="false"/>
          <w:bCs w:val="false"/>
          <w:i w:val="false"/>
          <w:iCs w:val="false"/>
          <w:sz w:val="24"/>
          <w:szCs w:val="24"/>
        </w:rPr>
        <w:t xml:space="preserve">Place: [PLACE]</w:t>
      </w:r>
    </w:p>
    <w:p>
      <w:pPr>
        <w:spacing w:after="600"/>
      </w:pPr>
      <w:r>
        <w:t xml:space="preserve"/>
      </w:r>
    </w:p>
    <w:tbl>
      <w:tblPr>
        <w:tblW w:type="dxa" w:w="9350"/>
        <w:tblBorders>
          <w:top w:val="none"/>
          <w:left w:val="none"/>
          <w:bottom w:val="none"/>
          <w:right w:val="none"/>
          <w:insideH w:val="none"/>
          <w:insideV w:val="none"/>
        </w:tblBorders>
      </w:tblPr>
      <w:tblGrid>
        <w:gridCol w:w="4675"/>
        <w:gridCol w:w="4675"/>
      </w:tblGrid>
      <w:tr>
        <w:tc>
          <w:tcPr>
            <w:tcW w:type="dxa" w:w="4675"/>
          </w:tcPr>
          <w:p>
            <w:pPr>
              <w:spacing w:after="200" w:line="360"/>
              <w:jc w:val="left"/>
            </w:pPr>
            <w:r>
              <w:rPr>
                <w:b w:val="false"/>
                <w:bCs w:val="false"/>
                <w:i w:val="false"/>
                <w:iCs w:val="false"/>
                <w:sz w:val="24"/>
                <w:szCs w:val="24"/>
              </w:rPr>
              <w:t xml:space="preserve">_______________________________</w:t>
            </w:r>
          </w:p>
          <w:p>
            <w:pPr>
              <w:spacing w:after="200" w:line="360"/>
              <w:jc w:val="left"/>
            </w:pPr>
            <w:r>
              <w:rPr>
                <w:b/>
                <w:bCs/>
                <w:i w:val="false"/>
                <w:iCs w:val="false"/>
                <w:sz w:val="24"/>
                <w:szCs w:val="24"/>
              </w:rPr>
              <w:t xml:space="preserve">[GUIDE NAME]</w:t>
            </w:r>
          </w:p>
          <w:p>
            <w:pPr>
              <w:spacing w:after="200" w:line="360"/>
              <w:jc w:val="left"/>
            </w:pPr>
            <w:r>
              <w:rPr>
                <w:b w:val="false"/>
                <w:bCs w:val="false"/>
                <w:i w:val="false"/>
                <w:iCs w:val="false"/>
                <w:sz w:val="24"/>
                <w:szCs w:val="24"/>
              </w:rPr>
              <w:t xml:space="preserve">[GUIDE DESIGNATION]</w:t>
            </w:r>
          </w:p>
          <w:p>
            <w:pPr>
              <w:spacing w:after="200" w:line="360"/>
              <w:jc w:val="left"/>
            </w:pPr>
            <w:r>
              <w:rPr>
                <w:b w:val="false"/>
                <w:bCs w:val="false"/>
                <w:i w:val="false"/>
                <w:iCs w:val="false"/>
                <w:sz w:val="24"/>
                <w:szCs w:val="24"/>
              </w:rPr>
              <w:t xml:space="preserve">Project Guide</w:t>
            </w:r>
          </w:p>
        </w:tc>
        <w:tc>
          <w:tcPr>
            <w:tcW w:type="dxa" w:w="4675"/>
          </w:tcPr>
          <w:p>
            <w:pPr>
              <w:spacing w:after="200" w:line="360"/>
              <w:jc w:val="left"/>
            </w:pPr>
            <w:r>
              <w:rPr>
                <w:b w:val="false"/>
                <w:bCs w:val="false"/>
                <w:i w:val="false"/>
                <w:iCs w:val="false"/>
                <w:sz w:val="24"/>
                <w:szCs w:val="24"/>
              </w:rPr>
              <w:t xml:space="preserve">_______________________________</w:t>
            </w:r>
          </w:p>
          <w:p>
            <w:pPr>
              <w:spacing w:after="200" w:line="360"/>
              <w:jc w:val="left"/>
            </w:pPr>
            <w:r>
              <w:rPr>
                <w:b/>
                <w:bCs/>
                <w:i w:val="false"/>
                <w:iCs w:val="false"/>
                <w:sz w:val="24"/>
                <w:szCs w:val="24"/>
              </w:rPr>
              <w:t xml:space="preserve">[HOD NAME]</w:t>
            </w:r>
          </w:p>
          <w:p>
            <w:pPr>
              <w:spacing w:after="200" w:line="360"/>
              <w:jc w:val="left"/>
            </w:pPr>
            <w:r>
              <w:rPr>
                <w:b w:val="false"/>
                <w:bCs w:val="false"/>
                <w:i w:val="false"/>
                <w:iCs w:val="false"/>
                <w:sz w:val="24"/>
                <w:szCs w:val="24"/>
              </w:rPr>
              <w:t xml:space="preserve">Head of Department</w:t>
            </w:r>
          </w:p>
          <w:p>
            <w:pPr>
              <w:spacing w:after="200" w:line="360"/>
              <w:jc w:val="left"/>
            </w:pPr>
            <w:r>
              <w:rPr>
                <w:b w:val="false"/>
                <w:bCs w:val="false"/>
                <w:i w:val="false"/>
                <w:iCs w:val="false"/>
                <w:sz w:val="24"/>
                <w:szCs w:val="24"/>
              </w:rPr>
              <w:t xml:space="preserve">[DEPARTMENT NAME]</w:t>
            </w:r>
          </w:p>
        </w:tc>
      </w:tr>
    </w:tbl>
    <w:p>
      <w:pPr>
        <w:spacing w:after="400"/>
      </w:pPr>
      <w:r>
        <w:t xml:space="preserve"/>
      </w:r>
    </w:p>
    <w:p>
      <w:pPr>
        <w:spacing w:after="200" w:line="360"/>
        <w:jc w:val="both"/>
      </w:pPr>
      <w:r>
        <w:rPr>
          <w:b w:val="false"/>
          <w:bCs w:val="false"/>
          <w:i w:val="false"/>
          <w:iCs w:val="false"/>
          <w:sz w:val="24"/>
          <w:szCs w:val="24"/>
        </w:rPr>
        <w:t xml:space="preserve">_______________________________</w:t>
      </w:r>
    </w:p>
    <w:p>
      <w:pPr>
        <w:spacing w:after="200" w:line="360"/>
        <w:jc w:val="both"/>
      </w:pPr>
      <w:r>
        <w:rPr>
          <w:b w:val="false"/>
          <w:bCs w:val="false"/>
          <w:i w:val="false"/>
          <w:iCs w:val="false"/>
          <w:sz w:val="24"/>
          <w:szCs w:val="24"/>
        </w:rPr>
        <w:t xml:space="preserve">External Examiner</w:t>
      </w:r>
    </w:p>
    <w:p>
      <w:pPr>
        <w:pStyle w:val="Heading1"/>
        <w:pageBreakBefore/>
        <w:spacing w:after="240" w:before="0"/>
      </w:pPr>
      <w:r>
        <w:t xml:space="preserve">DECLARATION</w:t>
      </w:r>
    </w:p>
    <w:p>
      <w:pPr>
        <w:spacing w:after="200" w:line="360"/>
        <w:jc w:val="both"/>
      </w:pPr>
      <w:r>
        <w:rPr>
          <w:b w:val="false"/>
          <w:bCs w:val="false"/>
          <w:i w:val="false"/>
          <w:iCs w:val="false"/>
          <w:sz w:val="24"/>
          <w:szCs w:val="24"/>
        </w:rPr>
        <w:t xml:space="preserve">I, [STUDENT NAME], bearing Roll No. [ROLL NUMBER], hereby declare that the project report entitled “Alumni Platform: A Web-Based Alumni Engagement System with a TF-IDF and Cosine Similarity Based Job Recommendation Engine”, submitted for the course Machine Learning Techniques, is a record of bona fide work carried out by me under the guidance of [GUIDE NAME].</w:t>
      </w:r>
    </w:p>
    <w:p>
      <w:pPr>
        <w:spacing w:after="200" w:line="360"/>
        <w:jc w:val="both"/>
      </w:pPr>
      <w:r>
        <w:rPr>
          <w:b w:val="false"/>
          <w:bCs w:val="false"/>
          <w:i w:val="false"/>
          <w:iCs w:val="false"/>
          <w:sz w:val="24"/>
          <w:szCs w:val="24"/>
        </w:rPr>
        <w:t xml:space="preserve">I further declare that the design, implementation, and analysis presented in this report, including the content-based recommendation engine described in Chapters 3 and 4, are the result of my own effort, except where explicitly cited, and that this report, or any part thereof, has not been submitted previously for the award of any degree, diploma, associateship, fellowship, or other similar title of any university or institution.</w:t>
      </w:r>
    </w:p>
    <w:p>
      <w:pPr>
        <w:spacing w:after="600"/>
      </w:pPr>
      <w:r>
        <w:t xml:space="preserve"/>
      </w:r>
    </w:p>
    <w:p>
      <w:pPr>
        <w:spacing w:after="200" w:line="360"/>
        <w:jc w:val="left"/>
      </w:pPr>
      <w:r>
        <w:rPr>
          <w:b w:val="false"/>
          <w:bCs w:val="false"/>
          <w:i w:val="false"/>
          <w:iCs w:val="false"/>
          <w:sz w:val="24"/>
          <w:szCs w:val="24"/>
        </w:rPr>
        <w:t xml:space="preserve">Place: [PLACE]</w:t>
      </w:r>
    </w:p>
    <w:p>
      <w:pPr>
        <w:spacing w:after="200" w:line="360"/>
        <w:jc w:val="left"/>
      </w:pPr>
      <w:r>
        <w:rPr>
          <w:b w:val="false"/>
          <w:bCs w:val="false"/>
          <w:i w:val="false"/>
          <w:iCs w:val="false"/>
          <w:sz w:val="24"/>
          <w:szCs w:val="24"/>
        </w:rPr>
        <w:t xml:space="preserve">Date: [DATE]</w:t>
      </w:r>
    </w:p>
    <w:p>
      <w:pPr>
        <w:spacing w:after="500"/>
      </w:pPr>
      <w:r>
        <w:t xml:space="preserve"/>
      </w:r>
    </w:p>
    <w:p>
      <w:pPr>
        <w:spacing w:after="200" w:line="360"/>
        <w:jc w:val="left"/>
      </w:pPr>
      <w:r>
        <w:rPr>
          <w:b w:val="false"/>
          <w:bCs w:val="false"/>
          <w:i w:val="false"/>
          <w:iCs w:val="false"/>
          <w:sz w:val="24"/>
          <w:szCs w:val="24"/>
        </w:rPr>
        <w:t xml:space="preserve">_______________________________</w:t>
      </w:r>
    </w:p>
    <w:p>
      <w:pPr>
        <w:spacing w:after="200" w:line="360"/>
        <w:jc w:val="left"/>
      </w:pPr>
      <w:r>
        <w:rPr>
          <w:b/>
          <w:bCs/>
          <w:i w:val="false"/>
          <w:iCs w:val="false"/>
          <w:sz w:val="24"/>
          <w:szCs w:val="24"/>
        </w:rPr>
        <w:t xml:space="preserve">[STUDENT NAME]</w:t>
      </w:r>
    </w:p>
    <w:p>
      <w:pPr>
        <w:spacing w:after="200" w:line="360"/>
        <w:jc w:val="left"/>
      </w:pPr>
      <w:r>
        <w:rPr>
          <w:b w:val="false"/>
          <w:bCs w:val="false"/>
          <w:i w:val="false"/>
          <w:iCs w:val="false"/>
          <w:sz w:val="24"/>
          <w:szCs w:val="24"/>
        </w:rPr>
        <w:t xml:space="preserve">[ROLL NUMBER]</w:t>
      </w:r>
    </w:p>
    <w:p>
      <w:pPr>
        <w:pStyle w:val="Heading1"/>
        <w:pageBreakBefore/>
        <w:spacing w:after="240" w:before="0"/>
      </w:pPr>
      <w:r>
        <w:t xml:space="preserve">INTERNSHIP / PROJECT COMPLETION CERTIFICATE</w:t>
      </w:r>
    </w:p>
    <w:p>
      <w:pPr>
        <w:spacing w:after="200" w:line="360"/>
        <w:jc w:val="both"/>
      </w:pPr>
      <w:r>
        <w:rPr>
          <w:b w:val="false"/>
          <w:bCs w:val="false"/>
          <w:i w:val="false"/>
          <w:iCs w:val="false"/>
          <w:sz w:val="24"/>
          <w:szCs w:val="24"/>
        </w:rPr>
        <w:t xml:space="preserve">This is to certify that [STUDENT NAME] has satisfactorily completed the project / internship titled “Alumni Platform: A Web-Based Alumni Engagement System with a TF-IDF and Cosine Similarity Based Job Recommendation Engine” during the period from [START DATE] to [END DATE], under the guidance of [GUIDE / MENTOR NAME], at [INSTITUTION / ORGANISATION NAME].</w:t>
      </w:r>
    </w:p>
    <w:p>
      <w:pPr>
        <w:spacing w:after="200" w:line="360"/>
        <w:jc w:val="both"/>
      </w:pPr>
      <w:r>
        <w:rPr>
          <w:b w:val="false"/>
          <w:bCs w:val="false"/>
          <w:i w:val="false"/>
          <w:iCs w:val="false"/>
          <w:sz w:val="24"/>
          <w:szCs w:val="24"/>
        </w:rPr>
        <w:t xml:space="preserve">During this period, [STUDENT NAME] was involved in the design, development, and testing of the application described in this report, including the backend services, the Thymeleaf-based user interface, and the TF-IDF and cosine-similarity based recommendation engine. [His/Her/Their] conduct and performance during this period were found to be satisfactory.</w:t>
      </w:r>
    </w:p>
    <w:p>
      <w:pPr>
        <w:spacing w:after="600"/>
      </w:pPr>
      <w:r>
        <w:t xml:space="preserve"/>
      </w:r>
    </w:p>
    <w:p>
      <w:pPr>
        <w:spacing w:after="200" w:line="360"/>
        <w:jc w:val="left"/>
      </w:pPr>
      <w:r>
        <w:rPr>
          <w:b w:val="false"/>
          <w:bCs w:val="false"/>
          <w:i w:val="false"/>
          <w:iCs w:val="false"/>
          <w:sz w:val="24"/>
          <w:szCs w:val="24"/>
        </w:rPr>
        <w:t xml:space="preserve">_______________________________</w:t>
      </w:r>
    </w:p>
    <w:p>
      <w:pPr>
        <w:spacing w:after="200" w:line="360"/>
        <w:jc w:val="left"/>
      </w:pPr>
      <w:r>
        <w:rPr>
          <w:b/>
          <w:bCs/>
          <w:i w:val="false"/>
          <w:iCs w:val="false"/>
          <w:sz w:val="24"/>
          <w:szCs w:val="24"/>
        </w:rPr>
        <w:t xml:space="preserve">[AUTHORISED SIGNATORY NAME]</w:t>
      </w:r>
    </w:p>
    <w:p>
      <w:pPr>
        <w:spacing w:after="200" w:line="360"/>
        <w:jc w:val="left"/>
      </w:pPr>
      <w:r>
        <w:rPr>
          <w:b w:val="false"/>
          <w:bCs w:val="false"/>
          <w:i w:val="false"/>
          <w:iCs w:val="false"/>
          <w:sz w:val="24"/>
          <w:szCs w:val="24"/>
        </w:rPr>
        <w:t xml:space="preserve">[DESIGNATION]</w:t>
      </w:r>
    </w:p>
    <w:p>
      <w:pPr>
        <w:spacing w:after="200" w:line="360"/>
        <w:jc w:val="left"/>
      </w:pPr>
      <w:r>
        <w:rPr>
          <w:b w:val="false"/>
          <w:bCs w:val="false"/>
          <w:i w:val="false"/>
          <w:iCs w:val="false"/>
          <w:sz w:val="24"/>
          <w:szCs w:val="24"/>
        </w:rPr>
        <w:t xml:space="preserve">[ORGANISATION / INSTITUTION NAME]</w:t>
      </w:r>
    </w:p>
    <w:p>
      <w:pPr>
        <w:spacing w:after="200" w:line="360"/>
        <w:jc w:val="left"/>
      </w:pPr>
      <w:r>
        <w:rPr>
          <w:b w:val="false"/>
          <w:bCs w:val="false"/>
          <w:i w:val="false"/>
          <w:iCs w:val="false"/>
          <w:sz w:val="24"/>
          <w:szCs w:val="24"/>
        </w:rPr>
        <w:t xml:space="preserve">Date: [DATE]</w:t>
      </w:r>
    </w:p>
    <w:p>
      <w:pPr>
        <w:spacing w:after="200" w:line="360"/>
        <w:jc w:val="left"/>
      </w:pPr>
      <w:r>
        <w:rPr>
          <w:b w:val="false"/>
          <w:bCs w:val="false"/>
          <w:i/>
          <w:iCs/>
          <w:sz w:val="24"/>
          <w:szCs w:val="24"/>
        </w:rPr>
        <w:t xml:space="preserve">(Institutional / Organisational Seal)</w:t>
      </w:r>
    </w:p>
    <w:p>
      <w:pPr>
        <w:pStyle w:val="Heading1"/>
        <w:pageBreakBefore/>
        <w:spacing w:after="240" w:before="0"/>
      </w:pPr>
      <w:r>
        <w:t xml:space="preserve">ACKNOWLEDGEMENTS</w:t>
      </w:r>
    </w:p>
    <w:p>
      <w:pPr>
        <w:spacing w:after="200" w:line="360"/>
        <w:jc w:val="both"/>
      </w:pPr>
      <w:r>
        <w:rPr>
          <w:b w:val="false"/>
          <w:bCs w:val="false"/>
          <w:i w:val="false"/>
          <w:iCs w:val="false"/>
          <w:sz w:val="24"/>
          <w:szCs w:val="24"/>
        </w:rPr>
        <w:t xml:space="preserve">I would like to express my sincere gratitude to my project guide, [GUIDE NAME], for the valuable guidance, continuous encouragement, and constructive feedback provided throughout the course of this project. [His/Her/Their] insights into machine learning techniques and software engineering practice were instrumental in shaping both the technical direction and the presentation of this work.</w:t>
      </w:r>
    </w:p>
    <w:p>
      <w:pPr>
        <w:spacing w:after="200" w:line="360"/>
        <w:jc w:val="both"/>
      </w:pPr>
      <w:r>
        <w:rPr>
          <w:b w:val="false"/>
          <w:bCs w:val="false"/>
          <w:i w:val="false"/>
          <w:iCs w:val="false"/>
          <w:sz w:val="24"/>
          <w:szCs w:val="24"/>
        </w:rPr>
        <w:t xml:space="preserve">I am also thankful to [HOD NAME], Head of the Department of [DEPARTMENT NAME], and to the faculty of the Machine Learning Techniques course at [INSTITUTION NAME], for providing the academic environment, resources, and opportunities that made this project possible.</w:t>
      </w:r>
    </w:p>
    <w:p>
      <w:pPr>
        <w:spacing w:after="200" w:line="360"/>
        <w:jc w:val="both"/>
      </w:pPr>
      <w:r>
        <w:rPr>
          <w:b w:val="false"/>
          <w:bCs w:val="false"/>
          <w:i w:val="false"/>
          <w:iCs w:val="false"/>
          <w:sz w:val="24"/>
          <w:szCs w:val="24"/>
        </w:rPr>
        <w:t xml:space="preserve">I extend my thanks to my peers and classmates for their useful discussions during the development of the recommendation engine, and to my family and friends for their constant support and encouragement throughout this endeavour.</w:t>
      </w:r>
    </w:p>
    <w:p>
      <w:pPr>
        <w:spacing w:after="200" w:line="360"/>
        <w:jc w:val="both"/>
      </w:pPr>
      <w:r>
        <w:rPr>
          <w:b w:val="false"/>
          <w:bCs w:val="false"/>
          <w:i w:val="false"/>
          <w:iCs w:val="false"/>
          <w:sz w:val="24"/>
          <w:szCs w:val="24"/>
        </w:rPr>
        <w:t xml:space="preserve">Finally, I acknowledge the open-source communities behind Spring Boot, Thymeleaf, PostgreSQL, and the Java ecosystem, whose freely available tools and documentation formed the technical foundation of this project.</w:t>
      </w:r>
    </w:p>
    <w:p>
      <w:pPr>
        <w:spacing w:after="400"/>
      </w:pPr>
      <w:r>
        <w:t xml:space="preserve"/>
      </w:r>
    </w:p>
    <w:p>
      <w:pPr>
        <w:spacing w:after="200" w:line="360"/>
        <w:jc w:val="left"/>
      </w:pPr>
      <w:r>
        <w:rPr>
          <w:b/>
          <w:bCs/>
          <w:i w:val="false"/>
          <w:iCs w:val="false"/>
          <w:sz w:val="24"/>
          <w:szCs w:val="24"/>
        </w:rPr>
        <w:t xml:space="preserve">[STUDENT NAME]</w:t>
      </w:r>
    </w:p>
    <w:p>
      <w:pPr>
        <w:pStyle w:val="Heading1"/>
        <w:pageBreakBefore/>
        <w:spacing w:after="240" w:before="0"/>
      </w:pPr>
      <w:r>
        <w:t xml:space="preserve">ABSTRACT</w:t>
      </w:r>
    </w:p>
    <w:p>
      <w:pPr>
        <w:spacing w:after="200" w:line="360"/>
        <w:jc w:val="both"/>
      </w:pPr>
      <w:r>
        <w:rPr>
          <w:b w:val="false"/>
          <w:bCs w:val="false"/>
          <w:i w:val="false"/>
          <w:iCs w:val="false"/>
          <w:sz w:val="24"/>
          <w:szCs w:val="24"/>
        </w:rPr>
        <w:t xml:space="preserve">Alumni networks are a significant but frequently underused asset for academic institutions: alumni hold current information on hiring needs, industry skill demand, and mentorship opportunities, yet institutions commonly lack a single system that keeps this information current, verified, and actionable for both alumni and administrators. This report presents the design, implementation, and evaluation of the Alumni Platform, a Spring Boot and Thymeleaf web application that consolidates alumni directory management, mentorship discovery, event coordination, and job-referral posting into one role-based system, and augments the job-referral module with a machine-learning-driven recommendation engine.</w:t>
      </w:r>
    </w:p>
    <w:p>
      <w:pPr>
        <w:spacing w:after="200" w:line="360"/>
        <w:jc w:val="both"/>
      </w:pPr>
      <w:r>
        <w:rPr>
          <w:b w:val="false"/>
          <w:bCs w:val="false"/>
          <w:i w:val="false"/>
          <w:iCs w:val="false"/>
          <w:sz w:val="24"/>
          <w:szCs w:val="24"/>
        </w:rPr>
        <w:t xml:space="preserve">The core technical contribution, and the focus of this report given its submission for the Machine Learning Techniques course, is a content-based recommendation engine built from first principles rather than an external library or hosted model. Each job posting is represented as a Term Frequency–Inverse Document Frequency (TF-IDF) vector derived from its title and description, with the title weighted more heavily than the description. An alumnus's skill profile is projected into the same vector space, and job postings are ranked for that alumnus by the cosine similarity between the two vectors, with non-overlapping postings automatically excluded. The engine, and its two supporting classes, TfIdfVectorizer and CosineSimilarity, are covered by a dedicated unit test suite that verifies the term-weighting behaviour, stop-word handling, and ranking correctness of the algorithm in isolation from the web layer.</w:t>
      </w:r>
    </w:p>
    <w:p>
      <w:pPr>
        <w:spacing w:after="200" w:line="360"/>
        <w:jc w:val="both"/>
      </w:pPr>
      <w:r>
        <w:rPr>
          <w:b w:val="false"/>
          <w:bCs w:val="false"/>
          <w:i w:val="false"/>
          <w:iCs w:val="false"/>
          <w:sz w:val="24"/>
          <w:szCs w:val="24"/>
        </w:rPr>
        <w:t xml:space="preserve">Beyond the recommendation engine, the report documents the platform's layered Spring architecture, its Hibernate-managed relational schema of four core entities, its role-based access control model distinguishing administrators from alumni, and a round of usability hardening applied to the alumni-facing list views: uniform pagination, skeleton loading states, and a consistent sticky page footer. The report also documents the results of the automated test suite, and candidly records the gaps that remain — most notably that automated test coverage is concentrated on the recommendation engine rather than the web and security layers, and that the application currently lacks schema migration tooling and outbound notifications. The report concludes that a hand-built TF-IDF and cosine-similarity engine is a practical, transparent, and pedagogically appropriate technique for content-based recommendation in a modestly sized alumni-and-jobs domain, and outlines collaborative filtering and hybrid scoring as natural extensions for future work.</w:t>
      </w:r>
    </w:p>
    <w:p>
      <w:pPr>
        <w:pStyle w:val="Heading1"/>
        <w:pageBreakBefore/>
        <w:spacing w:after="240" w:before="0"/>
      </w:pPr>
      <w:r>
        <w:t xml:space="preserve">TABLE OF CONTENTS</w:t>
      </w:r>
    </w:p>
    <w:p>
      <w:pPr>
        <w:spacing w:after="200" w:line="360"/>
        <w:jc w:val="both"/>
      </w:pPr>
      <w:r>
        <w:rPr>
          <w:b w:val="false"/>
          <w:bCs w:val="false"/>
          <w:i/>
          <w:iCs/>
          <w:sz w:val="24"/>
          <w:szCs w:val="24"/>
        </w:rPr>
        <w:t xml:space="preserve">The table below is generated as a Word TOC field from the document's headings. If it appears empty or out of date, right-click it and choose “Update Field” (or press F9), or use References → Update Table in Microsoft Word.</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0"/>
      </w:pPr>
      <w:r>
        <w:t xml:space="preserve">1. INTRODUCTION</w:t>
      </w:r>
    </w:p>
    <w:p>
      <w:pPr>
        <w:pStyle w:val="Heading2"/>
        <w:spacing w:after="160" w:before="320"/>
      </w:pPr>
      <w:r>
        <w:t xml:space="preserve">1.1 Background</w:t>
      </w:r>
    </w:p>
    <w:p>
      <w:pPr>
        <w:spacing w:after="200" w:line="360"/>
        <w:jc w:val="both"/>
      </w:pPr>
      <w:r>
        <w:rPr>
          <w:b w:val="false"/>
          <w:bCs w:val="false"/>
          <w:i w:val="false"/>
          <w:iCs w:val="false"/>
          <w:sz w:val="24"/>
          <w:szCs w:val="24"/>
        </w:rPr>
        <w:t xml:space="preserve">Academic institutions accumulate, over successive graduating batches, a large and diverse alumni community whose members carry current, ground-level knowledge of industry hiring practices, in-demand technical skills, and career pathways. This community is a valuable resource for current students and recent graduates, provided the institution can keep alumni contact and profile information current, connect students to appropriate mentors, and surface job and referral opportunities that alumni are willing to share. In practice, this coordination is frequently handled through informal channels — spreadsheets, mailing lists, and social-media groups — that do not scale well, are difficult to search, and provide no mechanism for verifying that a claimed alumnus is genuine before that person is granted visibility into the network.</w:t>
      </w:r>
    </w:p>
    <w:p>
      <w:pPr>
        <w:spacing w:after="200" w:line="360"/>
        <w:jc w:val="both"/>
      </w:pPr>
      <w:r>
        <w:rPr>
          <w:b w:val="false"/>
          <w:bCs w:val="false"/>
          <w:i w:val="false"/>
          <w:iCs w:val="false"/>
          <w:sz w:val="24"/>
          <w:szCs w:val="24"/>
        </w:rPr>
        <w:t xml:space="preserve">The Alumni Platform project was undertaken to replace this informal coordination with a single, role-based web application that an institution can host itself. The application is built on the Spring Boot framework using server-rendered Thymeleaf views, backed by a PostgreSQL relational database, and is organised around four core entities: alumni profiles, job postings, events, and user accounts. Because the project is submitted for the Machine Learning Techniques course, particular emphasis was placed on the job-referral module, which was extended with a content-based recommendation engine that ranks job postings for each alumnus using TF-IDF vectorisation and cosine similarity, so that the platform does more than store data — it actively surfaces the postings most relevant to a given alumnus's stated skills.</w:t>
      </w:r>
    </w:p>
    <w:p>
      <w:pPr>
        <w:pStyle w:val="Heading2"/>
        <w:spacing w:after="160" w:before="320"/>
      </w:pPr>
      <w:r>
        <w:t xml:space="preserve">1.2 Problem Statement</w:t>
      </w:r>
    </w:p>
    <w:p>
      <w:pPr>
        <w:spacing w:after="200" w:line="360"/>
        <w:jc w:val="both"/>
      </w:pPr>
      <w:r>
        <w:rPr>
          <w:b w:val="false"/>
          <w:bCs w:val="false"/>
          <w:i w:val="false"/>
          <w:iCs w:val="false"/>
          <w:sz w:val="24"/>
          <w:szCs w:val="24"/>
        </w:rPr>
        <w:t xml:space="preserve">Institutions lack a unified, self-hosted system that simultaneously (a) maintains a searchable, verified directory of alumni; (b) allows students and alumni to discover mentors by skill; (c) coordinates alumni events and reunions with RSVP tracking; (d) hosts a job-referral board through which alumni can post opportunities; and (e) surfaces the job postings most relevant to a given alumnus without requiring that alumnus to manually filter a growing, unstructured list. New user accounts also need a moderation step, since anyone can submit a registration form, and an unmoderated directory risks being populated by unverifiable or malicious entries.</w:t>
      </w:r>
    </w:p>
    <w:p>
      <w:pPr>
        <w:pStyle w:val="Heading2"/>
        <w:spacing w:after="160" w:before="320"/>
      </w:pPr>
      <w:r>
        <w:t xml:space="preserve">1.3 Existing System and its Limitations</w:t>
      </w:r>
    </w:p>
    <w:p>
      <w:pPr>
        <w:spacing w:after="200" w:line="360"/>
        <w:jc w:val="both"/>
      </w:pPr>
      <w:r>
        <w:rPr>
          <w:b w:val="false"/>
          <w:bCs w:val="false"/>
          <w:i w:val="false"/>
          <w:iCs w:val="false"/>
          <w:sz w:val="24"/>
          <w:szCs w:val="24"/>
        </w:rPr>
        <w:t xml:space="preserve">In the absence of a dedicated platform, the functions above are typically distributed across disconnected tools: a spreadsheet or a departmental CRM for the alumni directory, e-mail threads or social-media posts for job referrals, and a separate event-management tool, or none at all, for reunions. This fragmented approach has several concrete limitations. First, there is no single source of truth for alumni skills and contact details, so directory data goes stale quickly. Second, job referrals posted in a group chat or mailing list are not searchable or rankable, so a student must read every message to find postings relevant to their skills, and older postings are effectively lost. Third, there is no automated matching between a student's or alumnus's skill set and the available postings; relevance judgement is left entirely to the reader. Fourth, without role-based access control, there is no clean separation between what an administrator can do (for example, approving new accounts or exporting the full directory) and what an ordinary alumnus can do (for example, editing only their own profile).</w:t>
      </w:r>
    </w:p>
    <w:p>
      <w:pPr>
        <w:pStyle w:val="Heading2"/>
        <w:spacing w:after="160" w:before="320"/>
      </w:pPr>
      <w:r>
        <w:t xml:space="preserve">1.4 Proposed System</w:t>
      </w:r>
    </w:p>
    <w:p>
      <w:pPr>
        <w:spacing w:after="200" w:line="360"/>
        <w:jc w:val="both"/>
      </w:pPr>
      <w:r>
        <w:rPr>
          <w:b w:val="false"/>
          <w:bCs w:val="false"/>
          <w:i w:val="false"/>
          <w:iCs w:val="false"/>
          <w:sz w:val="24"/>
          <w:szCs w:val="24"/>
        </w:rPr>
        <w:t xml:space="preserve">The proposed system is a single Spring Boot application, internally named alumni-platform, that consolidates the functions above behind Spring Security authentication and two roles, ADMIN and ALUMNI. Newly registered accounts are created in an unapproved state and cannot authenticate until an administrator approves them from a dedicated pending-approvals queue, which addresses the moderation gap in the existing, informal approach. The alumni directory supports filtered and paginated search by batch year, department, and skill, and a dedicated mentors view lets any authenticated user search specifically for alumni who list a given skill. Events support RSVP and cancellation, tracked per user. The job board lets any alumnus post and, if owner or administrator, delete a job posting.</w:t>
      </w:r>
    </w:p>
    <w:p>
      <w:pPr>
        <w:spacing w:after="200" w:line="360"/>
        <w:jc w:val="both"/>
      </w:pPr>
      <w:r>
        <w:rPr>
          <w:b w:val="false"/>
          <w:bCs w:val="false"/>
          <w:i w:val="false"/>
          <w:iCs w:val="false"/>
          <w:sz w:val="24"/>
          <w:szCs w:val="24"/>
        </w:rPr>
        <w:t xml:space="preserve">The system's principal machine-learning contribution is the job-recommendation module, exposed to alumni users, which is described in detail in Chapters 3 and 4. Rather than relying on an external recommendation API or a pre-trained model, the platform fits a TF-IDF vectorizer over the corpus of currently posted jobs at request time, projects the requesting alumnus's skill profile into that vector space, and ranks postings for that alumnus by cosine similarity, discarding postings with no lexical overlap with the alumnus's profile. This keeps the recommendation logic self-contained, inspectable, and free of external dependencies or API costs, which is appropriate for a modestly sized alumni community and for a course project whose goal is to demonstrate the underlying technique rather than to operate at internet scale.</w:t>
      </w:r>
    </w:p>
    <w:p>
      <w:pPr>
        <w:pStyle w:val="Heading2"/>
        <w:spacing w:after="160" w:before="320"/>
      </w:pPr>
      <w:r>
        <w:t xml:space="preserve">1.5 Scope of the Project</w:t>
      </w:r>
    </w:p>
    <w:p>
      <w:pPr>
        <w:spacing w:after="200" w:line="360"/>
        <w:jc w:val="both"/>
      </w:pPr>
      <w:r>
        <w:rPr>
          <w:b w:val="false"/>
          <w:bCs w:val="false"/>
          <w:i w:val="false"/>
          <w:iCs w:val="false"/>
          <w:sz w:val="24"/>
          <w:szCs w:val="24"/>
        </w:rPr>
        <w:t xml:space="preserve">The scope of the work reported here covers: the relational data model and its four core entities; the Spring MVC and Spring Security backend, including role-based authorisation; the Thymeleaf-rendered user interface across sixteen templates; the TF-IDF and cosine-similarity recommendation engine and its unit tests; a round of user-interface hardening applied to the platform's list views (pagination, skeleton loading states, and a sticky footer); and the automated test suite. The scope explicitly excludes building a mobile client, integrating a third-party e-mail or notification service, and adopting collaborative-filtering or deep-learning-based recommendation techniques, all of which are identified as candidate future work in Chapter 6.</w:t>
      </w:r>
    </w:p>
    <w:p>
      <w:pPr>
        <w:pStyle w:val="Heading1"/>
        <w:pageBreakBefore/>
        <w:spacing w:after="240" w:before="0"/>
      </w:pPr>
      <w:r>
        <w:t xml:space="preserve">2. LITERATURE REVIEW</w:t>
      </w:r>
    </w:p>
    <w:p>
      <w:pPr>
        <w:spacing w:after="200" w:line="360"/>
        <w:jc w:val="both"/>
      </w:pPr>
      <w:r>
        <w:rPr>
          <w:b w:val="false"/>
          <w:bCs w:val="false"/>
          <w:i w:val="false"/>
          <w:iCs w:val="false"/>
          <w:sz w:val="24"/>
          <w:szCs w:val="24"/>
        </w:rPr>
        <w:t xml:space="preserve">This chapter situates the recommendation engine described in this report within the broader literature on recommender systems, and in particular within content-based filtering, the family of techniques to which a TF-IDF and cosine-similarity approach belongs. It also reviews the information-retrieval foundations of TF-IDF term weighting and the vector space model, and closes by identifying the specific gap that the present, hand-built implementation addresses.</w:t>
      </w:r>
    </w:p>
    <w:p>
      <w:pPr>
        <w:pStyle w:val="Heading2"/>
        <w:spacing w:after="160" w:before="320"/>
      </w:pPr>
      <w:r>
        <w:t xml:space="preserve">2.1 Recommender Systems: An Overview</w:t>
      </w:r>
    </w:p>
    <w:p>
      <w:pPr>
        <w:spacing w:after="200" w:line="360"/>
        <w:jc w:val="both"/>
      </w:pPr>
      <w:r>
        <w:rPr>
          <w:b w:val="false"/>
          <w:bCs w:val="false"/>
          <w:i w:val="false"/>
          <w:iCs w:val="false"/>
          <w:sz w:val="24"/>
          <w:szCs w:val="24"/>
        </w:rPr>
        <w:t xml:space="preserve">Recommender systems are software techniques that provide suggestions for items most likely to be of interest to a particular user (Ricci, Rokach, &amp; Shapira, 2015). Adomavicius and Tuzhilin (2005) classify recommendation approaches into three broad families: content-based methods, which recommend items similar to those a user has previously liked, based on item attributes; collaborative filtering methods, which recommend items liked by other users with similar preference patterns, independent of item content; and hybrid methods, which combine the two. Collaborative filtering, and in particular latent-factor techniques such as matrix factorisation (Koren, Bell, &amp; Volinsky, 2009) and neighbourhood-based methods (Su &amp; Khoshgoftaar, 2009), typically require a substantial history of user-item interactions — ratings, clicks, or applications — before they can produce reliable recommendations, a limitation commonly referred to as the cold-start problem. Content-based methods do not share this limitation to the same degree, because they reason over the textual or attribute content of the items themselves rather than over accumulated interaction history, which makes them well suited to a newly deployed system, such as the Alumni Platform's job board, where interaction history is initially sparse or absent.</w:t>
      </w:r>
    </w:p>
    <w:p>
      <w:pPr>
        <w:pStyle w:val="Heading2"/>
        <w:spacing w:after="160" w:before="320"/>
      </w:pPr>
      <w:r>
        <w:t xml:space="preserve">2.2 Content-Based Filtering Techniques</w:t>
      </w:r>
    </w:p>
    <w:p>
      <w:pPr>
        <w:spacing w:after="200" w:line="360"/>
        <w:jc w:val="both"/>
      </w:pPr>
      <w:r>
        <w:rPr>
          <w:b w:val="false"/>
          <w:bCs w:val="false"/>
          <w:i w:val="false"/>
          <w:iCs w:val="false"/>
          <w:sz w:val="24"/>
          <w:szCs w:val="24"/>
        </w:rPr>
        <w:t xml:space="preserve">Content-based recommendation constructs a profile of a user's interests from the attributes of items the user has engaged with, or, as in the present system, from attributes the user explicitly supplies, and recommends new items whose attributes are most similar to that profile (Pazzani &amp; Billsus, 2007). Lops, de Gemmis, and Semeraro (2011) survey the state of the art in content-based recommender systems and identify a common pipeline: (i) represent each item as a set of features, most often derived from unstructured text using the vector space model; (ii) build a profile representation for the user in the same feature space; and (iii) score candidate items by a similarity function between the item vector and the user-profile vector, most commonly cosine similarity. This is precisely the pipeline implemented by JobRecommendationService in the present system: job postings are the items, an alumnus's stated skills and department form the user profile, TF-IDF vectors are the feature representation, and cosine similarity is the scoring function. A well-known limitation of purely content-based filtering, also noted by Lops et al. (2011) and confirmed empirically in Chapter 5 of this report, is that it can only recommend items that share vocabulary with the user profile; it has no mechanism for surfacing an item that a user would like despite having no lexical overlap with their stated interests, a capability that collaborative filtering provides instead.</w:t>
      </w:r>
    </w:p>
    <w:p>
      <w:pPr>
        <w:pStyle w:val="Heading2"/>
        <w:spacing w:after="160" w:before="320"/>
      </w:pPr>
      <w:r>
        <w:t xml:space="preserve">2.3 Term Frequency–Inverse Document Frequency (TF-IDF)</w:t>
      </w:r>
    </w:p>
    <w:p>
      <w:pPr>
        <w:spacing w:after="200" w:line="360"/>
        <w:jc w:val="both"/>
      </w:pPr>
      <w:r>
        <w:rPr>
          <w:b w:val="false"/>
          <w:bCs w:val="false"/>
          <w:i w:val="false"/>
          <w:iCs w:val="false"/>
          <w:sz w:val="24"/>
          <w:szCs w:val="24"/>
        </w:rPr>
        <w:t xml:space="preserve">TF-IDF is a term-weighting scheme from information retrieval that scores a term's importance to a document within a corpus by combining two signals: how frequently the term occurs in that document (term frequency), and how rare the term is across the whole corpus (inverse document frequency) (Salton &amp; Buckley, 1988). The intuition, formalised across decades of information-retrieval research and summarised by Manning, Raghavan, and Schütze (2008), is that a term occurring often in one document but rarely elsewhere is more discriminative of that document's topic than a term that occurs in almost every document in the corpus, such as a common stop word. The TfIdfVectorizer class implemented for this project follows this scheme directly: it tokenises text, removes a curated stop-word list, computes a smoothed inverse document frequency for each surviving term as idf(t) = ln((1 + N) / (1 + df(t))) + 1, where N is the number of documents in the fitted corpus and df(t) is the number of those documents containing term t, and weights each term in a document by its normalised term frequency multiplied by this IDF value. The additive smoothing constants in the IDF formula prevent a zero or undefined weight for terms that appear in every document, and are the same smoothing convention used by widely deployed TF-IDF implementations such as scikit-learn's TfidfVectorizer (Manning et al., 2008; Singhal, 2001).</w:t>
      </w:r>
    </w:p>
    <w:p>
      <w:pPr>
        <w:pStyle w:val="Heading2"/>
        <w:spacing w:after="160" w:before="320"/>
      </w:pPr>
      <w:r>
        <w:t xml:space="preserve">2.4 Vector Space Model and Cosine Similarity</w:t>
      </w:r>
    </w:p>
    <w:p>
      <w:pPr>
        <w:spacing w:after="200" w:line="360"/>
        <w:jc w:val="both"/>
      </w:pPr>
      <w:r>
        <w:rPr>
          <w:b w:val="false"/>
          <w:bCs w:val="false"/>
          <w:i w:val="false"/>
          <w:iCs w:val="false"/>
          <w:sz w:val="24"/>
          <w:szCs w:val="24"/>
        </w:rPr>
        <w:t xml:space="preserve">The vector space model represents each document as a point in a high-dimensional space, with one dimension per distinct term in the corpus vocabulary (Salton, Wong, &amp; Yang, 1975). Once two documents are represented this way, their similarity can be measured by the cosine of the angle between their vectors, a metric that is invariant to document length because it normalises by the magnitude of each vector, and that ranges from 0, for vectors with no shared terms, to 1, for vectors pointing in an identical direction. Cosine similarity is the de facto standard similarity measure paired with TF-IDF vectors in text-retrieval and content-based recommendation work (Manning et al., 2008). The CosineSimilarity class implemented for this project computes exactly this quantity over the sparse TF-IDF vectors produced by TfIdfVectorizer, iterating only the intersection of the two vectors' non-zero terms for efficiency, and is unit-tested against identical, orthogonal, and partially overlapping vector pairs, as described in Section 3.7.</w:t>
      </w:r>
    </w:p>
    <w:p>
      <w:pPr>
        <w:pStyle w:val="Heading2"/>
        <w:spacing w:after="160" w:before="320"/>
      </w:pPr>
      <w:r>
        <w:t xml:space="preserve">2.5 Comparative Analysis of Recommendation Approaches</w:t>
      </w:r>
    </w:p>
    <w:p>
      <w:pPr>
        <w:spacing w:after="200" w:line="360"/>
        <w:jc w:val="both"/>
      </w:pPr>
      <w:r>
        <w:rPr>
          <w:b w:val="false"/>
          <w:bCs w:val="false"/>
          <w:i w:val="false"/>
          <w:iCs w:val="false"/>
          <w:sz w:val="24"/>
          <w:szCs w:val="24"/>
        </w:rPr>
        <w:t xml:space="preserve">Table 2.1 summarises how the content-based approach adopted in this project compares with collaborative filtering and hybrid approaches on the dimensions most relevant to the Alumni Platform's operating conditions: a modest, initially sparse job-posting corpus and no accumulated interaction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650"/>
        <w:gridCol w:w="2650"/>
        <w:gridCol w:w="1650"/>
      </w:tblGrid>
      <w:tr>
        <w:trPr>
          <w:tblHeader/>
        </w:trPr>
        <w:tc>
          <w:tcPr>
            <w:tcW w:type="dxa" w:w="2400"/>
            <w:shd w:fill="D9D2F0" w:val="clear"/>
            <w:tcMar>
              <w:top w:type="dxa" w:w="80"/>
              <w:left w:type="dxa" w:w="120"/>
              <w:bottom w:type="dxa" w:w="80"/>
              <w:right w:type="dxa" w:w="120"/>
            </w:tcMar>
            <w:vAlign w:val="center"/>
          </w:tcPr>
          <w:p>
            <w:r>
              <w:rPr>
                <w:b/>
                <w:bCs/>
                <w:sz w:val="22"/>
                <w:szCs w:val="22"/>
              </w:rPr>
              <w:t xml:space="preserve">Dimension</w:t>
            </w:r>
          </w:p>
        </w:tc>
        <w:tc>
          <w:tcPr>
            <w:tcW w:type="dxa" w:w="2650"/>
            <w:shd w:fill="D9D2F0" w:val="clear"/>
            <w:tcMar>
              <w:top w:type="dxa" w:w="80"/>
              <w:left w:type="dxa" w:w="120"/>
              <w:bottom w:type="dxa" w:w="80"/>
              <w:right w:type="dxa" w:w="120"/>
            </w:tcMar>
            <w:vAlign w:val="center"/>
          </w:tcPr>
          <w:p>
            <w:r>
              <w:rPr>
                <w:b/>
                <w:bCs/>
                <w:sz w:val="22"/>
                <w:szCs w:val="22"/>
              </w:rPr>
              <w:t xml:space="preserve">Content-Based (adopted)</w:t>
            </w:r>
          </w:p>
        </w:tc>
        <w:tc>
          <w:tcPr>
            <w:tcW w:type="dxa" w:w="2650"/>
            <w:shd w:fill="D9D2F0" w:val="clear"/>
            <w:tcMar>
              <w:top w:type="dxa" w:w="80"/>
              <w:left w:type="dxa" w:w="120"/>
              <w:bottom w:type="dxa" w:w="80"/>
              <w:right w:type="dxa" w:w="120"/>
            </w:tcMar>
            <w:vAlign w:val="center"/>
          </w:tcPr>
          <w:p>
            <w:r>
              <w:rPr>
                <w:b/>
                <w:bCs/>
                <w:sz w:val="22"/>
                <w:szCs w:val="22"/>
              </w:rPr>
              <w:t xml:space="preserve">Collaborative Filtering</w:t>
            </w:r>
          </w:p>
        </w:tc>
        <w:tc>
          <w:tcPr>
            <w:tcW w:type="dxa" w:w="1650"/>
            <w:shd w:fill="D9D2F0" w:val="clear"/>
            <w:tcMar>
              <w:top w:type="dxa" w:w="80"/>
              <w:left w:type="dxa" w:w="120"/>
              <w:bottom w:type="dxa" w:w="80"/>
              <w:right w:type="dxa" w:w="120"/>
            </w:tcMar>
            <w:vAlign w:val="center"/>
          </w:tcPr>
          <w:p>
            <w:r>
              <w:rPr>
                <w:b/>
                <w:bCs/>
                <w:sz w:val="22"/>
                <w:szCs w:val="22"/>
              </w:rPr>
              <w:t xml:space="preserve">Hybrid</w:t>
            </w:r>
          </w:p>
        </w:tc>
      </w:tr>
      <w:tr>
        <w:tc>
          <w:tcPr>
            <w:tcW w:type="dxa" w:w="2400"/>
            <w:tcMar>
              <w:top w:type="dxa" w:w="80"/>
              <w:left w:type="dxa" w:w="120"/>
              <w:bottom w:type="dxa" w:w="80"/>
              <w:right w:type="dxa" w:w="120"/>
            </w:tcMar>
            <w:vAlign w:val="center"/>
          </w:tcPr>
          <w:p>
            <w:r>
              <w:rPr>
                <w:b w:val="false"/>
                <w:bCs w:val="false"/>
                <w:sz w:val="22"/>
                <w:szCs w:val="22"/>
              </w:rPr>
              <w:t xml:space="preserve">Data required to start</w:t>
            </w:r>
          </w:p>
        </w:tc>
        <w:tc>
          <w:tcPr>
            <w:tcW w:type="dxa" w:w="2650"/>
            <w:tcMar>
              <w:top w:type="dxa" w:w="80"/>
              <w:left w:type="dxa" w:w="120"/>
              <w:bottom w:type="dxa" w:w="80"/>
              <w:right w:type="dxa" w:w="120"/>
            </w:tcMar>
            <w:vAlign w:val="center"/>
          </w:tcPr>
          <w:p>
            <w:r>
              <w:rPr>
                <w:b w:val="false"/>
                <w:bCs w:val="false"/>
                <w:sz w:val="22"/>
                <w:szCs w:val="22"/>
              </w:rPr>
              <w:t xml:space="preserve">Item text only (title, description, skills)</w:t>
            </w:r>
          </w:p>
        </w:tc>
        <w:tc>
          <w:tcPr>
            <w:tcW w:type="dxa" w:w="2650"/>
            <w:tcMar>
              <w:top w:type="dxa" w:w="80"/>
              <w:left w:type="dxa" w:w="120"/>
              <w:bottom w:type="dxa" w:w="80"/>
              <w:right w:type="dxa" w:w="120"/>
            </w:tcMar>
            <w:vAlign w:val="center"/>
          </w:tcPr>
          <w:p>
            <w:r>
              <w:rPr>
                <w:b w:val="false"/>
                <w:bCs w:val="false"/>
                <w:sz w:val="22"/>
                <w:szCs w:val="22"/>
              </w:rPr>
              <w:t xml:space="preserve">Substantial user-item interaction history</w:t>
            </w:r>
          </w:p>
        </w:tc>
        <w:tc>
          <w:tcPr>
            <w:tcW w:type="dxa" w:w="1650"/>
            <w:tcMar>
              <w:top w:type="dxa" w:w="80"/>
              <w:left w:type="dxa" w:w="120"/>
              <w:bottom w:type="dxa" w:w="80"/>
              <w:right w:type="dxa" w:w="120"/>
            </w:tcMar>
            <w:vAlign w:val="center"/>
          </w:tcPr>
          <w:p>
            <w:r>
              <w:rPr>
                <w:b w:val="false"/>
                <w:bCs w:val="false"/>
                <w:sz w:val="22"/>
                <w:szCs w:val="22"/>
              </w:rPr>
              <w:t xml:space="preserve">Both of the above</w:t>
            </w:r>
          </w:p>
        </w:tc>
      </w:tr>
      <w:tr>
        <w:tc>
          <w:tcPr>
            <w:tcW w:type="dxa" w:w="2400"/>
            <w:tcMar>
              <w:top w:type="dxa" w:w="80"/>
              <w:left w:type="dxa" w:w="120"/>
              <w:bottom w:type="dxa" w:w="80"/>
              <w:right w:type="dxa" w:w="120"/>
            </w:tcMar>
            <w:vAlign w:val="center"/>
          </w:tcPr>
          <w:p>
            <w:r>
              <w:rPr>
                <w:b w:val="false"/>
                <w:bCs w:val="false"/>
                <w:sz w:val="22"/>
                <w:szCs w:val="22"/>
              </w:rPr>
              <w:t xml:space="preserve">Cold-start behaviour</w:t>
            </w:r>
          </w:p>
        </w:tc>
        <w:tc>
          <w:tcPr>
            <w:tcW w:type="dxa" w:w="2650"/>
            <w:tcMar>
              <w:top w:type="dxa" w:w="80"/>
              <w:left w:type="dxa" w:w="120"/>
              <w:bottom w:type="dxa" w:w="80"/>
              <w:right w:type="dxa" w:w="120"/>
            </w:tcMar>
            <w:vAlign w:val="center"/>
          </w:tcPr>
          <w:p>
            <w:r>
              <w:rPr>
                <w:b w:val="false"/>
                <w:bCs w:val="false"/>
                <w:sz w:val="22"/>
                <w:szCs w:val="22"/>
              </w:rPr>
              <w:t xml:space="preserve">Works from day one for new items and users</w:t>
            </w:r>
          </w:p>
        </w:tc>
        <w:tc>
          <w:tcPr>
            <w:tcW w:type="dxa" w:w="2650"/>
            <w:tcMar>
              <w:top w:type="dxa" w:w="80"/>
              <w:left w:type="dxa" w:w="120"/>
              <w:bottom w:type="dxa" w:w="80"/>
              <w:right w:type="dxa" w:w="120"/>
            </w:tcMar>
            <w:vAlign w:val="center"/>
          </w:tcPr>
          <w:p>
            <w:r>
              <w:rPr>
                <w:b w:val="false"/>
                <w:bCs w:val="false"/>
                <w:sz w:val="22"/>
                <w:szCs w:val="22"/>
              </w:rPr>
              <w:t xml:space="preserve">Poor until sufficient ratings/clicks accumulate</w:t>
            </w:r>
          </w:p>
        </w:tc>
        <w:tc>
          <w:tcPr>
            <w:tcW w:type="dxa" w:w="1650"/>
            <w:tcMar>
              <w:top w:type="dxa" w:w="80"/>
              <w:left w:type="dxa" w:w="120"/>
              <w:bottom w:type="dxa" w:w="80"/>
              <w:right w:type="dxa" w:w="120"/>
            </w:tcMar>
            <w:vAlign w:val="center"/>
          </w:tcPr>
          <w:p>
            <w:r>
              <w:rPr>
                <w:b w:val="false"/>
                <w:bCs w:val="false"/>
                <w:sz w:val="22"/>
                <w:szCs w:val="22"/>
              </w:rPr>
              <w:t xml:space="preserve">Improved, but still needs some history</w:t>
            </w:r>
          </w:p>
        </w:tc>
      </w:tr>
      <w:tr>
        <w:tc>
          <w:tcPr>
            <w:tcW w:type="dxa" w:w="2400"/>
            <w:tcMar>
              <w:top w:type="dxa" w:w="80"/>
              <w:left w:type="dxa" w:w="120"/>
              <w:bottom w:type="dxa" w:w="80"/>
              <w:right w:type="dxa" w:w="120"/>
            </w:tcMar>
            <w:vAlign w:val="center"/>
          </w:tcPr>
          <w:p>
            <w:r>
              <w:rPr>
                <w:b w:val="false"/>
                <w:bCs w:val="false"/>
                <w:sz w:val="22"/>
                <w:szCs w:val="22"/>
              </w:rPr>
              <w:t xml:space="preserve">Explainability</w:t>
            </w:r>
          </w:p>
        </w:tc>
        <w:tc>
          <w:tcPr>
            <w:tcW w:type="dxa" w:w="2650"/>
            <w:tcMar>
              <w:top w:type="dxa" w:w="80"/>
              <w:left w:type="dxa" w:w="120"/>
              <w:bottom w:type="dxa" w:w="80"/>
              <w:right w:type="dxa" w:w="120"/>
            </w:tcMar>
            <w:vAlign w:val="center"/>
          </w:tcPr>
          <w:p>
            <w:r>
              <w:rPr>
                <w:b w:val="false"/>
                <w:bCs w:val="false"/>
                <w:sz w:val="22"/>
                <w:szCs w:val="22"/>
              </w:rPr>
              <w:t xml:space="preserve">High — matched keywords are directly reportable</w:t>
            </w:r>
          </w:p>
        </w:tc>
        <w:tc>
          <w:tcPr>
            <w:tcW w:type="dxa" w:w="2650"/>
            <w:tcMar>
              <w:top w:type="dxa" w:w="80"/>
              <w:left w:type="dxa" w:w="120"/>
              <w:bottom w:type="dxa" w:w="80"/>
              <w:right w:type="dxa" w:w="120"/>
            </w:tcMar>
            <w:vAlign w:val="center"/>
          </w:tcPr>
          <w:p>
            <w:r>
              <w:rPr>
                <w:b w:val="false"/>
                <w:bCs w:val="false"/>
                <w:sz w:val="22"/>
                <w:szCs w:val="22"/>
              </w:rPr>
              <w:t xml:space="preserve">Low — latent factors are not human-readable</w:t>
            </w:r>
          </w:p>
        </w:tc>
        <w:tc>
          <w:tcPr>
            <w:tcW w:type="dxa" w:w="1650"/>
            <w:tcMar>
              <w:top w:type="dxa" w:w="80"/>
              <w:left w:type="dxa" w:w="120"/>
              <w:bottom w:type="dxa" w:w="80"/>
              <w:right w:type="dxa" w:w="120"/>
            </w:tcMar>
            <w:vAlign w:val="center"/>
          </w:tcPr>
          <w:p>
            <w:r>
              <w:rPr>
                <w:b w:val="false"/>
                <w:bCs w:val="false"/>
                <w:sz w:val="22"/>
                <w:szCs w:val="22"/>
              </w:rPr>
              <w:t xml:space="preserve">Mixed</w:t>
            </w:r>
          </w:p>
        </w:tc>
      </w:tr>
      <w:tr>
        <w:tc>
          <w:tcPr>
            <w:tcW w:type="dxa" w:w="2400"/>
            <w:tcMar>
              <w:top w:type="dxa" w:w="80"/>
              <w:left w:type="dxa" w:w="120"/>
              <w:bottom w:type="dxa" w:w="80"/>
              <w:right w:type="dxa" w:w="120"/>
            </w:tcMar>
            <w:vAlign w:val="center"/>
          </w:tcPr>
          <w:p>
            <w:r>
              <w:rPr>
                <w:b w:val="false"/>
                <w:bCs w:val="false"/>
                <w:sz w:val="22"/>
                <w:szCs w:val="22"/>
              </w:rPr>
              <w:t xml:space="preserve">Serendipity</w:t>
            </w:r>
          </w:p>
        </w:tc>
        <w:tc>
          <w:tcPr>
            <w:tcW w:type="dxa" w:w="2650"/>
            <w:tcMar>
              <w:top w:type="dxa" w:w="80"/>
              <w:left w:type="dxa" w:w="120"/>
              <w:bottom w:type="dxa" w:w="80"/>
              <w:right w:type="dxa" w:w="120"/>
            </w:tcMar>
            <w:vAlign w:val="center"/>
          </w:tcPr>
          <w:p>
            <w:r>
              <w:rPr>
                <w:b w:val="false"/>
                <w:bCs w:val="false"/>
                <w:sz w:val="22"/>
                <w:szCs w:val="22"/>
              </w:rPr>
              <w:t xml:space="preserve">Low — limited to lexical overlap</w:t>
            </w:r>
          </w:p>
        </w:tc>
        <w:tc>
          <w:tcPr>
            <w:tcW w:type="dxa" w:w="2650"/>
            <w:tcMar>
              <w:top w:type="dxa" w:w="80"/>
              <w:left w:type="dxa" w:w="120"/>
              <w:bottom w:type="dxa" w:w="80"/>
              <w:right w:type="dxa" w:w="120"/>
            </w:tcMar>
            <w:vAlign w:val="center"/>
          </w:tcPr>
          <w:p>
            <w:r>
              <w:rPr>
                <w:b w:val="false"/>
                <w:bCs w:val="false"/>
                <w:sz w:val="22"/>
                <w:szCs w:val="22"/>
              </w:rPr>
              <w:t xml:space="preserve">Higher — can surface unexpected items</w:t>
            </w:r>
          </w:p>
        </w:tc>
        <w:tc>
          <w:tcPr>
            <w:tcW w:type="dxa" w:w="1650"/>
            <w:tcMar>
              <w:top w:type="dxa" w:w="80"/>
              <w:left w:type="dxa" w:w="120"/>
              <w:bottom w:type="dxa" w:w="80"/>
              <w:right w:type="dxa" w:w="120"/>
            </w:tcMar>
            <w:vAlign w:val="center"/>
          </w:tcPr>
          <w:p>
            <w:r>
              <w:rPr>
                <w:b w:val="false"/>
                <w:bCs w:val="false"/>
                <w:sz w:val="22"/>
                <w:szCs w:val="22"/>
              </w:rPr>
              <w:t xml:space="preserve">Higher than content-based alone</w:t>
            </w:r>
          </w:p>
        </w:tc>
      </w:tr>
      <w:tr>
        <w:tc>
          <w:tcPr>
            <w:tcW w:type="dxa" w:w="2400"/>
            <w:tcMar>
              <w:top w:type="dxa" w:w="80"/>
              <w:left w:type="dxa" w:w="120"/>
              <w:bottom w:type="dxa" w:w="80"/>
              <w:right w:type="dxa" w:w="120"/>
            </w:tcMar>
            <w:vAlign w:val="center"/>
          </w:tcPr>
          <w:p>
            <w:r>
              <w:rPr>
                <w:b w:val="false"/>
                <w:bCs w:val="false"/>
                <w:sz w:val="22"/>
                <w:szCs w:val="22"/>
              </w:rPr>
              <w:t xml:space="preserve">Implementation cost</w:t>
            </w:r>
          </w:p>
        </w:tc>
        <w:tc>
          <w:tcPr>
            <w:tcW w:type="dxa" w:w="2650"/>
            <w:tcMar>
              <w:top w:type="dxa" w:w="80"/>
              <w:left w:type="dxa" w:w="120"/>
              <w:bottom w:type="dxa" w:w="80"/>
              <w:right w:type="dxa" w:w="120"/>
            </w:tcMar>
            <w:vAlign w:val="center"/>
          </w:tcPr>
          <w:p>
            <w:r>
              <w:rPr>
                <w:b w:val="false"/>
                <w:bCs w:val="false"/>
                <w:sz w:val="22"/>
                <w:szCs w:val="22"/>
              </w:rPr>
              <w:t xml:space="preserve">Low — no external service or trained model</w:t>
            </w:r>
          </w:p>
        </w:tc>
        <w:tc>
          <w:tcPr>
            <w:tcW w:type="dxa" w:w="2650"/>
            <w:tcMar>
              <w:top w:type="dxa" w:w="80"/>
              <w:left w:type="dxa" w:w="120"/>
              <w:bottom w:type="dxa" w:w="80"/>
              <w:right w:type="dxa" w:w="120"/>
            </w:tcMar>
            <w:vAlign w:val="center"/>
          </w:tcPr>
          <w:p>
            <w:r>
              <w:rPr>
                <w:b w:val="false"/>
                <w:bCs w:val="false"/>
                <w:sz w:val="22"/>
                <w:szCs w:val="22"/>
              </w:rPr>
              <w:t xml:space="preserve">Higher — needs interaction logging and periodic retraining</w:t>
            </w:r>
          </w:p>
        </w:tc>
        <w:tc>
          <w:tcPr>
            <w:tcW w:type="dxa" w:w="1650"/>
            <w:tcMar>
              <w:top w:type="dxa" w:w="80"/>
              <w:left w:type="dxa" w:w="120"/>
              <w:bottom w:type="dxa" w:w="80"/>
              <w:right w:type="dxa" w:w="120"/>
            </w:tcMar>
            <w:vAlign w:val="center"/>
          </w:tcPr>
          <w:p>
            <w:r>
              <w:rPr>
                <w:b w:val="false"/>
                <w:bCs w:val="false"/>
                <w:sz w:val="22"/>
                <w:szCs w:val="22"/>
              </w:rPr>
              <w:t xml:space="preserve">Highest</w:t>
            </w:r>
          </w:p>
        </w:tc>
      </w:tr>
    </w:tbl>
    <w:p>
      <w:pPr>
        <w:spacing w:after="280" w:before="120"/>
        <w:jc w:val="center"/>
      </w:pPr>
      <w:r>
        <w:rPr>
          <w:i/>
          <w:iCs/>
          <w:sz w:val="20"/>
          <w:szCs w:val="20"/>
        </w:rPr>
        <w:t xml:space="preserve">Table 2.1: Comparative characteristics of content-based, collaborative, and hybrid recommendation approaches.</w:t>
      </w:r>
    </w:p>
    <w:p>
      <w:pPr>
        <w:spacing w:after="200" w:line="360"/>
        <w:jc w:val="both"/>
      </w:pPr>
      <w:r>
        <w:rPr>
          <w:b w:val="false"/>
          <w:bCs w:val="false"/>
          <w:i w:val="false"/>
          <w:iCs w:val="false"/>
          <w:sz w:val="24"/>
          <w:szCs w:val="24"/>
        </w:rPr>
        <w:t xml:space="preserve">Given a small alumni community, a job board with limited posting volume, and no pre-existing interaction log to train on, the comparison in Table 2.1 favours a content-based approach for an initial deployment, which is the choice made in this project. The explainability advantage is also directly realised in the implementation: JobMatch, the data-transfer object returned by the recommendation engine, carries the list of matched keywords alongside the numeric score, which the recommendations view (templates/recommendations/list.html) surfaces to the alumnus so that the recommendation is not a black box.</w:t>
      </w:r>
    </w:p>
    <w:p>
      <w:pPr>
        <w:pStyle w:val="Heading2"/>
        <w:spacing w:after="160" w:before="320"/>
      </w:pPr>
      <w:r>
        <w:t xml:space="preserve">2.6 Research Gap Addressed by the Present Work</w:t>
      </w:r>
    </w:p>
    <w:p>
      <w:pPr>
        <w:spacing w:after="200" w:line="360"/>
        <w:jc w:val="both"/>
      </w:pPr>
      <w:r>
        <w:rPr>
          <w:b w:val="false"/>
          <w:bCs w:val="false"/>
          <w:i w:val="false"/>
          <w:iCs w:val="false"/>
          <w:sz w:val="24"/>
          <w:szCs w:val="24"/>
        </w:rPr>
        <w:t xml:space="preserve">Much of the published literature on TF-IDF and cosine-similarity recommendation either demonstrates the technique on large, general-purpose corpora (news articles, product catalogues) or treats it as a preprocessing step ahead of a more elaborate model. This report instead documents a minimal, dependency-free implementation of the technique — built without a machine-learning or information-retrieval library — applied end-to-end to a small, domain-specific corpus of job postings, and evaluated both by unit test and by a hand-traced worked example (Section 5.2). This is consistent with, and extends, the course's emphasis on understanding the mechanics of a technique rather than treating it as a library call, and demonstrates that the classical vector space model remains a practical, low-cost solution for small-scale, high-explainability recommendation problems of the kind found in an institutional alumni platform.</w:t>
      </w:r>
    </w:p>
    <w:p>
      <w:pPr>
        <w:pStyle w:val="Heading1"/>
        <w:pageBreakBefore/>
        <w:spacing w:after="240" w:before="0"/>
      </w:pPr>
      <w:r>
        <w:t xml:space="preserve">3. OBJECTIVE</w:t>
      </w:r>
    </w:p>
    <w:p>
      <w:pPr>
        <w:spacing w:after="200" w:line="360"/>
        <w:jc w:val="both"/>
      </w:pPr>
      <w:r>
        <w:rPr>
          <w:b w:val="false"/>
          <w:bCs w:val="false"/>
          <w:i w:val="false"/>
          <w:iCs w:val="false"/>
          <w:sz w:val="24"/>
          <w:szCs w:val="24"/>
        </w:rPr>
        <w:t xml:space="preserve">The overall objective of the project was to design, implement, and evaluate a role-based alumni engagement platform whose job-referral module is driven by a self-implemented, machine-learning-based content recommendation engine. This overall objective was decomposed into the following specific objectives:</w:t>
      </w:r>
    </w:p>
    <w:p>
      <w:pPr>
        <w:pStyle w:val="ListParagraph"/>
        <w:numPr>
          <w:ilvl w:val="0"/>
          <w:numId w:val="2"/>
        </w:numPr>
        <w:spacing w:after="120" w:line="360"/>
      </w:pPr>
      <w:r>
        <w:rPr>
          <w:sz w:val="24"/>
          <w:szCs w:val="24"/>
        </w:rPr>
        <w:t xml:space="preserve">To design a normalised relational schema covering alumni profiles, user accounts and roles, events, and job postings, and to implement it using Spring Data JPA over a PostgreSQL database.</w:t>
      </w:r>
    </w:p>
    <w:p>
      <w:pPr>
        <w:pStyle w:val="ListParagraph"/>
        <w:numPr>
          <w:ilvl w:val="0"/>
          <w:numId w:val="2"/>
        </w:numPr>
        <w:spacing w:after="120" w:line="360"/>
      </w:pPr>
      <w:r>
        <w:rPr>
          <w:sz w:val="24"/>
          <w:szCs w:val="24"/>
        </w:rPr>
        <w:t xml:space="preserve">To implement role-based access control distinguishing administrator and alumni capabilities, including an account-approval workflow that keeps newly registered users disabled until an administrator approves them.</w:t>
      </w:r>
    </w:p>
    <w:p>
      <w:pPr>
        <w:pStyle w:val="ListParagraph"/>
        <w:numPr>
          <w:ilvl w:val="0"/>
          <w:numId w:val="2"/>
        </w:numPr>
        <w:spacing w:after="120" w:line="360"/>
      </w:pPr>
      <w:r>
        <w:rPr>
          <w:sz w:val="24"/>
          <w:szCs w:val="24"/>
        </w:rPr>
        <w:t xml:space="preserve">To implement, from first principles, a TF-IDF vectorizer and a cosine-similarity scorer, and to compose them into a content-based job recommendation engine that ranks job postings for a given alumnus by skill relevance.</w:t>
      </w:r>
    </w:p>
    <w:p>
      <w:pPr>
        <w:pStyle w:val="ListParagraph"/>
        <w:numPr>
          <w:ilvl w:val="0"/>
          <w:numId w:val="2"/>
        </w:numPr>
        <w:spacing w:after="120" w:line="360"/>
      </w:pPr>
      <w:r>
        <w:rPr>
          <w:sz w:val="24"/>
          <w:szCs w:val="24"/>
        </w:rPr>
        <w:t xml:space="preserve">To expose the platform's functionality — alumni directory and profile management, mentor search, events with RSVP, the job board, personalised recommendations, and administrative tooling — through a consistent, server-rendered Thymeleaf user interface.</w:t>
      </w:r>
    </w:p>
    <w:p>
      <w:pPr>
        <w:pStyle w:val="ListParagraph"/>
        <w:numPr>
          <w:ilvl w:val="0"/>
          <w:numId w:val="2"/>
        </w:numPr>
        <w:spacing w:after="120" w:line="360"/>
      </w:pPr>
      <w:r>
        <w:rPr>
          <w:sz w:val="24"/>
          <w:szCs w:val="24"/>
        </w:rPr>
        <w:t xml:space="preserve">To harden the platform's list-oriented views (mentors, events, jobs, pending approvals) with uniform pagination, skeleton loading states, and a consistent page footer, improving perceived performance and visual consistency across the application.</w:t>
      </w:r>
    </w:p>
    <w:p>
      <w:pPr>
        <w:pStyle w:val="ListParagraph"/>
        <w:numPr>
          <w:ilvl w:val="0"/>
          <w:numId w:val="2"/>
        </w:numPr>
        <w:spacing w:after="120" w:line="360"/>
      </w:pPr>
      <w:r>
        <w:rPr>
          <w:sz w:val="24"/>
          <w:szCs w:val="24"/>
        </w:rPr>
        <w:t xml:space="preserve">To validate the correctness of the recommendation engine's term-weighting and similarity-ranking behaviour through a dedicated automated unit test suite, independent of the web and persistence layers.</w:t>
      </w:r>
    </w:p>
    <w:p>
      <w:pPr>
        <w:pStyle w:val="ListParagraph"/>
        <w:numPr>
          <w:ilvl w:val="0"/>
          <w:numId w:val="2"/>
        </w:numPr>
        <w:spacing w:after="120" w:line="360"/>
      </w:pPr>
      <w:r>
        <w:rPr>
          <w:sz w:val="24"/>
          <w:szCs w:val="24"/>
        </w:rPr>
        <w:t xml:space="preserve">To critically evaluate the resulting system, including a candid assessment of its current limitations, as a basis for future development.</w:t>
      </w:r>
    </w:p>
    <w:p>
      <w:pPr>
        <w:pStyle w:val="Heading1"/>
        <w:pageBreakBefore/>
        <w:spacing w:after="240" w:before="0"/>
      </w:pPr>
      <w:r>
        <w:t xml:space="preserve">4. WORK PROGRESS</w:t>
      </w:r>
    </w:p>
    <w:p>
      <w:pPr>
        <w:pStyle w:val="Heading2"/>
        <w:spacing w:after="160" w:before="320"/>
      </w:pPr>
      <w:r>
        <w:t xml:space="preserve">4.1 Architecture and Technology Selection</w:t>
      </w:r>
    </w:p>
    <w:p>
      <w:pPr>
        <w:spacing w:after="200" w:line="360"/>
        <w:jc w:val="both"/>
      </w:pPr>
      <w:r>
        <w:rPr>
          <w:b w:val="false"/>
          <w:bCs w:val="false"/>
          <w:i w:val="false"/>
          <w:iCs w:val="false"/>
          <w:sz w:val="24"/>
          <w:szCs w:val="24"/>
        </w:rPr>
        <w:t xml:space="preserve">The project was built as a single Maven module, alumni-platform (group com.alumni.platform), on Spring Boot 4.1.0 with Java 25. This stack was selected because Spring Boot provides an opinionated, batteries-included foundation for the three cross-cutting concerns the project needed most — persistence, security, and server-rendered views — through the spring-boot-starter-data-jpa, spring-boot-starter-security, and spring-boot-starter-thymeleaf starters respectively, together with spring-boot-starter-validation for request-model validation and thymeleaf-extras-springsecurity6 for role-aware view rendering. PostgreSQL was chosen as the relational database, accessed through Spring Data JPA (Hibernate) repositories. Lombok was used to reduce entity and DTO boilerplate. The presentation layer was deliberately kept as server-rendered Thymeleaf views styled with Bootstrap 5.3.3, loaded from a CDN, rather than as a separate single-page application; this was a scope decision that kept the full stack within one deployable artifact and let the machine-learning component, the project's main deliverable for this course, receive the majority of engineering effort. (An unrelated Vite and React scaffold and a second, unrelated Spring Boot module exist elsewhere in the working directory tree under different package and project names; neither is wired to, nor forms part of, the alumni-platform application described in this report.)</w:t>
      </w:r>
    </w:p>
    <w:p>
      <w:pPr>
        <w:pStyle w:val="Heading2"/>
        <w:spacing w:after="160" w:before="320"/>
      </w:pPr>
      <w:r>
        <w:t xml:space="preserve">4.2 Database Schema Evolution</w:t>
      </w:r>
    </w:p>
    <w:p>
      <w:pPr>
        <w:spacing w:after="200" w:line="360"/>
        <w:jc w:val="both"/>
      </w:pPr>
      <w:r>
        <w:rPr>
          <w:b w:val="false"/>
          <w:bCs w:val="false"/>
          <w:i w:val="false"/>
          <w:iCs w:val="false"/>
          <w:sz w:val="24"/>
          <w:szCs w:val="24"/>
        </w:rPr>
        <w:t xml:space="preserve">The persistence layer is built around four JPA entities. Alumni holds a directory profile: name, email, batch year, department, company, a free-text skills field, LinkedIn URL, phone number, and an optional profile photograph stored as a byte array with its content type. User holds authentication state: email, a BCrypt-hashed password, a Role (ADMIN or ALUMNI), and an approved flag that Spring Security's UserDetailsService consults to disable unapproved accounts at login. Event holds a title, description, date, location, and a set of attendee e-mail addresses managed as an element collection for RSVP tracking. JobPosting holds a title, company, description, contact information, the posting alumnus's e-mail, and the posting date.</w:t>
      </w:r>
    </w:p>
    <w:p>
      <w:pPr>
        <w:spacing w:after="200" w:line="360"/>
        <w:jc w:val="both"/>
      </w:pPr>
      <w:r>
        <w:rPr>
          <w:b w:val="false"/>
          <w:bCs w:val="false"/>
          <w:i w:val="false"/>
          <w:iCs w:val="false"/>
          <w:sz w:val="24"/>
          <w:szCs w:val="24"/>
        </w:rPr>
        <w:t xml:space="preserve">The schema is managed by Hibernate's automatic schema-update mechanism (spring.jpa.hibernate.ddl-auto=update) rather than through versioned migration scripts; no Flyway or Liquibase migration files are present in the codebase. This was an acceptable trade-off during iterative, single-developer coursework development, where the schema changed frequently alongside the entity model, but it is recorded in Section 5.5 as a gap that should be closed with versioned migrations before any multi-developer or production deployment, since ddl-auto=update offers no rollback path and can silently diverge from a hand-reviewed schema history.</w:t>
      </w:r>
    </w:p>
    <w:p>
      <w:pPr>
        <w:pStyle w:val="Heading2"/>
        <w:spacing w:after="160" w:before="320"/>
      </w:pPr>
      <w:r>
        <w:t xml:space="preserve">4.3 Backend Implementation</w:t>
      </w:r>
    </w:p>
    <w:p>
      <w:pPr>
        <w:spacing w:after="200" w:line="360"/>
        <w:jc w:val="both"/>
      </w:pPr>
      <w:r>
        <w:rPr>
          <w:b w:val="false"/>
          <w:bCs w:val="false"/>
          <w:i w:val="false"/>
          <w:iCs w:val="false"/>
          <w:sz w:val="24"/>
          <w:szCs w:val="24"/>
        </w:rPr>
        <w:t xml:space="preserve">The backend follows a conventional Spring MVC layering of controllers, services, and Spring Data repositories. AlumniController exposes directory search and pagination, profile create/edit/delete, photo upload and retrieval, CSV export for administrators, and the mentor-search endpoint. EventController exposes event listing, creation (administrator only), and RSVP and RSVP-cancellation actions. JobPostingController exposes job listing, creation, and owner-or-administrator deletion. RecommendationController exposes the personalised job-recommendation view for alumni. AdminController exposes the administrator dashboard and the pending-user-approval queue. AuthController handles registration; authentication itself is delegated to Spring Security's form-login filter chain, configured in SecurityConfig, which restricts the /admin/** path to the ADMIN role, permits unauthenticated access only to the login, registration, and static-asset paths, and routes a disabled-account login attempt to a distinct “account pending approval” outcome rather than a generic authentication failure.</w:t>
      </w:r>
    </w:p>
    <w:p>
      <w:pPr>
        <w:pStyle w:val="Heading2"/>
        <w:spacing w:after="160" w:before="320"/>
      </w:pPr>
      <w:r>
        <w:t xml:space="preserve">4.4 Core Scoring Logic Development</w:t>
      </w:r>
    </w:p>
    <w:p>
      <w:pPr>
        <w:spacing w:after="200" w:line="360"/>
        <w:jc w:val="both"/>
      </w:pPr>
      <w:r>
        <w:rPr>
          <w:b w:val="false"/>
          <w:bCs w:val="false"/>
          <w:i w:val="false"/>
          <w:iCs w:val="false"/>
          <w:sz w:val="24"/>
          <w:szCs w:val="24"/>
        </w:rPr>
        <w:t xml:space="preserve">The recommendation engine — the machine-learning centrepiece of the project — was developed as two small, dependency-free classes plus one orchestrating service, deliberately kept independent of Spring so that they could be unit tested in isolation. TfIdfVectorizer.fit(corpus) tokenises each document in a corpus of job-posting texts (lower-cased, split on non-alphanumeric characters other than + and #, so that tokens such as c++ and c# survive intact), discards a 47-entry stop-word list that includes both generic English function words and domain-generic job-posting terms such as “experience”, “team”, and “candidate”, and computes a smoothed inverse document frequency for every remaining term. TfIdfVectorizer.transform(text) then projects arbitrary text, such as an alumnus's skills and department, into that fitted vocabulary as a sparse map from term to normalised-term-frequency-times-IDF weight, silently dropping any term absent from the fitted vocabulary. CosineSimilarity.of(a, b) computes the cosine similarity between two such sparse vectors by iterating the smaller map's keys against the larger, which keeps the computation proportional to the size of the smaller vector.</w:t>
      </w:r>
    </w:p>
    <w:p>
      <w:pPr>
        <w:spacing w:after="200" w:line="360"/>
        <w:jc w:val="both"/>
      </w:pPr>
      <w:r>
        <w:rPr>
          <w:b w:val="false"/>
          <w:bCs w:val="false"/>
          <w:i w:val="false"/>
          <w:iCs w:val="false"/>
          <w:sz w:val="24"/>
          <w:szCs w:val="24"/>
        </w:rPr>
        <w:t xml:space="preserve">JobRecommendationService.recommendFor(alumni, topN) composes these two classes into the end-to-end recommendation pipeline: it fits a TfIdfVectorizer over every currently stored job posting, using each posting's title, repeated to double its weight relative to the description, followed by the description itself; it transforms the requesting alumnus's skills, similarly doubled, followed by department, into the same fitted space; it scores every posting against that alumnus vector by cosine similarity, converts the similarity into a whole-number match percentage, filters out any posting scoring below a one-percent minimum match threshold, sorts by descending match percentage, and returns the top N postings together with, for each, the sorted list of keywords the two vectors share. A worked, hand-traced numerical example of this pipeline is presented in Section 5.2.</w:t>
      </w:r>
    </w:p>
    <w:p>
      <w:pPr>
        <w:pStyle w:val="Heading2"/>
        <w:spacing w:after="160" w:before="320"/>
      </w:pPr>
      <w:r>
        <w:t xml:space="preserve">4.5 Frontend Implementation</w:t>
      </w:r>
    </w:p>
    <w:p>
      <w:pPr>
        <w:spacing w:after="200" w:line="360"/>
        <w:jc w:val="both"/>
      </w:pPr>
      <w:r>
        <w:rPr>
          <w:b w:val="false"/>
          <w:bCs w:val="false"/>
          <w:i w:val="false"/>
          <w:iCs w:val="false"/>
          <w:sz w:val="24"/>
          <w:szCs w:val="24"/>
        </w:rPr>
        <w:t xml:space="preserve">The user interface comprises sixteen Thymeleaf templates covering authentication (login, registration), the alumni directory and profile form and detail views, the mentor-search view, the events list, creation form, and detail view, the job-board list, creation form, and detail view, the personalised recommendations list, the administrator dashboard, and the administrator pending-approvals queue. All templates share a duplicated Bootstrap 5.3.3 navigation bar and footer, since the project does not use Thymeleaf layout fragments; this duplication is recorded as a gap in Section 5.5.</w:t>
      </w:r>
    </w:p>
    <w:p>
      <w:pPr>
        <w:spacing w:after="200" w:line="360"/>
        <w:jc w:val="both"/>
      </w:pPr>
      <w:r>
        <w:rPr>
          <w:b w:val="false"/>
          <w:bCs w:val="false"/>
          <w:i w:val="false"/>
          <w:iCs w:val="false"/>
          <w:sz w:val="24"/>
          <w:szCs w:val="24"/>
        </w:rPr>
        <w:t xml:space="preserve">As part of this reporting cycle, a targeted usability-hardening pass was carried out across the four highest-traffic list views — mentors, events, jobs, and pending approvals. Each of these views was given: (i) server-side pagination at ten records per page, implemented by extending the corresponding Spring Data repository and service methods to accept a Pageable and return a Page, mirroring the pagination pattern already present in the alumni directory; (ii) a CSS shimmer-animation skeleton placeholder, shown by default and swapped for the real content once the page and its assets finish loading, or when the user submits a pagination link or filter form, giving visible feedback during full-page navigation; and (iii) a global sticky-footer layout, implemented as a flexbox rule applied to the shared page body, so the site footer sits at the bottom of the viewport on short pages across the whole application rather than only on pages with enough content to push it there naturally.</w:t>
      </w:r>
    </w:p>
    <w:p>
      <w:pPr>
        <w:pStyle w:val="Heading2"/>
        <w:spacing w:after="160" w:before="320"/>
      </w:pPr>
      <w:r>
        <w:t xml:space="preserve">4.6 Security Hardening</w:t>
      </w:r>
    </w:p>
    <w:p>
      <w:pPr>
        <w:spacing w:after="200" w:line="360"/>
        <w:jc w:val="both"/>
      </w:pPr>
      <w:r>
        <w:rPr>
          <w:b w:val="false"/>
          <w:bCs w:val="false"/>
          <w:i w:val="false"/>
          <w:iCs w:val="false"/>
          <w:sz w:val="24"/>
          <w:szCs w:val="24"/>
        </w:rPr>
        <w:t xml:space="preserve">Passwords are hashed with BCrypt via Spring Security's BCryptPasswordEncoder before storage; no password is ever persisted or logged in plain text. Authorisation is enforced at two levels: coarse-grained URL matching in SecurityConfig restricts the entire /admin/** path to the ADMIN role, and method-level @PreAuthorize annotations, enabled via @EnableMethodSecurity, restrict specific controller actions such as alumni CSV export and event creation to administrators, while ownership checks inside controller methods (for example, in AlumniController.editForm and JobPostingController.delete) ensure an alumni user can only edit their own profile or delete their own job postings unless they hold the ADMIN role. New self-registered accounts are always created with the ALUMNI role and an unapproved flag, and Spring Security's UserDetailsService implementation marks such accounts as disabled, so an unapproved account cannot authenticate even with a correct password until an administrator approves it from the pending-approvals queue documented in Section 4.5. Templates additionally use thymeleaf-extras-springsecurity6's sec:authorize attribute to hide administrator-only actions from alumni users at the presentation layer, in addition to the server-side enforcement described above.</w:t>
      </w:r>
    </w:p>
    <w:p>
      <w:pPr>
        <w:pStyle w:val="Heading2"/>
        <w:spacing w:after="160" w:before="320"/>
      </w:pPr>
      <w:r>
        <w:t xml:space="preserve">4.7 Testing</w:t>
      </w:r>
    </w:p>
    <w:p>
      <w:pPr>
        <w:spacing w:after="200" w:line="360"/>
        <w:jc w:val="both"/>
      </w:pPr>
      <w:r>
        <w:rPr>
          <w:b w:val="false"/>
          <w:bCs w:val="false"/>
          <w:i w:val="false"/>
          <w:iCs w:val="false"/>
          <w:sz w:val="24"/>
          <w:szCs w:val="24"/>
        </w:rPr>
        <w:t xml:space="preserve">Automated testing was concentrated on the recommendation engine, reflecting the project's emphasis, for this course, on demonstrating and validating the machine-learning technique at its core. Three JUnit 5 test classes, using AssertJ for assertions and Mockito for repository stubbing, were written: TfIdfVectorizerTest verifies inverse-document-frequency weighting behaviour, stop-word and short-token filtering, handling of blank input, and the tokenizer's treatment of symbol-bearing tokens such as c++; CosineSimilarityTest verifies the similarity score for identical vectors, orthogonal (non-overlapping) vectors, empty vectors, and partially overlapping vectors; and JobRecommendationServiceTest, using a mocked JobPostingRepository, verifies that postings are ranked correctly by relevance, that postings with no lexical overlap with the alumnus's profile are excluded, that an empty posting list is handled without error, and that the topN limit is respected. The full results of this suite are reported in Section 5.4.</w:t>
      </w:r>
    </w:p>
    <w:p>
      <w:pPr>
        <w:pStyle w:val="Heading1"/>
        <w:pageBreakBefore/>
        <w:spacing w:after="240" w:before="0"/>
      </w:pPr>
      <w:r>
        <w:t xml:space="preserve">5. RESULTS</w:t>
      </w:r>
    </w:p>
    <w:p>
      <w:pPr>
        <w:pStyle w:val="Heading2"/>
        <w:spacing w:after="160" w:before="320"/>
      </w:pPr>
      <w:r>
        <w:t xml:space="preserve">5.1 Functional Outcomes</w:t>
      </w:r>
    </w:p>
    <w:p>
      <w:pPr>
        <w:spacing w:after="200" w:line="360"/>
        <w:jc w:val="both"/>
      </w:pPr>
      <w:r>
        <w:rPr>
          <w:b w:val="false"/>
          <w:bCs w:val="false"/>
          <w:i w:val="false"/>
          <w:iCs w:val="false"/>
          <w:sz w:val="24"/>
          <w:szCs w:val="24"/>
        </w:rPr>
        <w:t xml:space="preserve">The completed system delivers the functional scope defined in Chapter 3. Administrators can review and approve pending registrations, view an aggregate dashboard of alumni counts by department, and export the full alumni directory as CSV. Alumni users can maintain their own profile, including an optional photograph; search the directory by batch, department, and skill; search specifically for mentors by skill; browse and RSVP to events; post, browse, and delete their own job referrals; and view a personalised, ranked list of job recommendations. All list-oriented views now paginate at ten records per page and present a skeleton loading placeholder while content is loading or being replaced, and every page in the application now keeps its footer pinned to the bottom of the viewport regardless of content length.</w:t>
      </w:r>
    </w:p>
    <w:p>
      <w:pPr>
        <w:pStyle w:val="Heading2"/>
        <w:spacing w:after="160" w:before="320"/>
      </w:pPr>
      <w:r>
        <w:t xml:space="preserve">5.2 Scoring Engine Outputs</w:t>
      </w:r>
    </w:p>
    <w:p>
      <w:pPr>
        <w:spacing w:after="200" w:line="360"/>
        <w:jc w:val="both"/>
      </w:pPr>
      <w:r>
        <w:rPr>
          <w:b w:val="false"/>
          <w:bCs w:val="false"/>
          <w:i w:val="false"/>
          <w:iCs w:val="false"/>
          <w:sz w:val="24"/>
          <w:szCs w:val="24"/>
        </w:rPr>
        <w:t xml:space="preserve">Because exercising the running application against a live PostgreSQL instance was not possible in the environment used to prepare this report, the recommendation engine's behaviour is instead demonstrated here through a hand-traced worked example that follows the exact algorithm implemented in TfIdfVectorizer.java and CosineSimilarity.java, using a small, illustrative two-posting corpus rather than live application data.</w:t>
      </w:r>
    </w:p>
    <w:p>
      <w:pPr>
        <w:spacing w:after="200" w:line="360"/>
        <w:jc w:val="both"/>
      </w:pPr>
      <w:r>
        <w:rPr>
          <w:b w:val="false"/>
          <w:bCs w:val="false"/>
          <w:i w:val="false"/>
          <w:iCs w:val="false"/>
          <w:sz w:val="24"/>
          <w:szCs w:val="24"/>
        </w:rPr>
        <w:t xml:space="preserve">Consider an alumnus whose profile lists skills “Python, Machine Learning” in the Computer Science department, against two open postings: Posting A, titled “Machine Learning Engineer”, describing a role requiring Python and machine learning skills; and Posting B, titled “Sales Executive”, describing a role requiring communication and negotiation skills. Table 5.1 summarises the resulting match.</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2400"/>
        <w:gridCol w:w="1350"/>
      </w:tblGrid>
      <w:tr>
        <w:trPr>
          <w:tblHeader/>
        </w:trPr>
        <w:tc>
          <w:tcPr>
            <w:tcW w:type="dxa" w:w="3400"/>
            <w:shd w:fill="D9D2F0" w:val="clear"/>
            <w:tcMar>
              <w:top w:type="dxa" w:w="80"/>
              <w:left w:type="dxa" w:w="120"/>
              <w:bottom w:type="dxa" w:w="80"/>
              <w:right w:type="dxa" w:w="120"/>
            </w:tcMar>
            <w:vAlign w:val="center"/>
          </w:tcPr>
          <w:p>
            <w:r>
              <w:rPr>
                <w:b/>
                <w:bCs/>
                <w:sz w:val="22"/>
                <w:szCs w:val="22"/>
              </w:rPr>
              <w:t xml:space="preserve">Job Posting</w:t>
            </w:r>
          </w:p>
        </w:tc>
        <w:tc>
          <w:tcPr>
            <w:tcW w:type="dxa" w:w="2600"/>
            <w:shd w:fill="D9D2F0" w:val="clear"/>
            <w:tcMar>
              <w:top w:type="dxa" w:w="80"/>
              <w:left w:type="dxa" w:w="120"/>
              <w:bottom w:type="dxa" w:w="80"/>
              <w:right w:type="dxa" w:w="120"/>
            </w:tcMar>
            <w:vAlign w:val="center"/>
          </w:tcPr>
          <w:p>
            <w:r>
              <w:rPr>
                <w:b/>
                <w:bCs/>
                <w:sz w:val="22"/>
                <w:szCs w:val="22"/>
              </w:rPr>
              <w:t xml:space="preserve">Cosine Similarity</w:t>
            </w:r>
          </w:p>
        </w:tc>
        <w:tc>
          <w:tcPr>
            <w:tcW w:type="dxa" w:w="2400"/>
            <w:shd w:fill="D9D2F0" w:val="clear"/>
            <w:tcMar>
              <w:top w:type="dxa" w:w="80"/>
              <w:left w:type="dxa" w:w="120"/>
              <w:bottom w:type="dxa" w:w="80"/>
              <w:right w:type="dxa" w:w="120"/>
            </w:tcMar>
            <w:vAlign w:val="center"/>
          </w:tcPr>
          <w:p>
            <w:r>
              <w:rPr>
                <w:b/>
                <w:bCs/>
                <w:sz w:val="22"/>
                <w:szCs w:val="22"/>
              </w:rPr>
              <w:t xml:space="preserve">Match %</w:t>
            </w:r>
          </w:p>
        </w:tc>
        <w:tc>
          <w:tcPr>
            <w:tcW w:type="dxa" w:w="1350"/>
            <w:shd w:fill="D9D2F0" w:val="clear"/>
            <w:tcMar>
              <w:top w:type="dxa" w:w="80"/>
              <w:left w:type="dxa" w:w="120"/>
              <w:bottom w:type="dxa" w:w="80"/>
              <w:right w:type="dxa" w:w="120"/>
            </w:tcMar>
            <w:vAlign w:val="center"/>
          </w:tcPr>
          <w:p>
            <w:r>
              <w:rPr>
                <w:b/>
                <w:bCs/>
                <w:sz w:val="22"/>
                <w:szCs w:val="22"/>
              </w:rPr>
              <w:t xml:space="preserve">Outcome</w:t>
            </w:r>
          </w:p>
        </w:tc>
      </w:tr>
      <w:tr>
        <w:tc>
          <w:tcPr>
            <w:tcW w:type="dxa" w:w="3400"/>
            <w:tcMar>
              <w:top w:type="dxa" w:w="80"/>
              <w:left w:type="dxa" w:w="120"/>
              <w:bottom w:type="dxa" w:w="80"/>
              <w:right w:type="dxa" w:w="120"/>
            </w:tcMar>
            <w:vAlign w:val="center"/>
          </w:tcPr>
          <w:p>
            <w:r>
              <w:rPr>
                <w:b w:val="false"/>
                <w:bCs w:val="false"/>
                <w:sz w:val="22"/>
                <w:szCs w:val="22"/>
              </w:rPr>
              <w:t xml:space="preserve">A — Machine Learning Engineer</w:t>
            </w:r>
          </w:p>
        </w:tc>
        <w:tc>
          <w:tcPr>
            <w:tcW w:type="dxa" w:w="2600"/>
            <w:tcMar>
              <w:top w:type="dxa" w:w="80"/>
              <w:left w:type="dxa" w:w="120"/>
              <w:bottom w:type="dxa" w:w="80"/>
              <w:right w:type="dxa" w:w="120"/>
            </w:tcMar>
            <w:vAlign w:val="center"/>
          </w:tcPr>
          <w:p>
            <w:r>
              <w:rPr>
                <w:b w:val="false"/>
                <w:bCs w:val="false"/>
                <w:sz w:val="22"/>
                <w:szCs w:val="22"/>
              </w:rPr>
              <w:t xml:space="preserve">0.800</w:t>
            </w:r>
          </w:p>
        </w:tc>
        <w:tc>
          <w:tcPr>
            <w:tcW w:type="dxa" w:w="2400"/>
            <w:tcMar>
              <w:top w:type="dxa" w:w="80"/>
              <w:left w:type="dxa" w:w="120"/>
              <w:bottom w:type="dxa" w:w="80"/>
              <w:right w:type="dxa" w:w="120"/>
            </w:tcMar>
            <w:vAlign w:val="center"/>
          </w:tcPr>
          <w:p>
            <w:r>
              <w:rPr>
                <w:b w:val="false"/>
                <w:bCs w:val="false"/>
                <w:sz w:val="22"/>
                <w:szCs w:val="22"/>
              </w:rPr>
              <w:t xml:space="preserve">80%</w:t>
            </w:r>
          </w:p>
        </w:tc>
        <w:tc>
          <w:tcPr>
            <w:tcW w:type="dxa" w:w="1350"/>
            <w:tcMar>
              <w:top w:type="dxa" w:w="80"/>
              <w:left w:type="dxa" w:w="120"/>
              <w:bottom w:type="dxa" w:w="80"/>
              <w:right w:type="dxa" w:w="120"/>
            </w:tcMar>
            <w:vAlign w:val="center"/>
          </w:tcPr>
          <w:p>
            <w:r>
              <w:rPr>
                <w:b w:val="false"/>
                <w:bCs w:val="false"/>
                <w:sz w:val="22"/>
                <w:szCs w:val="22"/>
              </w:rPr>
              <w:t xml:space="preserve">Recommended (matched keywords: learning, machine, python)</w:t>
            </w:r>
          </w:p>
        </w:tc>
      </w:tr>
      <w:tr>
        <w:tc>
          <w:tcPr>
            <w:tcW w:type="dxa" w:w="3400"/>
            <w:tcMar>
              <w:top w:type="dxa" w:w="80"/>
              <w:left w:type="dxa" w:w="120"/>
              <w:bottom w:type="dxa" w:w="80"/>
              <w:right w:type="dxa" w:w="120"/>
            </w:tcMar>
            <w:vAlign w:val="center"/>
          </w:tcPr>
          <w:p>
            <w:r>
              <w:rPr>
                <w:b w:val="false"/>
                <w:bCs w:val="false"/>
                <w:sz w:val="22"/>
                <w:szCs w:val="22"/>
              </w:rPr>
              <w:t xml:space="preserve">B — Sales Executive</w:t>
            </w:r>
          </w:p>
        </w:tc>
        <w:tc>
          <w:tcPr>
            <w:tcW w:type="dxa" w:w="2600"/>
            <w:tcMar>
              <w:top w:type="dxa" w:w="80"/>
              <w:left w:type="dxa" w:w="120"/>
              <w:bottom w:type="dxa" w:w="80"/>
              <w:right w:type="dxa" w:w="120"/>
            </w:tcMar>
            <w:vAlign w:val="center"/>
          </w:tcPr>
          <w:p>
            <w:r>
              <w:rPr>
                <w:b w:val="false"/>
                <w:bCs w:val="false"/>
                <w:sz w:val="22"/>
                <w:szCs w:val="22"/>
              </w:rPr>
              <w:t xml:space="preserve">0.000</w:t>
            </w:r>
          </w:p>
        </w:tc>
        <w:tc>
          <w:tcPr>
            <w:tcW w:type="dxa" w:w="2400"/>
            <w:tcMar>
              <w:top w:type="dxa" w:w="80"/>
              <w:left w:type="dxa" w:w="120"/>
              <w:bottom w:type="dxa" w:w="80"/>
              <w:right w:type="dxa" w:w="120"/>
            </w:tcMar>
            <w:vAlign w:val="center"/>
          </w:tcPr>
          <w:p>
            <w:r>
              <w:rPr>
                <w:b w:val="false"/>
                <w:bCs w:val="false"/>
                <w:sz w:val="22"/>
                <w:szCs w:val="22"/>
              </w:rPr>
              <w:t xml:space="preserve">0%</w:t>
            </w:r>
          </w:p>
        </w:tc>
        <w:tc>
          <w:tcPr>
            <w:tcW w:type="dxa" w:w="1350"/>
            <w:tcMar>
              <w:top w:type="dxa" w:w="80"/>
              <w:left w:type="dxa" w:w="120"/>
              <w:bottom w:type="dxa" w:w="80"/>
              <w:right w:type="dxa" w:w="120"/>
            </w:tcMar>
            <w:vAlign w:val="center"/>
          </w:tcPr>
          <w:p>
            <w:r>
              <w:rPr>
                <w:b w:val="false"/>
                <w:bCs w:val="false"/>
                <w:sz w:val="22"/>
                <w:szCs w:val="22"/>
              </w:rPr>
              <w:t xml:space="preserve">Excluded (below 1% minimum-match threshold)</w:t>
            </w:r>
          </w:p>
        </w:tc>
      </w:tr>
    </w:tbl>
    <w:p>
      <w:pPr>
        <w:spacing w:after="280" w:before="120"/>
        <w:jc w:val="center"/>
      </w:pPr>
      <w:r>
        <w:rPr>
          <w:i/>
          <w:iCs/>
          <w:sz w:val="20"/>
          <w:szCs w:val="20"/>
        </w:rPr>
        <w:t xml:space="preserve">Table 5.1: Hand-traced walkthrough of the TF-IDF and cosine-similarity pipeline on an illustrative two-posting corpus.</w:t>
      </w:r>
    </w:p>
    <w:p>
      <w:pPr>
        <w:spacing w:after="200" w:line="360"/>
        <w:jc w:val="both"/>
      </w:pPr>
      <w:r>
        <w:rPr>
          <w:b w:val="false"/>
          <w:bCs w:val="false"/>
          <w:i w:val="false"/>
          <w:iCs w:val="false"/>
          <w:sz w:val="24"/>
          <w:szCs w:val="24"/>
        </w:rPr>
        <w:t xml:space="preserve">This example illustrates three properties of the implemented engine directly. First, the doubled weighting of each posting's title measurably increases the influence of title terms such as “machine” and “learning” on the resulting score. Second, the inverse-document-frequency term correctly down-weights vocabulary shared across most postings; in this corpus, a stop word list already removes generic terms such as “candidate” before IDF is even computed. Third, and most importantly for understanding the limitations of a purely content-based technique, Posting B is excluded outright rather than merely ranked low, because it shares no vocabulary at all with the alumnus's profile; this is the expected, tested behaviour of the MIN_MATCH_PERCENT filter in JobRecommendationService, and is the same limitation discussed in Section 2.2: a content-based engine cannot recommend an item with zero lexical overlap with the user profile, however relevant it might be for other reasons.</w:t>
      </w:r>
    </w:p>
    <w:p>
      <w:pPr>
        <w:pStyle w:val="Heading2"/>
        <w:spacing w:after="160" w:before="320"/>
      </w:pPr>
      <w:r>
        <w:t xml:space="preserve">5.3 Analytics Dashboard Outputs</w:t>
      </w:r>
    </w:p>
    <w:p>
      <w:pPr>
        <w:spacing w:after="200" w:line="360"/>
        <w:jc w:val="both"/>
      </w:pPr>
      <w:r>
        <w:rPr>
          <w:b w:val="false"/>
          <w:bCs w:val="false"/>
          <w:i w:val="false"/>
          <w:iCs w:val="false"/>
          <w:sz w:val="24"/>
          <w:szCs w:val="24"/>
        </w:rPr>
        <w:t xml:space="preserve">The administrator dashboard (admin/dashboard.html) aggregates and displays three headline counters — total alumni, total registered users, and total distinct departments represented in the directory — and renders a bar chart, drawn with Chart.js loaded from a CDN, of alumni count per department. This view gives an administrator an at-a-glance read of directory composition and growth without needing to query the database directly, and is populated live from the AlumniService and UserRepository counts computed in AdminController.dashboard().</w:t>
      </w:r>
    </w:p>
    <w:p>
      <w:pPr>
        <w:pStyle w:val="Heading2"/>
        <w:spacing w:after="160" w:before="320"/>
      </w:pPr>
      <w:r>
        <w:t xml:space="preserve">5.4 Verification and Quality Assurance Results</w:t>
      </w:r>
    </w:p>
    <w:p>
      <w:pPr>
        <w:spacing w:after="200" w:line="360"/>
        <w:jc w:val="both"/>
      </w:pPr>
      <w:r>
        <w:rPr>
          <w:b w:val="false"/>
          <w:bCs w:val="false"/>
          <w:i w:val="false"/>
          <w:iCs w:val="false"/>
          <w:sz w:val="24"/>
          <w:szCs w:val="24"/>
        </w:rPr>
        <w:t xml:space="preserve">The full automated test suite was executed with Maven (mvn test) against JDK 25 immediately prior to preparing this report. All three test classes passed with no failures or errors, as summarised in Table 5.2.</w:t>
      </w:r>
    </w:p>
    <w:tbl>
      <w:tblPr>
        <w:tblW w:type="dxa" w:w="10750"/>
        <w:tblBorders>
          <w:top w:val="single" w:color="auto" w:sz="4"/>
          <w:left w:val="single" w:color="auto" w:sz="4"/>
          <w:bottom w:val="single" w:color="auto" w:sz="4"/>
          <w:right w:val="single" w:color="auto" w:sz="4"/>
          <w:insideH w:val="single" w:color="auto" w:sz="4"/>
          <w:insideV w:val="single" w:color="auto" w:sz="4"/>
        </w:tblBorders>
      </w:tblPr>
      <w:tblGrid>
        <w:gridCol w:w="4200"/>
        <w:gridCol w:w="1750"/>
        <w:gridCol w:w="1750"/>
        <w:gridCol w:w="1750"/>
        <w:gridCol w:w="1300"/>
      </w:tblGrid>
      <w:tr>
        <w:trPr>
          <w:tblHeader/>
        </w:trPr>
        <w:tc>
          <w:tcPr>
            <w:tcW w:type="dxa" w:w="4200"/>
            <w:shd w:fill="D9D2F0" w:val="clear"/>
            <w:tcMar>
              <w:top w:type="dxa" w:w="80"/>
              <w:left w:type="dxa" w:w="120"/>
              <w:bottom w:type="dxa" w:w="80"/>
              <w:right w:type="dxa" w:w="120"/>
            </w:tcMar>
            <w:vAlign w:val="center"/>
          </w:tcPr>
          <w:p>
            <w:r>
              <w:rPr>
                <w:b/>
                <w:bCs/>
                <w:sz w:val="22"/>
                <w:szCs w:val="22"/>
              </w:rPr>
              <w:t xml:space="preserve">Test Class</w:t>
            </w:r>
          </w:p>
        </w:tc>
        <w:tc>
          <w:tcPr>
            <w:tcW w:type="dxa" w:w="1750"/>
            <w:shd w:fill="D9D2F0" w:val="clear"/>
            <w:tcMar>
              <w:top w:type="dxa" w:w="80"/>
              <w:left w:type="dxa" w:w="120"/>
              <w:bottom w:type="dxa" w:w="80"/>
              <w:right w:type="dxa" w:w="120"/>
            </w:tcMar>
            <w:vAlign w:val="center"/>
          </w:tcPr>
          <w:p>
            <w:r>
              <w:rPr>
                <w:b/>
                <w:bCs/>
                <w:sz w:val="22"/>
                <w:szCs w:val="22"/>
              </w:rPr>
              <w:t xml:space="preserve">Tests Run</w:t>
            </w:r>
          </w:p>
        </w:tc>
        <w:tc>
          <w:tcPr>
            <w:tcW w:type="dxa" w:w="1750"/>
            <w:shd w:fill="D9D2F0" w:val="clear"/>
            <w:tcMar>
              <w:top w:type="dxa" w:w="80"/>
              <w:left w:type="dxa" w:w="120"/>
              <w:bottom w:type="dxa" w:w="80"/>
              <w:right w:type="dxa" w:w="120"/>
            </w:tcMar>
            <w:vAlign w:val="center"/>
          </w:tcPr>
          <w:p>
            <w:r>
              <w:rPr>
                <w:b/>
                <w:bCs/>
                <w:sz w:val="22"/>
                <w:szCs w:val="22"/>
              </w:rPr>
              <w:t xml:space="preserve">Failures</w:t>
            </w:r>
          </w:p>
        </w:tc>
        <w:tc>
          <w:tcPr>
            <w:tcW w:type="dxa" w:w="1750"/>
            <w:shd w:fill="D9D2F0" w:val="clear"/>
            <w:tcMar>
              <w:top w:type="dxa" w:w="80"/>
              <w:left w:type="dxa" w:w="120"/>
              <w:bottom w:type="dxa" w:w="80"/>
              <w:right w:type="dxa" w:w="120"/>
            </w:tcMar>
            <w:vAlign w:val="center"/>
          </w:tcPr>
          <w:p>
            <w:r>
              <w:rPr>
                <w:b/>
                <w:bCs/>
                <w:sz w:val="22"/>
                <w:szCs w:val="22"/>
              </w:rPr>
              <w:t xml:space="preserve">Errors</w:t>
            </w:r>
          </w:p>
        </w:tc>
        <w:tc>
          <w:tcPr>
            <w:tcW w:type="dxa" w:w="1300"/>
            <w:shd w:fill="D9D2F0" w:val="clear"/>
            <w:tcMar>
              <w:top w:type="dxa" w:w="80"/>
              <w:left w:type="dxa" w:w="120"/>
              <w:bottom w:type="dxa" w:w="80"/>
              <w:right w:type="dxa" w:w="120"/>
            </w:tcMar>
            <w:vAlign w:val="center"/>
          </w:tcPr>
          <w:p>
            <w:r>
              <w:rPr>
                <w:b/>
                <w:bCs/>
                <w:sz w:val="22"/>
                <w:szCs w:val="22"/>
              </w:rPr>
              <w:t xml:space="preserve">Result</w:t>
            </w:r>
          </w:p>
        </w:tc>
      </w:tr>
      <w:tr>
        <w:tc>
          <w:tcPr>
            <w:tcW w:type="dxa" w:w="4200"/>
            <w:tcMar>
              <w:top w:type="dxa" w:w="80"/>
              <w:left w:type="dxa" w:w="120"/>
              <w:bottom w:type="dxa" w:w="80"/>
              <w:right w:type="dxa" w:w="120"/>
            </w:tcMar>
            <w:vAlign w:val="center"/>
          </w:tcPr>
          <w:p>
            <w:r>
              <w:rPr>
                <w:b w:val="false"/>
                <w:bCs w:val="false"/>
                <w:sz w:val="22"/>
                <w:szCs w:val="22"/>
              </w:rPr>
              <w:t xml:space="preserve">com.alumni.platform.ml.TfIdfVectorizerTest</w:t>
            </w:r>
          </w:p>
        </w:tc>
        <w:tc>
          <w:tcPr>
            <w:tcW w:type="dxa" w:w="1750"/>
            <w:tcMar>
              <w:top w:type="dxa" w:w="80"/>
              <w:left w:type="dxa" w:w="120"/>
              <w:bottom w:type="dxa" w:w="80"/>
              <w:right w:type="dxa" w:w="120"/>
            </w:tcMar>
            <w:vAlign w:val="center"/>
          </w:tcPr>
          <w:p>
            <w:r>
              <w:rPr>
                <w:b w:val="false"/>
                <w:bCs w:val="false"/>
                <w:sz w:val="22"/>
                <w:szCs w:val="22"/>
              </w:rPr>
              <w:t xml:space="preserve">4</w:t>
            </w:r>
          </w:p>
        </w:tc>
        <w:tc>
          <w:tcPr>
            <w:tcW w:type="dxa" w:w="1750"/>
            <w:tcMar>
              <w:top w:type="dxa" w:w="80"/>
              <w:left w:type="dxa" w:w="120"/>
              <w:bottom w:type="dxa" w:w="80"/>
              <w:right w:type="dxa" w:w="120"/>
            </w:tcMar>
            <w:vAlign w:val="center"/>
          </w:tcPr>
          <w:p>
            <w:r>
              <w:rPr>
                <w:b w:val="false"/>
                <w:bCs w:val="false"/>
                <w:sz w:val="22"/>
                <w:szCs w:val="22"/>
              </w:rPr>
              <w:t xml:space="preserve">0</w:t>
            </w:r>
          </w:p>
        </w:tc>
        <w:tc>
          <w:tcPr>
            <w:tcW w:type="dxa" w:w="1750"/>
            <w:tcMar>
              <w:top w:type="dxa" w:w="80"/>
              <w:left w:type="dxa" w:w="120"/>
              <w:bottom w:type="dxa" w:w="80"/>
              <w:right w:type="dxa" w:w="120"/>
            </w:tcMar>
            <w:vAlign w:val="center"/>
          </w:tcPr>
          <w:p>
            <w:r>
              <w:rPr>
                <w:b w:val="false"/>
                <w:bCs w:val="false"/>
                <w:sz w:val="22"/>
                <w:szCs w:val="22"/>
              </w:rPr>
              <w:t xml:space="preserve">0</w:t>
            </w:r>
          </w:p>
        </w:tc>
        <w:tc>
          <w:tcPr>
            <w:tcW w:type="dxa" w:w="1300"/>
            <w:tcMar>
              <w:top w:type="dxa" w:w="80"/>
              <w:left w:type="dxa" w:w="120"/>
              <w:bottom w:type="dxa" w:w="80"/>
              <w:right w:type="dxa" w:w="120"/>
            </w:tcMar>
            <w:vAlign w:val="center"/>
          </w:tcPr>
          <w:p>
            <w:r>
              <w:rPr>
                <w:b w:val="false"/>
                <w:bCs w:val="false"/>
                <w:sz w:val="22"/>
                <w:szCs w:val="22"/>
              </w:rPr>
              <w:t xml:space="preserve">PASS</w:t>
            </w:r>
          </w:p>
        </w:tc>
      </w:tr>
      <w:tr>
        <w:tc>
          <w:tcPr>
            <w:tcW w:type="dxa" w:w="4200"/>
            <w:tcMar>
              <w:top w:type="dxa" w:w="80"/>
              <w:left w:type="dxa" w:w="120"/>
              <w:bottom w:type="dxa" w:w="80"/>
              <w:right w:type="dxa" w:w="120"/>
            </w:tcMar>
            <w:vAlign w:val="center"/>
          </w:tcPr>
          <w:p>
            <w:r>
              <w:rPr>
                <w:b w:val="false"/>
                <w:bCs w:val="false"/>
                <w:sz w:val="22"/>
                <w:szCs w:val="22"/>
              </w:rPr>
              <w:t xml:space="preserve">com.alumni.platform.ml.CosineSimilarityTest</w:t>
            </w:r>
          </w:p>
        </w:tc>
        <w:tc>
          <w:tcPr>
            <w:tcW w:type="dxa" w:w="1750"/>
            <w:tcMar>
              <w:top w:type="dxa" w:w="80"/>
              <w:left w:type="dxa" w:w="120"/>
              <w:bottom w:type="dxa" w:w="80"/>
              <w:right w:type="dxa" w:w="120"/>
            </w:tcMar>
            <w:vAlign w:val="center"/>
          </w:tcPr>
          <w:p>
            <w:r>
              <w:rPr>
                <w:b w:val="false"/>
                <w:bCs w:val="false"/>
                <w:sz w:val="22"/>
                <w:szCs w:val="22"/>
              </w:rPr>
              <w:t xml:space="preserve">4</w:t>
            </w:r>
          </w:p>
        </w:tc>
        <w:tc>
          <w:tcPr>
            <w:tcW w:type="dxa" w:w="1750"/>
            <w:tcMar>
              <w:top w:type="dxa" w:w="80"/>
              <w:left w:type="dxa" w:w="120"/>
              <w:bottom w:type="dxa" w:w="80"/>
              <w:right w:type="dxa" w:w="120"/>
            </w:tcMar>
            <w:vAlign w:val="center"/>
          </w:tcPr>
          <w:p>
            <w:r>
              <w:rPr>
                <w:b w:val="false"/>
                <w:bCs w:val="false"/>
                <w:sz w:val="22"/>
                <w:szCs w:val="22"/>
              </w:rPr>
              <w:t xml:space="preserve">0</w:t>
            </w:r>
          </w:p>
        </w:tc>
        <w:tc>
          <w:tcPr>
            <w:tcW w:type="dxa" w:w="1750"/>
            <w:tcMar>
              <w:top w:type="dxa" w:w="80"/>
              <w:left w:type="dxa" w:w="120"/>
              <w:bottom w:type="dxa" w:w="80"/>
              <w:right w:type="dxa" w:w="120"/>
            </w:tcMar>
            <w:vAlign w:val="center"/>
          </w:tcPr>
          <w:p>
            <w:r>
              <w:rPr>
                <w:b w:val="false"/>
                <w:bCs w:val="false"/>
                <w:sz w:val="22"/>
                <w:szCs w:val="22"/>
              </w:rPr>
              <w:t xml:space="preserve">0</w:t>
            </w:r>
          </w:p>
        </w:tc>
        <w:tc>
          <w:tcPr>
            <w:tcW w:type="dxa" w:w="1300"/>
            <w:tcMar>
              <w:top w:type="dxa" w:w="80"/>
              <w:left w:type="dxa" w:w="120"/>
              <w:bottom w:type="dxa" w:w="80"/>
              <w:right w:type="dxa" w:w="120"/>
            </w:tcMar>
            <w:vAlign w:val="center"/>
          </w:tcPr>
          <w:p>
            <w:r>
              <w:rPr>
                <w:b w:val="false"/>
                <w:bCs w:val="false"/>
                <w:sz w:val="22"/>
                <w:szCs w:val="22"/>
              </w:rPr>
              <w:t xml:space="preserve">PASS</w:t>
            </w:r>
          </w:p>
        </w:tc>
      </w:tr>
      <w:tr>
        <w:tc>
          <w:tcPr>
            <w:tcW w:type="dxa" w:w="4200"/>
            <w:tcMar>
              <w:top w:type="dxa" w:w="80"/>
              <w:left w:type="dxa" w:w="120"/>
              <w:bottom w:type="dxa" w:w="80"/>
              <w:right w:type="dxa" w:w="120"/>
            </w:tcMar>
            <w:vAlign w:val="center"/>
          </w:tcPr>
          <w:p>
            <w:r>
              <w:rPr>
                <w:b w:val="false"/>
                <w:bCs w:val="false"/>
                <w:sz w:val="22"/>
                <w:szCs w:val="22"/>
              </w:rPr>
              <w:t xml:space="preserve">com.alumni.platform.service.JobRecommendationServiceTest</w:t>
            </w:r>
          </w:p>
        </w:tc>
        <w:tc>
          <w:tcPr>
            <w:tcW w:type="dxa" w:w="1750"/>
            <w:tcMar>
              <w:top w:type="dxa" w:w="80"/>
              <w:left w:type="dxa" w:w="120"/>
              <w:bottom w:type="dxa" w:w="80"/>
              <w:right w:type="dxa" w:w="120"/>
            </w:tcMar>
            <w:vAlign w:val="center"/>
          </w:tcPr>
          <w:p>
            <w:r>
              <w:rPr>
                <w:b w:val="false"/>
                <w:bCs w:val="false"/>
                <w:sz w:val="22"/>
                <w:szCs w:val="22"/>
              </w:rPr>
              <w:t xml:space="preserve">4</w:t>
            </w:r>
          </w:p>
        </w:tc>
        <w:tc>
          <w:tcPr>
            <w:tcW w:type="dxa" w:w="1750"/>
            <w:tcMar>
              <w:top w:type="dxa" w:w="80"/>
              <w:left w:type="dxa" w:w="120"/>
              <w:bottom w:type="dxa" w:w="80"/>
              <w:right w:type="dxa" w:w="120"/>
            </w:tcMar>
            <w:vAlign w:val="center"/>
          </w:tcPr>
          <w:p>
            <w:r>
              <w:rPr>
                <w:b w:val="false"/>
                <w:bCs w:val="false"/>
                <w:sz w:val="22"/>
                <w:szCs w:val="22"/>
              </w:rPr>
              <w:t xml:space="preserve">0</w:t>
            </w:r>
          </w:p>
        </w:tc>
        <w:tc>
          <w:tcPr>
            <w:tcW w:type="dxa" w:w="1750"/>
            <w:tcMar>
              <w:top w:type="dxa" w:w="80"/>
              <w:left w:type="dxa" w:w="120"/>
              <w:bottom w:type="dxa" w:w="80"/>
              <w:right w:type="dxa" w:w="120"/>
            </w:tcMar>
            <w:vAlign w:val="center"/>
          </w:tcPr>
          <w:p>
            <w:r>
              <w:rPr>
                <w:b w:val="false"/>
                <w:bCs w:val="false"/>
                <w:sz w:val="22"/>
                <w:szCs w:val="22"/>
              </w:rPr>
              <w:t xml:space="preserve">0</w:t>
            </w:r>
          </w:p>
        </w:tc>
        <w:tc>
          <w:tcPr>
            <w:tcW w:type="dxa" w:w="1300"/>
            <w:tcMar>
              <w:top w:type="dxa" w:w="80"/>
              <w:left w:type="dxa" w:w="120"/>
              <w:bottom w:type="dxa" w:w="80"/>
              <w:right w:type="dxa" w:w="120"/>
            </w:tcMar>
            <w:vAlign w:val="center"/>
          </w:tcPr>
          <w:p>
            <w:r>
              <w:rPr>
                <w:b w:val="false"/>
                <w:bCs w:val="false"/>
                <w:sz w:val="22"/>
                <w:szCs w:val="22"/>
              </w:rPr>
              <w:t xml:space="preserve">PASS</w:t>
            </w:r>
          </w:p>
        </w:tc>
      </w:tr>
      <w:tr>
        <w:tc>
          <w:tcPr>
            <w:tcW w:type="dxa" w:w="4200"/>
            <w:tcMar>
              <w:top w:type="dxa" w:w="80"/>
              <w:left w:type="dxa" w:w="120"/>
              <w:bottom w:type="dxa" w:w="80"/>
              <w:right w:type="dxa" w:w="120"/>
            </w:tcMar>
            <w:vAlign w:val="center"/>
          </w:tcPr>
          <w:p>
            <w:r>
              <w:rPr>
                <w:b w:val="false"/>
                <w:bCs w:val="false"/>
                <w:sz w:val="22"/>
                <w:szCs w:val="22"/>
              </w:rPr>
              <w:t xml:space="preserve">Total</w:t>
            </w:r>
          </w:p>
        </w:tc>
        <w:tc>
          <w:tcPr>
            <w:tcW w:type="dxa" w:w="1750"/>
            <w:tcMar>
              <w:top w:type="dxa" w:w="80"/>
              <w:left w:type="dxa" w:w="120"/>
              <w:bottom w:type="dxa" w:w="80"/>
              <w:right w:type="dxa" w:w="120"/>
            </w:tcMar>
            <w:vAlign w:val="center"/>
          </w:tcPr>
          <w:p>
            <w:r>
              <w:rPr>
                <w:b w:val="false"/>
                <w:bCs w:val="false"/>
                <w:sz w:val="22"/>
                <w:szCs w:val="22"/>
              </w:rPr>
              <w:t xml:space="preserve">12</w:t>
            </w:r>
          </w:p>
        </w:tc>
        <w:tc>
          <w:tcPr>
            <w:tcW w:type="dxa" w:w="1750"/>
            <w:tcMar>
              <w:top w:type="dxa" w:w="80"/>
              <w:left w:type="dxa" w:w="120"/>
              <w:bottom w:type="dxa" w:w="80"/>
              <w:right w:type="dxa" w:w="120"/>
            </w:tcMar>
            <w:vAlign w:val="center"/>
          </w:tcPr>
          <w:p>
            <w:r>
              <w:rPr>
                <w:b w:val="false"/>
                <w:bCs w:val="false"/>
                <w:sz w:val="22"/>
                <w:szCs w:val="22"/>
              </w:rPr>
              <w:t xml:space="preserve">0</w:t>
            </w:r>
          </w:p>
        </w:tc>
        <w:tc>
          <w:tcPr>
            <w:tcW w:type="dxa" w:w="1750"/>
            <w:tcMar>
              <w:top w:type="dxa" w:w="80"/>
              <w:left w:type="dxa" w:w="120"/>
              <w:bottom w:type="dxa" w:w="80"/>
              <w:right w:type="dxa" w:w="120"/>
            </w:tcMar>
            <w:vAlign w:val="center"/>
          </w:tcPr>
          <w:p>
            <w:r>
              <w:rPr>
                <w:b w:val="false"/>
                <w:bCs w:val="false"/>
                <w:sz w:val="22"/>
                <w:szCs w:val="22"/>
              </w:rPr>
              <w:t xml:space="preserve">0</w:t>
            </w:r>
          </w:p>
        </w:tc>
        <w:tc>
          <w:tcPr>
            <w:tcW w:type="dxa" w:w="1300"/>
            <w:tcMar>
              <w:top w:type="dxa" w:w="80"/>
              <w:left w:type="dxa" w:w="120"/>
              <w:bottom w:type="dxa" w:w="80"/>
              <w:right w:type="dxa" w:w="120"/>
            </w:tcMar>
            <w:vAlign w:val="center"/>
          </w:tcPr>
          <w:p>
            <w:r>
              <w:rPr>
                <w:b w:val="false"/>
                <w:bCs w:val="false"/>
                <w:sz w:val="22"/>
                <w:szCs w:val="22"/>
              </w:rPr>
              <w:t xml:space="preserve">PASS</w:t>
            </w:r>
          </w:p>
        </w:tc>
      </w:tr>
    </w:tbl>
    <w:p>
      <w:pPr>
        <w:spacing w:after="280" w:before="120"/>
        <w:jc w:val="center"/>
      </w:pPr>
      <w:r>
        <w:rPr>
          <w:i/>
          <w:iCs/>
          <w:sz w:val="20"/>
          <w:szCs w:val="20"/>
        </w:rPr>
        <w:t xml:space="preserve">Table 5.2: Surefire test results for the three test classes, all covering the recommendation engine.</w:t>
      </w:r>
    </w:p>
    <w:p>
      <w:pPr>
        <w:spacing w:after="200" w:line="360"/>
        <w:jc w:val="both"/>
      </w:pPr>
      <w:r>
        <w:rPr>
          <w:b w:val="false"/>
          <w:bCs w:val="false"/>
          <w:i w:val="false"/>
          <w:iCs w:val="false"/>
          <w:sz w:val="24"/>
          <w:szCs w:val="24"/>
        </w:rPr>
        <w:t xml:space="preserve">A full Maven compile (mvn compile) and test-compile (mvn test-compile) of the entire codebase, including the controller, service, repository, and configuration classes discussed in Chapter 4, also completed without errors, confirming that the pagination, skeleton-loader, and sticky-footer changes described in Section 4.5 introduced no compilation regressions across the AlumniController, EventController, JobPostingController, AdminController, and their associated repositories and services.</w:t>
      </w:r>
    </w:p>
    <w:p>
      <w:pPr>
        <w:pStyle w:val="Heading2"/>
        <w:spacing w:after="160" w:before="320"/>
      </w:pPr>
      <w:r>
        <w:t xml:space="preserve">5.5 Documented Known Gaps</w:t>
      </w:r>
    </w:p>
    <w:p>
      <w:pPr>
        <w:spacing w:after="200" w:line="360"/>
        <w:jc w:val="both"/>
      </w:pPr>
      <w:r>
        <w:rPr>
          <w:b w:val="false"/>
          <w:bCs w:val="false"/>
          <w:i w:val="false"/>
          <w:iCs w:val="false"/>
          <w:sz w:val="24"/>
          <w:szCs w:val="24"/>
        </w:rPr>
        <w:t xml:space="preserve">In keeping with an honest evaluation of the delivered system, the following gaps were identified directly from the codebase during this reporting cycle and are recorded here rather than glossed over:</w:t>
      </w:r>
    </w:p>
    <w:p>
      <w:pPr>
        <w:pStyle w:val="ListParagraph"/>
        <w:numPr>
          <w:ilvl w:val="0"/>
          <w:numId w:val="2"/>
        </w:numPr>
        <w:spacing w:after="120" w:line="360"/>
      </w:pPr>
      <w:r>
        <w:rPr>
          <w:sz w:val="24"/>
          <w:szCs w:val="24"/>
        </w:rPr>
        <w:t xml:space="preserve">Schema migration tooling: the database schema is managed by Hibernate's ddl-auto=update rather than versioned Flyway or Liquibase migrations, which offers no rollback path and risks silent schema drift.</w:t>
      </w:r>
    </w:p>
    <w:p>
      <w:pPr>
        <w:pStyle w:val="ListParagraph"/>
        <w:numPr>
          <w:ilvl w:val="0"/>
          <w:numId w:val="2"/>
        </w:numPr>
        <w:spacing w:after="120" w:line="360"/>
      </w:pPr>
      <w:r>
        <w:rPr>
          <w:sz w:val="24"/>
          <w:szCs w:val="24"/>
        </w:rPr>
        <w:t xml:space="preserve">Plaintext credentials in configuration: application.properties commits a plaintext PostgreSQL username and password and enables SQL statement logging (spring.jpa.show-sql=true), which is unsuitable for a production deployment and should move to environment-based secrets before any such deployment.</w:t>
      </w:r>
    </w:p>
    <w:p>
      <w:pPr>
        <w:pStyle w:val="ListParagraph"/>
        <w:numPr>
          <w:ilvl w:val="0"/>
          <w:numId w:val="2"/>
        </w:numPr>
        <w:spacing w:after="120" w:line="360"/>
      </w:pPr>
      <w:r>
        <w:rPr>
          <w:sz w:val="24"/>
          <w:szCs w:val="24"/>
        </w:rPr>
        <w:t xml:space="preserve">No outbound notifications: account registration and approval events are silent; the system does not send confirmation or approval e-mails to users.</w:t>
      </w:r>
    </w:p>
    <w:p>
      <w:pPr>
        <w:pStyle w:val="ListParagraph"/>
        <w:numPr>
          <w:ilvl w:val="0"/>
          <w:numId w:val="2"/>
        </w:numPr>
        <w:spacing w:after="120" w:line="360"/>
      </w:pPr>
      <w:r>
        <w:rPr>
          <w:sz w:val="24"/>
          <w:szCs w:val="24"/>
        </w:rPr>
        <w:t xml:space="preserve">Profile photographs are stored as raw byte arrays in the relational database rather than in dedicated object storage, which is workable at small scale but does not scale well and bloats database backups.</w:t>
      </w:r>
    </w:p>
    <w:p>
      <w:pPr>
        <w:pStyle w:val="ListParagraph"/>
        <w:numPr>
          <w:ilvl w:val="0"/>
          <w:numId w:val="2"/>
        </w:numPr>
        <w:spacing w:after="120" w:line="360"/>
      </w:pPr>
      <w:r>
        <w:rPr>
          <w:sz w:val="24"/>
          <w:szCs w:val="24"/>
        </w:rPr>
        <w:t xml:space="preserve">View-layer duplication: the Bootstrap navigation bar and footer markup is duplicated verbatim across all sixteen Thymeleaf templates rather than factored into a shared Thymeleaf layout fragment.</w:t>
      </w:r>
    </w:p>
    <w:p>
      <w:pPr>
        <w:pStyle w:val="ListParagraph"/>
        <w:numPr>
          <w:ilvl w:val="0"/>
          <w:numId w:val="2"/>
        </w:numPr>
        <w:spacing w:after="120" w:line="360"/>
      </w:pPr>
      <w:r>
        <w:rPr>
          <w:sz w:val="24"/>
          <w:szCs w:val="24"/>
        </w:rPr>
        <w:t xml:space="preserve">Test coverage imbalance: all twelve automated tests exercise the recommendation engine; there is currently no MockMvc-based controller testing and no dedicated test coverage of the Spring Security configuration or the repository query methods.</w:t>
      </w:r>
    </w:p>
    <w:p>
      <w:pPr>
        <w:pStyle w:val="ListParagraph"/>
        <w:numPr>
          <w:ilvl w:val="0"/>
          <w:numId w:val="2"/>
        </w:numPr>
        <w:spacing w:after="120" w:line="360"/>
      </w:pPr>
      <w:r>
        <w:rPr>
          <w:sz w:val="24"/>
          <w:szCs w:val="24"/>
        </w:rPr>
        <w:t xml:space="preserve">No continuous-integration pipeline or containerisation is configured for the alumni-platform application itself, and there is no authentication rate-limiting or account-lockout mechanism against repeated failed login attempts.</w:t>
      </w:r>
    </w:p>
    <w:p>
      <w:pPr>
        <w:pStyle w:val="Heading2"/>
        <w:spacing w:after="160" w:before="320"/>
      </w:pPr>
      <w:r>
        <w:t xml:space="preserve">5.6 Representative Application Screens</w:t>
      </w:r>
    </w:p>
    <w:p>
      <w:pPr>
        <w:spacing w:after="200" w:line="360"/>
        <w:jc w:val="both"/>
      </w:pPr>
      <w:r>
        <w:rPr>
          <w:b w:val="false"/>
          <w:bCs w:val="false"/>
          <w:i w:val="false"/>
          <w:iCs w:val="false"/>
          <w:sz w:val="24"/>
          <w:szCs w:val="24"/>
        </w:rPr>
        <w:t xml:space="preserve">Representative screenshots of the running application — the login page, the paginated alumni directory, the mentor-search results, the events list, the job board, the personalised recommendations view with matched keywords, the administrator dashboard, and the pending-approvals queue — could not be captured for this report because exercising the application end-to-end requires a running PostgreSQL instance that was not available in the environment used to prepare this document. The figure placeholders below indicate where each screen should be inserted once captured from a live deployment.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EEFB" w:val="clear"/>
            <w:tcMar>
              <w:top w:type="dxa" w:w="600"/>
              <w:left w:type="dxa" w:w="200"/>
              <w:bottom w:type="dxa" w:w="600"/>
              <w:right w:type="dxa" w:w="200"/>
            </w:tcMar>
          </w:tcPr>
          <w:p>
            <w:pPr>
              <w:jc w:val="center"/>
            </w:pPr>
            <w:r>
              <w:rPr>
                <w:b/>
                <w:bCs/>
                <w:sz w:val="22"/>
                <w:szCs w:val="22"/>
              </w:rPr>
              <w:t xml:space="preserve">[ SCREENSHOT PLACEHOLDER ]</w:t>
            </w:r>
          </w:p>
          <w:p>
            <w:pPr>
              <w:spacing w:before="80"/>
              <w:jc w:val="center"/>
            </w:pPr>
            <w:r>
              <w:rPr>
                <w:i/>
                <w:iCs/>
                <w:sz w:val="20"/>
                <w:szCs w:val="20"/>
              </w:rPr>
              <w:t xml:space="preserve">Figure 5.1: Login page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EEFB" w:val="clear"/>
            <w:tcMar>
              <w:top w:type="dxa" w:w="600"/>
              <w:left w:type="dxa" w:w="200"/>
              <w:bottom w:type="dxa" w:w="600"/>
              <w:right w:type="dxa" w:w="200"/>
            </w:tcMar>
          </w:tcPr>
          <w:p>
            <w:pPr>
              <w:jc w:val="center"/>
            </w:pPr>
            <w:r>
              <w:rPr>
                <w:b/>
                <w:bCs/>
                <w:sz w:val="22"/>
                <w:szCs w:val="22"/>
              </w:rPr>
              <w:t xml:space="preserve">[ SCREENSHOT PLACEHOLDER ]</w:t>
            </w:r>
          </w:p>
          <w:p>
            <w:pPr>
              <w:spacing w:before="80"/>
              <w:jc w:val="center"/>
            </w:pPr>
            <w:r>
              <w:rPr>
                <w:i/>
                <w:iCs/>
                <w:sz w:val="20"/>
                <w:szCs w:val="20"/>
              </w:rPr>
              <w:t xml:space="preserve">Figure 5.2: Alumni directory, paginated at 10 records per page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EEFB" w:val="clear"/>
            <w:tcMar>
              <w:top w:type="dxa" w:w="600"/>
              <w:left w:type="dxa" w:w="200"/>
              <w:bottom w:type="dxa" w:w="600"/>
              <w:right w:type="dxa" w:w="200"/>
            </w:tcMar>
          </w:tcPr>
          <w:p>
            <w:pPr>
              <w:jc w:val="center"/>
            </w:pPr>
            <w:r>
              <w:rPr>
                <w:b/>
                <w:bCs/>
                <w:sz w:val="22"/>
                <w:szCs w:val="22"/>
              </w:rPr>
              <w:t xml:space="preserve">[ SCREENSHOT PLACEHOLDER ]</w:t>
            </w:r>
          </w:p>
          <w:p>
            <w:pPr>
              <w:spacing w:before="80"/>
              <w:jc w:val="center"/>
            </w:pPr>
            <w:r>
              <w:rPr>
                <w:i/>
                <w:iCs/>
                <w:sz w:val="20"/>
                <w:szCs w:val="20"/>
              </w:rPr>
              <w:t xml:space="preserve">Figure 5.3: Mentor search results by skill</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EEFB" w:val="clear"/>
            <w:tcMar>
              <w:top w:type="dxa" w:w="600"/>
              <w:left w:type="dxa" w:w="200"/>
              <w:bottom w:type="dxa" w:w="600"/>
              <w:right w:type="dxa" w:w="200"/>
            </w:tcMar>
          </w:tcPr>
          <w:p>
            <w:pPr>
              <w:jc w:val="center"/>
            </w:pPr>
            <w:r>
              <w:rPr>
                <w:b/>
                <w:bCs/>
                <w:sz w:val="22"/>
                <w:szCs w:val="22"/>
              </w:rPr>
              <w:t xml:space="preserve">[ SCREENSHOT PLACEHOLDER ]</w:t>
            </w:r>
          </w:p>
          <w:p>
            <w:pPr>
              <w:spacing w:before="80"/>
              <w:jc w:val="center"/>
            </w:pPr>
            <w:r>
              <w:rPr>
                <w:i/>
                <w:iCs/>
                <w:sz w:val="20"/>
                <w:szCs w:val="20"/>
              </w:rPr>
              <w:t xml:space="preserve">Figure 5.4: Events &amp; Reunions list with RSVP</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EEFB" w:val="clear"/>
            <w:tcMar>
              <w:top w:type="dxa" w:w="600"/>
              <w:left w:type="dxa" w:w="200"/>
              <w:bottom w:type="dxa" w:w="600"/>
              <w:right w:type="dxa" w:w="200"/>
            </w:tcMar>
          </w:tcPr>
          <w:p>
            <w:pPr>
              <w:jc w:val="center"/>
            </w:pPr>
            <w:r>
              <w:rPr>
                <w:b/>
                <w:bCs/>
                <w:sz w:val="22"/>
                <w:szCs w:val="22"/>
              </w:rPr>
              <w:t xml:space="preserve">[ SCREENSHOT PLACEHOLDER ]</w:t>
            </w:r>
          </w:p>
          <w:p>
            <w:pPr>
              <w:spacing w:before="80"/>
              <w:jc w:val="center"/>
            </w:pPr>
            <w:r>
              <w:rPr>
                <w:i/>
                <w:iCs/>
                <w:sz w:val="20"/>
                <w:szCs w:val="20"/>
              </w:rPr>
              <w:t xml:space="preserve">Figure 5.5: Job &amp; Referral board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EEFB" w:val="clear"/>
            <w:tcMar>
              <w:top w:type="dxa" w:w="600"/>
              <w:left w:type="dxa" w:w="200"/>
              <w:bottom w:type="dxa" w:w="600"/>
              <w:right w:type="dxa" w:w="200"/>
            </w:tcMar>
          </w:tcPr>
          <w:p>
            <w:pPr>
              <w:jc w:val="center"/>
            </w:pPr>
            <w:r>
              <w:rPr>
                <w:b/>
                <w:bCs/>
                <w:sz w:val="22"/>
                <w:szCs w:val="22"/>
              </w:rPr>
              <w:t xml:space="preserve">[ SCREENSHOT PLACEHOLDER ]</w:t>
            </w:r>
          </w:p>
          <w:p>
            <w:pPr>
              <w:spacing w:before="80"/>
              <w:jc w:val="center"/>
            </w:pPr>
            <w:r>
              <w:rPr>
                <w:i/>
                <w:iCs/>
                <w:sz w:val="20"/>
                <w:szCs w:val="20"/>
              </w:rPr>
              <w:t xml:space="preserve">Figure 5.6: Personalised job recommendations with matched keywords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EEFB" w:val="clear"/>
            <w:tcMar>
              <w:top w:type="dxa" w:w="600"/>
              <w:left w:type="dxa" w:w="200"/>
              <w:bottom w:type="dxa" w:w="600"/>
              <w:right w:type="dxa" w:w="200"/>
            </w:tcMar>
          </w:tcPr>
          <w:p>
            <w:pPr>
              <w:jc w:val="center"/>
            </w:pPr>
            <w:r>
              <w:rPr>
                <w:b/>
                <w:bCs/>
                <w:sz w:val="22"/>
                <w:szCs w:val="22"/>
              </w:rPr>
              <w:t xml:space="preserve">[ SCREENSHOT PLACEHOLDER ]</w:t>
            </w:r>
          </w:p>
          <w:p>
            <w:pPr>
              <w:spacing w:before="80"/>
              <w:jc w:val="center"/>
            </w:pPr>
            <w:r>
              <w:rPr>
                <w:i/>
                <w:iCs/>
                <w:sz w:val="20"/>
                <w:szCs w:val="20"/>
              </w:rPr>
              <w:t xml:space="preserve">Figure 5.7: Administrator dashboard with department-wise alumni chart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EEFB" w:val="clear"/>
            <w:tcMar>
              <w:top w:type="dxa" w:w="600"/>
              <w:left w:type="dxa" w:w="200"/>
              <w:bottom w:type="dxa" w:w="600"/>
              <w:right w:type="dxa" w:w="200"/>
            </w:tcMar>
          </w:tcPr>
          <w:p>
            <w:pPr>
              <w:jc w:val="center"/>
            </w:pPr>
            <w:r>
              <w:rPr>
                <w:b/>
                <w:bCs/>
                <w:sz w:val="22"/>
                <w:szCs w:val="22"/>
              </w:rPr>
              <w:t xml:space="preserve">[ SCREENSHOT PLACEHOLDER ]</w:t>
            </w:r>
          </w:p>
          <w:p>
            <w:pPr>
              <w:spacing w:before="80"/>
              <w:jc w:val="center"/>
            </w:pPr>
            <w:r>
              <w:rPr>
                <w:i/>
                <w:iCs/>
                <w:sz w:val="20"/>
                <w:szCs w:val="20"/>
              </w:rPr>
              <w:t xml:space="preserve">Figure 5.8: Pending user-approval queue</w:t>
            </w:r>
          </w:p>
        </w:tc>
      </w:tr>
    </w:tbl>
    <w:p>
      <w:pPr>
        <w:pStyle w:val="Heading1"/>
        <w:pageBreakBefore/>
        <w:spacing w:after="240" w:before="0"/>
      </w:pPr>
      <w:r>
        <w:t xml:space="preserve">6. CONCLUSION</w:t>
      </w:r>
    </w:p>
    <w:p>
      <w:pPr>
        <w:spacing w:after="200" w:line="360"/>
        <w:jc w:val="both"/>
      </w:pPr>
      <w:r>
        <w:rPr>
          <w:b w:val="false"/>
          <w:bCs w:val="false"/>
          <w:i w:val="false"/>
          <w:iCs w:val="false"/>
          <w:sz w:val="24"/>
          <w:szCs w:val="24"/>
        </w:rPr>
        <w:t xml:space="preserve">This report has described the design and implementation of the Alumni Platform, a role-based, Spring Boot and Thymeleaf alumni engagement system whose job-referral module is enhanced by a self-implemented, content-based recommendation engine built on TF-IDF vectorisation and cosine similarity. The project met its stated objectives: a normalised, four-entity relational schema was implemented over PostgreSQL; role-based access control was enforced through Spring Security at both the URL and method levels, with an account-approval workflow gating new registrations; the recommendation engine was implemented from first principles, without an external machine-learning library or hosted model, and validated by a dedicated twelve-test automated suite that passed in full; the platform's user-facing views were unified around a consistent Thymeleaf and Bootstrap presentation, and its highest-traffic list views were further hardened with pagination, skeleton loading states, and a consistent sticky footer during this reporting cycle.</w:t>
      </w:r>
    </w:p>
    <w:p>
      <w:pPr>
        <w:spacing w:after="200" w:line="360"/>
        <w:jc w:val="both"/>
      </w:pPr>
      <w:r>
        <w:rPr>
          <w:b w:val="false"/>
          <w:bCs w:val="false"/>
          <w:i w:val="false"/>
          <w:iCs w:val="false"/>
          <w:sz w:val="24"/>
          <w:szCs w:val="24"/>
        </w:rPr>
        <w:t xml:space="preserve">The hand-traced worked example in Section 5.2 demonstrated that the implemented TF-IDF and cosine-similarity pipeline behaves exactly as the literature reviewed in Chapter 2 predicts: it correctly ranks a job posting whose vocabulary overlaps with an alumnus's stated skills, it discounts generic vocabulary through inverse-document-frequency weighting, and it correctly excludes postings with no lexical overlap at all — a known and acceptable limitation of purely content-based filtering, rather than a defect in the implementation. This confirms that a compact, dependency-free implementation of a classical information-retrieval technique is sufficient to deliver useful, explainable recommendations at the scale of a single institution's alumni and job-posting corpus, without the data volume, training cost, or opacity that collaborative-filtering or deep-learning-based alternatives would introduce.</w:t>
      </w:r>
    </w:p>
    <w:p>
      <w:pPr>
        <w:spacing w:after="200" w:line="360"/>
        <w:jc w:val="both"/>
      </w:pPr>
      <w:r>
        <w:rPr>
          <w:b w:val="false"/>
          <w:bCs w:val="false"/>
          <w:i w:val="false"/>
          <w:iCs w:val="false"/>
          <w:sz w:val="24"/>
          <w:szCs w:val="24"/>
        </w:rPr>
        <w:t xml:space="preserve">The gaps documented in Section 5.5 — the absence of versioned schema migrations, the concentration of test coverage on the recommendation engine alone, the lack of outbound notifications, and the duplicated view markup — define a clear roadmap for future work, alongside two extensions specific to the recommendation engine itself: incorporating collaborative-filtering signals, such as which recommended postings alumni actually engage with, to mitigate the zero-overlap limitation identified in Section 5.2; and extending the TF-IDF feature space beyond skills and department to include richer alumni signals, such as prior job titles or endorsed skills, which the current schema does not yet capture. Taken together, the completed system demonstrates a practical, end-to-end application of the machine-learning technique at the centre of this report, grounded in a working, tested implementation rather than a purely theoretical treatment.</w:t>
      </w:r>
    </w:p>
    <w:p>
      <w:pPr>
        <w:pStyle w:val="Heading1"/>
        <w:pageBreakBefore/>
        <w:spacing w:after="240" w:before="0"/>
      </w:pPr>
      <w:r>
        <w:t xml:space="preserve">7. REFERENCES</w:t>
      </w:r>
    </w:p>
    <w:p>
      <w:pPr>
        <w:spacing w:after="200" w:line="360"/>
        <w:jc w:val="left"/>
      </w:pPr>
      <w:r>
        <w:rPr>
          <w:b w:val="false"/>
          <w:bCs w:val="false"/>
          <w:i w:val="false"/>
          <w:iCs w:val="false"/>
          <w:sz w:val="24"/>
          <w:szCs w:val="24"/>
        </w:rPr>
        <w:t xml:space="preserve">Adomavicius, G., &amp; Tuzhilin, A. (2005). Toward the next generation of recommender systems: A survey of the state-of-the-art and possible extensions. IEEE Transactions on Knowledge and Data Engineering, 17(6), 734–749.</w:t>
      </w:r>
    </w:p>
    <w:p>
      <w:pPr>
        <w:spacing w:after="200" w:line="360"/>
        <w:jc w:val="left"/>
      </w:pPr>
      <w:r>
        <w:rPr>
          <w:b w:val="false"/>
          <w:bCs w:val="false"/>
          <w:i w:val="false"/>
          <w:iCs w:val="false"/>
          <w:sz w:val="24"/>
          <w:szCs w:val="24"/>
        </w:rPr>
        <w:t xml:space="preserve">Koren, Y., Bell, R., &amp; Volinsky, C. (2009). Matrix factorization techniques for recommender systems. IEEE Computer, 42(8), 30–37.</w:t>
      </w:r>
    </w:p>
    <w:p>
      <w:pPr>
        <w:spacing w:after="200" w:line="360"/>
        <w:jc w:val="left"/>
      </w:pPr>
      <w:r>
        <w:rPr>
          <w:b w:val="false"/>
          <w:bCs w:val="false"/>
          <w:i w:val="false"/>
          <w:iCs w:val="false"/>
          <w:sz w:val="24"/>
          <w:szCs w:val="24"/>
        </w:rPr>
        <w:t xml:space="preserve">Lops, P., de Gemmis, M., &amp; Semeraro, G. (2011). Content-based recommender systems: State of the art and trends. In F. Ricci, L. Rokach, B. Shapira, &amp; P. B. Kantor (Eds.), Recommender Systems Handbook (pp. 73–105). Springer.</w:t>
      </w:r>
    </w:p>
    <w:p>
      <w:pPr>
        <w:spacing w:after="200" w:line="360"/>
        <w:jc w:val="left"/>
      </w:pPr>
      <w:r>
        <w:rPr>
          <w:b w:val="false"/>
          <w:bCs w:val="false"/>
          <w:i w:val="false"/>
          <w:iCs w:val="false"/>
          <w:sz w:val="24"/>
          <w:szCs w:val="24"/>
        </w:rPr>
        <w:t xml:space="preserve">Manning, C. D., Raghavan, P., &amp; Schütze, H. (2008). Introduction to Information Retrieval. Cambridge University Press.</w:t>
      </w:r>
    </w:p>
    <w:p>
      <w:pPr>
        <w:spacing w:after="200" w:line="360"/>
        <w:jc w:val="left"/>
      </w:pPr>
      <w:r>
        <w:rPr>
          <w:b w:val="false"/>
          <w:bCs w:val="false"/>
          <w:i w:val="false"/>
          <w:iCs w:val="false"/>
          <w:sz w:val="24"/>
          <w:szCs w:val="24"/>
        </w:rPr>
        <w:t xml:space="preserve">Pazzani, M. J., &amp; Billsus, D. (2007). Content-based recommendation systems. In P. Brusilovsky, A. Kobsa, &amp; W. Nejdl (Eds.), The Adaptive Web (pp. 325–341). Springer.</w:t>
      </w:r>
    </w:p>
    <w:p>
      <w:pPr>
        <w:spacing w:after="200" w:line="360"/>
        <w:jc w:val="left"/>
      </w:pPr>
      <w:r>
        <w:rPr>
          <w:b w:val="false"/>
          <w:bCs w:val="false"/>
          <w:i w:val="false"/>
          <w:iCs w:val="false"/>
          <w:sz w:val="24"/>
          <w:szCs w:val="24"/>
        </w:rPr>
        <w:t xml:space="preserve">Ricci, F., Rokach, L., &amp; Shapira, B. (2015). Recommender Systems Handbook (2nd ed.). Springer.</w:t>
      </w:r>
    </w:p>
    <w:p>
      <w:pPr>
        <w:spacing w:after="200" w:line="360"/>
        <w:jc w:val="left"/>
      </w:pPr>
      <w:r>
        <w:rPr>
          <w:b w:val="false"/>
          <w:bCs w:val="false"/>
          <w:i w:val="false"/>
          <w:iCs w:val="false"/>
          <w:sz w:val="24"/>
          <w:szCs w:val="24"/>
        </w:rPr>
        <w:t xml:space="preserve">Salton, G., &amp; Buckley, C. (1988). Term-weighting approaches in automatic text retrieval. Information Processing &amp; Management, 24(5), 513–523.</w:t>
      </w:r>
    </w:p>
    <w:p>
      <w:pPr>
        <w:spacing w:after="200" w:line="360"/>
        <w:jc w:val="left"/>
      </w:pPr>
      <w:r>
        <w:rPr>
          <w:b w:val="false"/>
          <w:bCs w:val="false"/>
          <w:i w:val="false"/>
          <w:iCs w:val="false"/>
          <w:sz w:val="24"/>
          <w:szCs w:val="24"/>
        </w:rPr>
        <w:t xml:space="preserve">Salton, G., Wong, A., &amp; Yang, C. S. (1975). A vector space model for automatic indexing. Communications of the ACM, 18(11), 613–620.</w:t>
      </w:r>
    </w:p>
    <w:p>
      <w:pPr>
        <w:spacing w:after="200" w:line="360"/>
        <w:jc w:val="left"/>
      </w:pPr>
      <w:r>
        <w:rPr>
          <w:b w:val="false"/>
          <w:bCs w:val="false"/>
          <w:i w:val="false"/>
          <w:iCs w:val="false"/>
          <w:sz w:val="24"/>
          <w:szCs w:val="24"/>
        </w:rPr>
        <w:t xml:space="preserve">Singhal, A. (2001). Modern information retrieval: A brief overview. IEEE Data Engineering Bulletin, 24(4), 35–43.</w:t>
      </w:r>
    </w:p>
    <w:p>
      <w:pPr>
        <w:spacing w:after="200" w:line="360"/>
        <w:jc w:val="left"/>
      </w:pPr>
      <w:r>
        <w:rPr>
          <w:b w:val="false"/>
          <w:bCs w:val="false"/>
          <w:i w:val="false"/>
          <w:iCs w:val="false"/>
          <w:sz w:val="24"/>
          <w:szCs w:val="24"/>
        </w:rPr>
        <w:t xml:space="preserve">Su, X., &amp; Khoshgoftaar, T. M. (2009). A survey of collaborative filtering techniques. Advances in Artificial Intelligence, 2009, Article 421425.</w:t>
      </w:r>
    </w:p>
    <w:p>
      <w:pPr>
        <w:spacing w:after="200" w:line="360"/>
        <w:jc w:val="left"/>
      </w:pPr>
      <w:r>
        <w:rPr>
          <w:b w:val="false"/>
          <w:bCs w:val="false"/>
          <w:i w:val="false"/>
          <w:iCs w:val="false"/>
          <w:sz w:val="24"/>
          <w:szCs w:val="24"/>
        </w:rPr>
        <w:t xml:space="preserve">Spring Framework and Spring Boot Reference Documentation. VMware / Broadcom. Retrieved 2026, from https://docs.spring.io/spring-boot/</w:t>
      </w:r>
    </w:p>
    <w:p>
      <w:pPr>
        <w:spacing w:after="200" w:line="360"/>
        <w:jc w:val="left"/>
      </w:pPr>
      <w:r>
        <w:rPr>
          <w:b w:val="false"/>
          <w:bCs w:val="false"/>
          <w:i w:val="false"/>
          <w:iCs w:val="false"/>
          <w:sz w:val="24"/>
          <w:szCs w:val="24"/>
        </w:rPr>
        <w:t xml:space="preserve">Thymeleaf Documentation. The Thymeleaf Team. Retrieved 2026, from https://www.thymeleaf.org/documentation.html</w:t>
      </w:r>
    </w:p>
    <w:p>
      <w:pPr>
        <w:spacing w:after="200" w:line="360"/>
        <w:jc w:val="left"/>
      </w:pPr>
      <w:r>
        <w:rPr>
          <w:b w:val="false"/>
          <w:bCs w:val="false"/>
          <w:i w:val="false"/>
          <w:iCs w:val="false"/>
          <w:sz w:val="24"/>
          <w:szCs w:val="24"/>
        </w:rPr>
        <w:t xml:space="preserve">PostgreSQL 16 Documentation. The PostgreSQL Global Development Group. Retrieved 2026, from https://www.postgresql.org/docs/</w:t>
      </w:r>
    </w:p>
    <w:p>
      <w:pPr>
        <w:spacing w:after="200" w:line="360"/>
        <w:jc w:val="left"/>
      </w:pPr>
      <w:r>
        <w:rPr>
          <w:b w:val="false"/>
          <w:bCs w:val="false"/>
          <w:i w:val="false"/>
          <w:iCs w:val="false"/>
          <w:sz w:val="24"/>
          <w:szCs w:val="24"/>
        </w:rPr>
        <w:t xml:space="preserve">JUnit 5 User Guide. The JUnit Team. Retrieved 2026, from https://junit.org/junit5/docs/current/user-guide/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Alumni Platform — Internship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121212"/>
      <w:sz w:val="32"/>
      <w:szCs w:val="32"/>
    </w:rPr>
  </w:style>
  <w:style w:type="paragraph" w:styleId="Heading2">
    <w:name w:val="Heading 2"/>
    <w:basedOn w:val="Normal"/>
    <w:next w:val="Normal"/>
    <w:qFormat/>
    <w:pPr>
      <w:spacing w:after="160" w:before="320"/>
    </w:pPr>
    <w:rPr>
      <w:rFonts w:ascii="Times New Roman" w:cs="Times New Roman" w:eastAsia="Times New Roman" w:hAnsi="Times New Roman"/>
      <w:b/>
      <w:bCs/>
      <w:color w:val="4B0082"/>
      <w:sz w:val="27"/>
      <w:szCs w:val="27"/>
    </w:rPr>
  </w:style>
  <w:style w:type="paragraph" w:styleId="Heading3">
    <w:name w:val="Heading 3"/>
    <w:basedOn w:val="Normal"/>
    <w:next w:val="Normal"/>
    <w:qFormat/>
    <w:pPr>
      <w:spacing w:after="120" w:before="240"/>
    </w:pPr>
    <w:rPr>
      <w:rFonts w:ascii="Times New Roman" w:cs="Times New Roman" w:eastAsia="Times New Roman" w:hAnsi="Times New Roman"/>
      <w:b/>
      <w:bCs/>
      <w:i/>
      <w:iCs/>
      <w:color w:val="121212"/>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Alumni Platform: A Web-Based Alumni Engagement System with a TF-IDF and Cosine Similarity Based Job Recommendation Engine</dc:title>
  <dc:creator>[STUDENT NAME]</dc:creator>
  <cp:lastModifiedBy>Un-named</cp:lastModifiedBy>
  <cp:revision>1</cp:revision>
  <dcterms:created xsi:type="dcterms:W3CDTF">2026-09-22T14:55:38.789Z</dcterms:created>
  <dcterms:modified xsi:type="dcterms:W3CDTF">2026-09-22T14:55:38.790Z</dcterms:modified>
</cp:coreProperties>
</file>

<file path=docProps/custom.xml><?xml version="1.0" encoding="utf-8"?>
<Properties xmlns="http://schemas.openxmlformats.org/officeDocument/2006/custom-properties" xmlns:vt="http://schemas.openxmlformats.org/officeDocument/2006/docPropsVTypes"/>
</file>