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Студенческая олимпиада «Газпром»</w:t>
        <w:br/>
        <w:t>Профиль «Информационные системы и технологии»</w:t>
      </w:r>
    </w:p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Использованные источники</w:t>
      </w:r>
    </w:p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НИЯУ МИФИ, ИИКС, кафедра №22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Титарь Игорь Андреевич</w:t>
      </w:r>
    </w:p>
    <w:p/>
    <w:p/>
    <w:p/>
    <w:p/>
    <w:p/>
    <w:p/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1. Основные источники пользователя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Требования олимпиады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2025-2026_pp_ist.pdf Использовано для актуальных сроков 2025/2026, структуры заявки, наличия пояснительной записки, порядка предварительной экспертизы, формата защиты и списка критериев.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2023-2024_mu_zak_ist.pdf Использовано для подтверждения структуры заключительного этапа, рекомендуемого объёма 20-30 страниц и расшифровки критериев базовой оценки.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Презентации проекта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Распределённый_контур_инвентаризации_оптимизировано_1.pptx Использовано как исходник бизнесовой подачи, описания проблемы, статуса проекта, команды и текущих прототипных экранов.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Распределённый контур инвентаризации(1).pptx Использовано как исходник технической подачи, архитектуры, ER-диаграмм, последовательностей и desktop-прототипа.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Технические материалы проекта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README.md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docs/architecture.md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docs/spec.md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docs/hybrid-technical-report.md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docs/inventory-technical-report.md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docs/inventory-client.md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docs/client-ui-coverage.md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docs/mobile-usage.md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contract/src/main/kotlin/org/expert/link/mesh/contract/api/MeshNode.kt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Эти материалы использованы как основной источник истины по фактическим функциям проекта.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2. Официальные источники олимпиады «Газпром»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Официальные страницы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https://studolymp.gazprom.ru/ob-olimpiade/ Использовано для целей олимпиады, статуса профиля и перечня нормативных документов.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https://studolymp.gazprom.ru/profili/informacionnye-sistemy-i-tehnologii Использовано для описания профиля ИСТ, объектов профессиональной деятельности и ожидаемого фокуса на исследования, проектирование, внедрение информационных систем.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https://studolymp.gazprom.ru/raspisanie Использовано как актуальный источник по датам 2025/2026 для профиля «Информационные системы и технологии».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https://studolymp.gazprom.ru/rezultaty/ Использовано для проверки доступности результатов прошлых лет и наличия либо отсутствия публичных материалов проектов.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Официальные PDF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https://studolymp.gazprom.ru/assets/files/2025-2026_pp_ist.pdf Актуальные правила проведения заключительного этапа по профилю ИСТ в 2025/2026 учебном году.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https://studolymp.gazprom.ru/assets/files/2023-2024_mu_zak_ist.pdf Методические указания к заключительному этапу профиля ИСТ.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https://studolymp.gazprom.ru/assets/files/2025-2026_mu_otb_ist.pdf Использовано для дополнительного контекста по профилю, месту ИТ в контуре Газпром и акценту на прикладные корпоративные информационные системы.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https://studolymp.gazprom.ru/assets/files/2025-2026_reglament.pdf Использовано как официальный нормативный источник текущего учебного года.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https://studolymp.gazprom.ru/assets/files/2025-2026_polozhenie.pdf Использовано как официальный нормативный источник текущего учебного года.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https://studolymp.gazprom.ru/assets/files/2019-2020_pp_ist.pdf Использовано для проверки устойчивости структуры профиля и критериев в предыдущих циклах.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https://studolymp.gazprom.ru/assets/files/2019-2020_reglament-proekt.pdf Использовано как дополнительный нормативный источник по общему регламенту олимпиады.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3. Дополнительные официальные и релевантные открытые источники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Страницы с результатами и контекстом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https://studolymp.gazprom.ru/rezultaty/2023-2024-informacionnye-sistemy-i-tehnologii Использовано для подтверждения того, что по профилю публикуются списки победителей, но не прикладываются сами проекты, презентации или пояснительные записки.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https://www.tyuiu.ru/obrazovanie/ucebnaia-deiatelnost/olimpiady-i-konkursy Использовано как пример страницы вуза-площадки с общим описанием олимпиады, профилей и преимуществ для победителей и призёров.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4. Открытые источники по аналогам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1С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https://solutions.1c.ru/catalog/asm/features Использовано для проверки того, что в открытых материалах решения заявлены реестр имущества, инвентаризации и печать этикеток.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SimpleOne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https://simpleone.ru/news/simpleone-itam-140-combines-discretionary-and-asset-management-into-a-single-process Использовано для подтверждения развития функций синхронизации данных и управления активами в централизованном контуре.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https://simpleone.ru/news/simpleone-has-released-a-new-version-of-itam-160 Использовано для подтверждения позиционирования SimpleOne ITAM как системы учёта иерархии ИТ-активов и повышения прозрачности учёта оборудования.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Odoo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https://www.odoo.com/app/inventory Использовано как официальный источник по складскому/inventory-решению, включая barcode и mobile scanning сценарии.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5. Что не найдено в открытом доступе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Реальные студенческие материалы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В ходе поиска не удалось обнаружить в открытом доступе релевантные: - презентации творческих проектов участников профиля ИСТ олимпиады «Газпром», - пояснительные записки конкурсных проектов, - публичные PDF или PPTX с реальными защитами студентов по данному профилю, - архивы докладов, где можно было бы использовать структуру или чужие готовые решения как образец.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Что найдено вместо этого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официальные страницы результатов прошлых лет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страницы профиля и расписания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нормативные документы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отдельные страницы вузов-организаторов и участников, где описывается сама олимпиада, но не публикуются материалы конкретных проектов.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Поэтому структура текущего конкурсного пакета строилась не на копировании чужих открытых презентаций, а на официальных требованиях олимпиады и на фактических материалах самого проекта.</w:t>
      </w:r>
    </w:p>
    <w:p>
      <w:pPr>
        <w:pStyle w:val="Heading2"/>
        <w:keepNext/>
        <w:pageBreakBefore w:val="0"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8"/>
        </w:rPr>
        <w:t>6. Верификация фактической реализации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Код и API</w:t>
      </w:r>
    </w:p>
    <w:p>
      <w:pPr>
        <w:pStyle w:val="ListBullet"/>
        <w:spacing w:lineRule="auto" w:line="360" w:before="0" w:after="0"/>
        <w:ind w:hanging="357" w:left="709"/>
        <w:jc w:val="both"/>
      </w:pPr>
      <w:r>
        <w:t>Проверен публичный контракт , подтверждающий наличие inventory, communication и sync-операций.</w:t>
      </w:r>
    </w:p>
    <w:p>
      <w:pPr>
        <w:pStyle w:val="Heading3"/>
        <w:keepNext/>
        <w:spacing w:lineRule="auto" w:line="360" w:before="240" w:after="0"/>
        <w:jc w:val="left"/>
      </w:pPr>
      <w:r>
        <w:rPr>
          <w:rFonts w:ascii="Times New Roman" w:hAnsi="Times New Roman" w:eastAsia="Times New Roman"/>
          <w:b/>
          <w:sz w:val="26"/>
        </w:rPr>
        <w:t>Тесты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24 марта 2026 года успешно выполнена команда:</w:t>
      </w:r>
    </w:p>
    <w:p>
      <w:pPr>
        <w:spacing w:lineRule="auto" w:line="360" w:before="0" w:after="0"/>
        <w:ind w:firstLine="709"/>
        <w:jc w:val="both"/>
      </w:pPr>
      <w:r>
        <w:rPr>
          <w:rFonts w:ascii="Times New Roman" w:hAnsi="Times New Roman" w:eastAsia="Times New Roman"/>
          <w:sz w:val="24"/>
        </w:rPr>
        <w:t>Это использовано как дополнительное подтверждение инженерного статуса проекта.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