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80"/>
        <w:jc w:val="center"/>
      </w:pPr>
      <w:r>
        <w:rPr>
          <w:rFonts w:ascii="Times New Roman" w:hAnsi="Times New Roman" w:eastAsia="Times New Roman"/>
          <w:b/>
          <w:sz w:val="28"/>
        </w:rPr>
        <w:t>Бережливая канва проекта (Lean Canvas)</w:t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sz w:val="22"/>
        </w:rP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spacing w:lineRule="auto" w:line="240" w:before="0" w:after="160"/>
        <w:jc w:val="center"/>
      </w:pPr>
      <w:r>
        <w:rPr>
          <w:rFonts w:ascii="Times New Roman" w:hAnsi="Times New Roman" w:eastAsia="Times New Roman"/>
          <w:sz w:val="18"/>
        </w:rPr>
        <w:t>Автор: Титарь Игорь Андреевич | НИЯУ МИФИ, ИИКС, кафедра №22 | Статус: функциональный прототип, подготовка к пилотной апробации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466"/>
            <w:vMerge w:val="restart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2. Проблемы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Учёт объектов, обсуждения, фото и документы разнесены между несколькими несвязанными инструментами.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При нестабильной связи централизованный контур становится недоступным, и работа уходит в ручной режим.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После выездной инвентаризации результаты приходится повторно сводить и переносить вручную.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Существующие альтернативы: централизованные учётные системы, Excel, бумажные формы, внешние мессенджеры, отдельные решения для маркировки и сканирования.</w:t>
            </w:r>
          </w:p>
        </w:tc>
        <w:tc>
          <w:tcPr>
            <w:tcW w:type="dxa" w:w="2466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4. Решение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Гибридная архитектура: локальные клиентские узлы плюс центральный контур консолидации.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Карточки имущества, сессии, замечания, инциденты, маркировка и сканирование в одном рабочем контуре.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Встроенные чаты, обсуждения, файловый обмен, звонки и последующая синхронизация после восстановления связи.</w:t>
            </w:r>
          </w:p>
        </w:tc>
        <w:tc>
          <w:tcPr>
            <w:tcW w:type="dxa" w:w="4932"/>
            <w:gridSpan w:val="2"/>
            <w:vMerge w:val="restart"/>
            <w:vAlign w:val="top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3. Уникальное ценностное предложение</w:t>
            </w:r>
          </w:p>
          <w:p>
            <w:pPr>
              <w:spacing w:lineRule="auto" w:line="240" w:before="0" w:after="80"/>
              <w:jc w:val="left"/>
            </w:pPr>
            <w:r>
              <w:rPr>
                <w:rFonts w:ascii="Times New Roman" w:hAnsi="Times New Roman" w:eastAsia="Times New Roman"/>
                <w:i/>
                <w:sz w:val="18"/>
              </w:rPr>
              <w:t>Высокоуровневая концепция: инвентаризация + взаимодействие сотрудников + синхронизация в одной системе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Единый рабочий контур для инвентаризации и служебного взаимодействия, сохраняющий работоспособность даже при потере устойчивой связи.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Инвентаризация, коммуникации и последующая консолидация данных не разорваны между разными системами.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Решение ориентировано не на офисный сценарий, а на удалённые объекты, где связь ограничена или нестабильна.</w:t>
            </w:r>
          </w:p>
        </w:tc>
        <w:tc>
          <w:tcPr>
            <w:tcW w:type="dxa" w:w="2466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9. Несправедливое преимущество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Сформированный инженерный задел: настольный и Android-клиенты, документация, схемы и тесты.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Единый контракт MeshNode и подтверждённые сценарии автономной работы, межузлового обмена и последующей синхронизации.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Готовность к университетской апробации как к контролируемому пилотному сценарию.</w:t>
            </w:r>
          </w:p>
        </w:tc>
        <w:tc>
          <w:tcPr>
            <w:tcW w:type="dxa" w:w="2466"/>
            <w:vMerge w:val="restart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1. Сегменты пользователей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Инвентаризационные комиссии и сотрудники удалённых объектов.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Территориально распределённые организации, склады, базы снабжения, месторождения, лабораторные и учебные комплексы.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Ранние пользователи: вузовская пилотная площадка, подразделения с локальной сетью и периодически недоступным внешним каналом.</w:t>
            </w:r>
          </w:p>
        </w:tc>
      </w:tr>
      <w:tr>
        <w:tc>
          <w:tcPr>
            <w:tcW w:type="dxa" w:w="2466"/>
            <w:vMerge/>
          </w:tcPr>
          <w:p/>
        </w:tc>
        <w:tc>
          <w:tcPr>
            <w:tcW w:type="dxa" w:w="2466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8. Ключевые метрики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Доля операций, выполненных без доступа к центральному контуру.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Успешность синхронизации накопленных изменений и количество конфликтов.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Время проведения инвентаризационной сессии и число ручных переносов после выезда.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Полнота заполнения карточек, замечаний, вложений и инцидентов непосредственно в рабочем контуре.</w:t>
            </w:r>
          </w:p>
        </w:tc>
        <w:tc>
          <w:tcPr>
            <w:tcW w:type="dxa" w:w="4932"/>
            <w:gridSpan w:val="2"/>
            <w:vMerge/>
          </w:tcPr>
          <w:p/>
        </w:tc>
        <w:tc>
          <w:tcPr>
            <w:tcW w:type="dxa" w:w="2466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5. Каналы выхода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Студенческая олимпиада «Газпром» и профильные инженерные площадки.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Университетская апробация в НИЯУ МИФИ.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Пилотные демонстрации на ограниченных объектах и прямой диалог с организациями, для которых критична устойчивая работа при ограниченной связности.</w:t>
            </w:r>
          </w:p>
        </w:tc>
        <w:tc>
          <w:tcPr>
            <w:tcW w:type="dxa" w:w="2466"/>
            <w:vMerge/>
          </w:tcPr>
          <w:p/>
        </w:tc>
      </w:tr>
      <w:tr>
        <w:tc>
          <w:tcPr>
            <w:tcW w:type="dxa" w:w="7398"/>
            <w:gridSpan w:val="3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7. Структура затрат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Разработка и поддержка клиентского и центрального контуров.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Тестирование сетевых сценариев, синхронизации и устойчивости обмена.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Инфраструктура центрального контура, хранение вложений и артефактов выгрузки.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Пилотная апробация, адаптация под организационные регламенты и сопровождение внедрения.</w:t>
            </w:r>
          </w:p>
        </w:tc>
        <w:tc>
          <w:tcPr>
            <w:tcW w:type="dxa" w:w="7398"/>
            <w:gridSpan w:val="3"/>
            <w:vAlign w:val="top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spacing w:lineRule="auto" w:line="276" w:before="0" w:after="6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D5DB8"/>
                <w:sz w:val="22"/>
              </w:rPr>
              <w:t>6. Источники ценности и модели монетизации</w:t>
            </w:r>
          </w:p>
          <w:p>
            <w:pPr>
              <w:spacing w:lineRule="auto" w:line="264" w:before="4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На текущем этапе проект находится на стадии функционального прототипа и пилотной проработки.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В качестве рабочих вариантов рассматриваются лицензирование программного решения, проектная адаптация и внедрение.</w:t>
            </w:r>
          </w:p>
          <w:p>
            <w:pPr>
              <w:spacing w:lineRule="auto" w:line="264" w:before="20" w:after="0"/>
              <w:ind w:hanging="255" w:left="255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• Дополнительные варианты: техническое сопровождение, доработки под инфраструктуру заказчика и интеграция с его централизованными сервисами.</w:t>
            </w:r>
          </w:p>
        </w:tc>
      </w:tr>
    </w:tbl>
    <w:p>
      <w:pPr>
        <w:spacing w:lineRule="auto" w:line="276" w:before="160" w:after="0"/>
        <w:ind w:firstLine="709"/>
        <w:jc w:val="left"/>
      </w:pPr>
      <w:r>
        <w:rPr>
          <w:rFonts w:ascii="Times New Roman" w:hAnsi="Times New Roman" w:eastAsia="Times New Roman"/>
          <w:sz w:val="18"/>
        </w:rPr>
        <w:t>Примечание. Блоки, связанные с каналами вывода и монетизацией, отражают рабочие гипотезы пилотного и внедренческого развития проекта и не трактуются как уже реализованная коммерческая модель.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