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120"/>
      </w:pPr>
      <w:r>
        <w:rPr>
          <w:b/>
          <w:sz w:val="24"/>
        </w:rPr>
        <w:t>Паспорт стартап-проекта</w:t>
      </w:r>
    </w:p>
    <w:p>
      <w:pPr>
        <w:spacing w:after="120"/>
      </w:pPr>
      <w:r>
        <w:rPr>
          <w:b/>
          <w:sz w:val="24"/>
        </w:rPr>
        <w:t>Основная информация</w:t>
      </w:r>
    </w:p>
    <w:p>
      <w:pPr>
        <w:spacing w:after="120"/>
      </w:pPr>
      <w:r>
        <w:rPr>
          <w:b/>
          <w:sz w:val="24"/>
        </w:rPr>
        <w:t>1. Название стартап-проекта</w:t>
      </w:r>
      <w:r>
        <w:rPr>
          <w:b w:val="0"/>
          <w:sz w:val="24"/>
        </w:rPr>
        <w:br/>
        <w:t>Распределённая платформа инвентаризации, обмена данными и оперативного взаимодействия для удалённых объектов в условиях нестабильной связи.</w:t>
      </w:r>
    </w:p>
    <w:p>
      <w:pPr>
        <w:spacing w:after="120"/>
      </w:pPr>
      <w:r>
        <w:rPr>
          <w:b/>
          <w:sz w:val="24"/>
        </w:rPr>
        <w:t>2. Тема стартап-проекта</w:t>
      </w:r>
      <w:r>
        <w:rPr>
          <w:b w:val="0"/>
          <w:sz w:val="24"/>
        </w:rPr>
        <w:br/>
        <w:t>Информационно-телекоммуникационные системы и цифровизация распределённых производственных, складских и сервисных процессов.</w:t>
      </w:r>
    </w:p>
    <w:p>
      <w:pPr>
        <w:spacing w:after="120"/>
      </w:pPr>
      <w:r>
        <w:rPr>
          <w:b/>
          <w:sz w:val="24"/>
        </w:rPr>
        <w:t>3. Технологическое направление в соответствии с перечнем критических технологий РФ</w:t>
      </w:r>
      <w:r>
        <w:rPr>
          <w:b w:val="0"/>
          <w:sz w:val="24"/>
        </w:rPr>
        <w:br/>
        <w:t>Технологии создания безопасных систем хранения, обработки и передачи информации; распределённые информационные системы для удалённых и защищённых объектов.</w:t>
      </w:r>
    </w:p>
    <w:p>
      <w:pPr>
        <w:spacing w:after="120"/>
      </w:pPr>
      <w:r>
        <w:rPr>
          <w:b/>
          <w:sz w:val="24"/>
        </w:rPr>
        <w:t>4. Рынок НТИ</w:t>
      </w:r>
      <w:r>
        <w:rPr>
          <w:b w:val="0"/>
          <w:sz w:val="24"/>
        </w:rPr>
        <w:br/>
        <w:t>Технет: цифровизация производственных, складских, сервисных и эксплуатационных процессов распределённых организаций. Проект также релевантен задачам промышленной цифровизации, внутренней логистики и управления активами.</w:t>
      </w:r>
    </w:p>
    <w:p>
      <w:pPr>
        <w:spacing w:after="120"/>
      </w:pPr>
      <w:r>
        <w:rPr>
          <w:b/>
          <w:sz w:val="24"/>
        </w:rPr>
        <w:t>5. Сквозные технологии</w:t>
      </w:r>
      <w:r>
        <w:rPr>
          <w:b w:val="0"/>
          <w:sz w:val="24"/>
        </w:rPr>
        <w:br/>
        <w:t>Промышленный интернет; технологии хранения и обработки данных; технологии беспроводной и локальной передачи данных; технологии информационной безопасности и доверенного взаимодействия.</w:t>
      </w:r>
    </w:p>
    <w:p>
      <w:pPr>
        <w:spacing w:after="120"/>
      </w:pPr>
      <w:r>
        <w:rPr>
          <w:b/>
          <w:sz w:val="24"/>
        </w:rPr>
        <w:t>6. Контактный номер телефона лидера стартап-проекта</w:t>
        <w:br/>
        <w:t>7. Команда стартап-проекта</w:t>
      </w:r>
      <w:r>
        <w:rPr>
          <w:b w:val="0"/>
          <w:sz w:val="24"/>
        </w:rPr>
        <w:br/>
        <w:t>Основной публичный канал связи по проекту: tigor7750@gmail.com, Telegram @ITehn. Контактный номер лидера проекта вносится в закрытую регистрационную форму Projects и не выводится в публичный комплект документов.</w:t>
        <w:br/>
        <w:t>Команда проекта — кросс-функциональная группа из 11 человек: руководитель проекта и архитектор, backend-разработчики, мобильный разработчик на Kotlin Multiplatform, frontend-разработчик, системный и продуктовый аналитики, UX/UI-дизайнер, специалист по информационной безопасности и аналитики данных.</w:t>
      </w:r>
    </w:p>
    <w:p>
      <w:pPr>
        <w:spacing w:after="120"/>
      </w:pPr>
      <w:r>
        <w:rPr>
          <w:b/>
          <w:sz w:val="24"/>
        </w:rPr>
        <w:t>Описание проекта</w:t>
      </w:r>
    </w:p>
    <w:p>
      <w:pPr>
        <w:spacing w:after="120"/>
      </w:pPr>
      <w:r>
        <w:rPr>
          <w:b/>
          <w:sz w:val="24"/>
        </w:rPr>
        <w:t>8. Аннотация проекта</w:t>
      </w:r>
      <w:r>
        <w:rPr>
          <w:b w:val="0"/>
          <w:sz w:val="24"/>
        </w:rPr>
        <w:br/>
        <w:t>Проект представляет собой распределённую платформу для учёта имущества, проведения инвентаризационных проверок и оперативного взаимодействия сотрудников на удалённых и территориально распределённых объектах, где отсутствует устойчивый централизованный интернет либо связь носит нестабильный характер. Решение объединяет карточки имущества, маркировку, инвентаризационные сессии, фиксацию замечаний и инцидентов, вложения, встроенный обмен сообщениями, ветки обсуждений, передачу файлов и служебные звонки.</w:t>
        <w:br/>
        <w:t>Ключевая идея проекта состоит в том, что предметный контур инвентаризации и коммуникационный контур работают не изолированно: обсуждение спорного объекта, передача фотографии, комментарий комиссии и дальнейшая синхронизация становятся частью одного рабочего процесса. При наличии связи система синхронизирует изменения с центральным контуром. При отсутствии связи пользователь продолжает работу локально, а после восстановления канала выполняется передача накопленных изменений и их согласование.</w:t>
        <w:br/>
        <w:t>Проект ориентирован на вузы, промышленные предприятия, склады, базы снабжения, сервисные подразделения и иные организации с территориально распределёнными площадками.</w:t>
      </w:r>
    </w:p>
    <w:p>
      <w:pPr>
        <w:spacing w:after="120"/>
      </w:pPr>
      <w:r>
        <w:rPr>
          <w:b/>
          <w:sz w:val="24"/>
        </w:rPr>
        <w:t>9. Какой продукт будет продаваться</w:t>
      </w:r>
      <w:r>
        <w:rPr>
          <w:b w:val="0"/>
          <w:sz w:val="24"/>
        </w:rPr>
        <w:br/>
        <w:t>Лицензионное программное обеспечение для развёртывания во внутреннем контуре заказчика (во внутреннем центре обработки данных или в частном облаке организации), включающее настольный и Android-клиент, центральные серверные сервисы, средства маркировки, синхронизации, обмена сообщениями, передачи файлов, формирования выгрузок и отчётности. Дополнительно будут продаваться услуги внедрения, интеграции с существующими системами, адаптации под процессы заказчика и технического сопровождения.</w:t>
      </w:r>
    </w:p>
    <w:p>
      <w:pPr>
        <w:spacing w:after="120"/>
      </w:pPr>
      <w:r>
        <w:rPr>
          <w:b/>
          <w:sz w:val="24"/>
        </w:rPr>
        <w:t>10. Какую и чью проблему решает</w:t>
      </w:r>
      <w:r>
        <w:rPr>
          <w:b w:val="0"/>
          <w:sz w:val="24"/>
        </w:rPr>
        <w:br/>
        <w:t>Проект решает проблему разрыва между учётным контуром и оперативной работой на площадке. Сегодня на удалённых объектах карточки имущества, фактические результаты проверки, фотографии, акты и обсуждения часто находятся в разных системах: централизованная система, электронные таблицы, бумажные документы и сторонние мессенджеры. При нестабильной связи сотрудники теряют доступ к центральному контуру и вынуждены переносить данные вручную после возвращения в сеть.</w:t>
        <w:br/>
        <w:t>Проблема относится к нескольким держателям: комиссиям и сотрудникам, проводящим инвентаризацию; подразделениям, отвечающим за имущество и материальные ценности; ИТ-службам и службам цифровизации, которым нужен управляемый и защищённый внутренний контур; руководителям удалённых площадок, для которых важны непрерывность операций, прозрачность данных и снижение числа ошибок.</w:t>
      </w:r>
    </w:p>
    <w:p>
      <w:pPr>
        <w:spacing w:after="120"/>
      </w:pPr>
      <w:r>
        <w:rPr>
          <w:b/>
          <w:sz w:val="24"/>
        </w:rPr>
        <w:t>11. Потенциальные потребительские сегменты</w:t>
      </w:r>
      <w:r>
        <w:rPr>
          <w:b w:val="0"/>
          <w:sz w:val="24"/>
        </w:rPr>
        <w:br/>
        <w:t>1) Вузы, кампусы, лаборатории и научно-образовательные организации — как первичный сегмент с коротким циклом доступа к пилоту.</w:t>
        <w:br/>
        <w:t>2) Промышленные предприятия и производственные площадки с территориально распределённой инфраструктурой.</w:t>
        <w:br/>
        <w:t>3) Склады, базы снабжения, ремонтные и сервисные подразделения.</w:t>
        <w:br/>
        <w:t>4) Государственные и корпоративные организации, которым требуется развёртывание во внутреннем контуре без зависимости от публичного облака.</w:t>
        <w:br/>
        <w:t>5) Подразделения, где есть выездные комиссии, локальные сети и необходимость поздней синхронизации результатов.</w:t>
      </w:r>
    </w:p>
    <w:p>
      <w:pPr>
        <w:spacing w:after="120"/>
      </w:pPr>
      <w:r>
        <w:rPr>
          <w:b/>
          <w:sz w:val="24"/>
        </w:rPr>
        <w:t>12. На основе какого научно-технического решения будет создан продукт</w:t>
      </w:r>
      <w:r>
        <w:rPr>
          <w:b w:val="0"/>
          <w:sz w:val="24"/>
        </w:rPr>
        <w:br/>
        <w:t>Продукт создаётся на основе гибридной распределённой архитектуры, где локальный клиентский узел обеспечивает автономную работу и межузловое взаимодействие, а центральный серверный контур выступает каноническим источником данных и точкой консолидации.</w:t>
        <w:br/>
        <w:t>Локальный контур реализован в кодовой базе expert-link и включает: настольный и Android-клиент на Kotlin Multiplatform/Compose, публичный контракт MeshNode, локальную модель предметной области, обнаружение узлов через UDP multicast и broadcast fallback, доверенное сопряжение пользователей, защищённый пакетный обмен, личные и групповые чаты, треды, передачу файлов по частям, сигнальный контур звонков, диагностику и локальную очередь изменений.</w:t>
        <w:br/>
        <w:t>Центральный контур реализован в кодовой базе expert-link-core и включает отдельные сервисы доступа к организациям и ролям, инвентаризации, синхронизации, промежуточной доставки, вложений и экспорта. Используются Spring Boot, PostgreSQL, Redis, Flyway, профильное файловое или S3-совместимое хранилище. Синхронизация строится на пакетах изменений, идемпотентности по changeId, курсорах организации и явной обработке конфликтов.</w:t>
        <w:br/>
        <w:t>В части защищённого обмена подтверждены использование AES-GCM для полезной нагрузки, RSA-OAEP для защиты ключа, подписи служебной части пакета, доверенного приглашения на сопряжение с TTL и nonce, а также JWT-авторизации и ролевой модели доступа в центральном контуре.</w:t>
      </w:r>
    </w:p>
    <w:p>
      <w:pPr>
        <w:spacing w:after="120"/>
      </w:pPr>
      <w:r>
        <w:rPr>
          <w:b/>
          <w:sz w:val="24"/>
        </w:rPr>
        <w:t>Бизнес-модель и конкуренция</w:t>
      </w:r>
    </w:p>
    <w:p>
      <w:pPr>
        <w:spacing w:after="120"/>
      </w:pPr>
      <w:r>
        <w:rPr>
          <w:b/>
          <w:sz w:val="24"/>
        </w:rPr>
        <w:t>13. Бизнес-модель</w:t>
      </w:r>
      <w:r>
        <w:rPr>
          <w:b w:val="0"/>
          <w:sz w:val="24"/>
        </w:rPr>
        <w:br/>
        <w:t>Предварительная бизнес-модель проекта — B2B/B2G. Базовый сценарий монетизации: оплачиваемый пилот на одной площадке, далее лицензирование платформы на организацию или на площадку, затем ежегодное сопровождение и обновления. Дополнительный источник дохода — внедрение, интеграция с существующими системами, адаптация печати, отчётности, ролевой модели и регламентов под контур заказчика.</w:t>
        <w:br/>
        <w:t>Предварительная структура монетизации: пилотный проект 1,5-3,0 млн руб.; типовое внедрение 4-10 млн руб. в зависимости от масштаба площадки, объёма интеграций и числа ролей; ежегодное сопровождение 0,8-2,5 млн руб. на одну организацию или выделенный контур. Проект не опирается на массовую потребительскую модель; основной расчёт делается на корпоративные внедрения и долгосрочные контракты сопровождения.</w:t>
      </w:r>
    </w:p>
    <w:p>
      <w:pPr>
        <w:spacing w:after="120"/>
      </w:pPr>
      <w:r>
        <w:rPr>
          <w:b/>
          <w:sz w:val="24"/>
        </w:rPr>
        <w:t>14. Основные конкуренты</w:t>
      </w:r>
      <w:r>
        <w:rPr>
          <w:b w:val="0"/>
          <w:sz w:val="24"/>
        </w:rPr>
        <w:br/>
        <w:t>К основным конкурентам и замещающим решениям относятся: 1С:Инвентаризация и управление имуществом; SimpleOne ITAM; Odoo Inventory; а также типичный разрозненный сценарий «корпоративная учётная система + Excel + бумажные акты + внешний мессенджер».</w:t>
        <w:br/>
        <w:t>Большинство существующих решений сильны в централизованном учёте, но не делают ставку на связку предметной инвентаризации с локальной межузловой работой и встроенным коммуникационным контуром в условиях нестабильной связи. Именно на этом разрыве строится конкурентная позиция проекта.</w:t>
      </w:r>
    </w:p>
    <w:p>
      <w:pPr>
        <w:spacing w:after="120"/>
      </w:pPr>
      <w:r>
        <w:rPr>
          <w:b/>
          <w:sz w:val="24"/>
        </w:rPr>
        <w:t>15. Ценностное предложение</w:t>
      </w:r>
      <w:r>
        <w:rPr>
          <w:b w:val="0"/>
          <w:sz w:val="24"/>
        </w:rPr>
        <w:br/>
        <w:t>1) Единый рабочий контур: карточки объектов, сессии, замечания, файлы и обсуждения связаны между собой, а не разбросаны по разным системам.</w:t>
        <w:br/>
        <w:t>2) Ориентация на работу на площадке: предметные операции не прекращаются при потере устойчивого внешнего канала.</w:t>
        <w:br/>
        <w:t>3) Поздняя синхронизация с центральным контуром: результаты не переносятся вручную, а передаются в управляемом режиме с обработкой конфликтов.</w:t>
        <w:br/>
        <w:t>4) Развёртывание во внутреннем контуре заказчика: решение не требует обязательной зависимости от публичного облака.</w:t>
        <w:br/>
        <w:t>5) Защищённый межузловой обмен: доверенное сопряжение, криптографическая идентичность узла, шифрование полезной нагрузки и контроль целостности служебной части пакета.</w:t>
        <w:br/>
        <w:t>6) Масштабируемость по сценариям: от университетской апробации до распределённых промышленных и складских объектов.</w:t>
      </w:r>
    </w:p>
    <w:p>
      <w:pPr>
        <w:spacing w:after="120"/>
      </w:pPr>
      <w:r>
        <w:rPr>
          <w:b/>
          <w:sz w:val="24"/>
        </w:rPr>
        <w:t>Технические и организационные параметры</w:t>
      </w:r>
    </w:p>
    <w:p>
      <w:pPr>
        <w:spacing w:after="120"/>
      </w:pPr>
      <w:r>
        <w:rPr>
          <w:b/>
          <w:sz w:val="24"/>
        </w:rPr>
        <w:t>16. Обоснование реализуемости бизнеса</w:t>
      </w:r>
      <w:r>
        <w:rPr>
          <w:b w:val="0"/>
          <w:sz w:val="24"/>
        </w:rPr>
        <w:br/>
        <w:t>Реализуемость бизнеса подтверждается сочетанием технической готовности и реалистичного выхода в пилотный сегмент. В проекте уже создан интегрированный функциональный прототип, а не только концепция или макет интерфейса. По коду подтверждены две рабочие кодовые базы локального и центрального контуров, настольный и Android-клиенты, защищённый межузловой обмен, пакетная синхронизация, файловая передача, серверный демонстрационный стенд и прикладные сервисы инвентаризации.</w:t>
        <w:br/>
        <w:t>Дополнительным фактором реализуемости является команда: в проекте представлены архитектура, backend, мобильная разработка, frontend, системный анализ, информационная безопасность, продуктовая и экономическая аналитика. Первый сегмент входа — вузы и лаборатории — даёт короткий цикл доступа к пилоту и позволяет получить референсный кейс без завышения стадии готовности. После этого модель масштабируется на промышленные, складские и сервисные площадки.</w:t>
      </w:r>
    </w:p>
    <w:p>
      <w:pPr>
        <w:spacing w:after="120"/>
      </w:pPr>
      <w:r>
        <w:rPr>
          <w:b/>
          <w:sz w:val="24"/>
        </w:rPr>
        <w:t>17. Основные технические параметры</w:t>
      </w:r>
      <w:r>
        <w:rPr>
          <w:b w:val="0"/>
          <w:sz w:val="24"/>
        </w:rPr>
        <w:br/>
        <w:t>По репозиториям проекта подтверждены 582 исходных файла на Kotlin/KTS без учёта build-артефактов, 42 тестовых исходника, 10 центральных модулей и 12 миграций баз данных. Локальный контур реализован на Kotlin Multiplatform, Compose Multiplatform, Ktor и локальной модели данных; центральный контур — на Spring Boot, PostgreSQL, Redis, Flyway и профильном файловом/S3-совместимом хранилище.</w:t>
        <w:br/>
        <w:t>Подтверждены: две клиентские платформы (настольная и Android), контуры карточек имущества, инвентаризационных сессий, инцидентов, вложений и отчётов; защищённая пакетная доставка; локальное обнаружение узлов; многошаговая маршрутизация; передача файлов по частям с размером базового чанка 65 536 байт; экспорт в форматы CSV, XLSX и PDF; ролевой контур доступа; двусторонняя синхронизация по changeId и курсору организации.</w:t>
        <w:br/>
        <w:t>Архитектура сервиса разделяет контроллеры, прикладной слой, домен и инфраструктуру, что снижает риски развития проекта и упрощает дальнейшую интеграцию с внешними системами заказчика.</w:t>
      </w:r>
    </w:p>
    <w:p>
      <w:pPr>
        <w:spacing w:after="120"/>
      </w:pPr>
      <w:r>
        <w:rPr>
          <w:b/>
          <w:sz w:val="24"/>
        </w:rPr>
        <w:t>18. Организационные, производственные и финансовые параметры бизнеса</w:t>
      </w:r>
      <w:r>
        <w:rPr>
          <w:b w:val="0"/>
          <w:sz w:val="24"/>
        </w:rPr>
        <w:br/>
        <w:t>Организационно проект ведётся как кросс-функциональная продуктовая команда из 11 человек с единым управлением через руководителя проекта, короткими итерациями 2-4 недели и централизованным бэклогом.</w:t>
        <w:br/>
        <w:t>Производственно проект представляет собой программный продукт без собственной аппаратной составляющей: развёртывание возможно в контейнеризированном виде во внутреннем контуре заказчика, а пользовательская часть поставляется как настольный и Android-клиент. Это снижает капитальные затраты на запуск и делает пилот технологически достижимым.</w:t>
        <w:br/>
        <w:t>Предварительные финансовые параметры на этап акселерации: запрос инвестиций/финансирования — 12 млн руб. на 12 месяцев; структура расходов — 65-70% команда разработки и архитектуры, 15-20% контроль качества и информационная безопасность, 10-15% пилотная инфраструктура и развёртывание, до 10% правовой и коммерческий контур. Целевая точка безубыточности предварительно оценивается как 4-6 контрактов среднего масштаба либо 2-3 более крупных внедрения с последующим сопровождением.</w:t>
      </w:r>
    </w:p>
    <w:p>
      <w:pPr>
        <w:spacing w:after="120"/>
      </w:pPr>
      <w:r>
        <w:rPr>
          <w:b/>
          <w:sz w:val="24"/>
        </w:rPr>
        <w:t>19. Основные конкурентные преимущества</w:t>
      </w:r>
      <w:r>
        <w:rPr>
          <w:b w:val="0"/>
          <w:sz w:val="24"/>
        </w:rPr>
        <w:br/>
        <w:t>1) Системное отличие от классических решений учёта: проект объединяет инвентаризацию и оперативное взаимодействие сотрудников, а не перекладывает коммуникации во внешние каналы.</w:t>
        <w:br/>
        <w:t>2) Возможность продолжать работу в локальном контуре при деградации или отсутствии централизованной связи.</w:t>
        <w:br/>
        <w:t>3) Поздняя синхронизация с явным разрешением конфликтов вместо ручного сведения результатов.</w:t>
        <w:br/>
        <w:t>4) Встроенные механизмы маркировки, сканирования, обсуждений, передачи файлов и звонков.</w:t>
        <w:br/>
        <w:t>5) Развёртывание во внутреннем контуре организации и отсутствие обязательной зависимости от публичных облачных сервисов.</w:t>
        <w:br/>
        <w:t>6) Наличие уже реализованного инженерного задела, а не только презентационной концепции: клиентские приложения, серверные сервисы, документация, схемы, демонстрационный стенд и тесты.</w:t>
      </w:r>
    </w:p>
    <w:p>
      <w:pPr>
        <w:spacing w:after="120"/>
      </w:pPr>
      <w:r>
        <w:rPr>
          <w:b/>
          <w:sz w:val="24"/>
        </w:rPr>
        <w:t>20. Научно-техническое решение для создания продукции</w:t>
      </w:r>
      <w:r>
        <w:rPr>
          <w:b w:val="0"/>
          <w:sz w:val="24"/>
        </w:rPr>
        <w:br/>
        <w:t>Научно-техническая основа проекта — гибридная модель распределённой информационной системы с локальным рабочим контуром и центральным контуром консолидации. На стороне площадки используется локальный клиентский узел, который хранит рабочее состояние, обеспечивает предметные действия, доверенное межузловое взаимодействие и накопление изменений. На центральной стороне используется набор специализированных сервисов, которые принимают пакеты изменений, поддерживают каноническое состояние данных, ролевую модель, выгрузки, вложения и явную обработку конфликтов.</w:t>
        <w:br/>
        <w:t>В части коммуникаций продукт опирается на защищённый пакетный обмен, файловый протокол с подтверждением доставки и дозагрузкой пропусков, а также сигнальный контур звонков с отдельным медиаканалом. В части предметной области используются инвентарные карточки, сессии, инциденты, история изменений, события сканирования и отчётные механизмы. Таким образом, создаваемая продукция — это не отдельный прикладной модуль, а полноценная программная платформа для цифровой работы распределённых объектов.</w:t>
      </w:r>
    </w:p>
    <w:p>
      <w:pPr>
        <w:spacing w:after="120"/>
      </w:pPr>
      <w:r>
        <w:rPr>
          <w:b/>
          <w:sz w:val="24"/>
        </w:rPr>
        <w:t>21. Уровень готовности продукта TRL</w:t>
      </w:r>
      <w:r>
        <w:rPr>
          <w:b w:val="0"/>
          <w:sz w:val="24"/>
        </w:rPr>
        <w:br/>
        <w:t>TRL 4 с переходом к TRL 5. Текущая стадия — интегрированный функциональный прототип, подтверждённый в контролируемой среде и в демонстрационном серверном стенде. Уже существуют пользовательские сценарии, кодовая реализация локального и центрального контуров, документация, диаграммы, миграции БД и тесты. При этом промышленный пилот на реальной площадке ещё не завершён, поэтому завышать уровень готовности до внедрённого решения некорректно. Ближайший шаг для перехода к TRL 5 — пилотная апробация на ограниченной площадке с проверкой режимов локальной работы, синхронизации и ролевого доступа.</w:t>
      </w:r>
    </w:p>
    <w:p>
      <w:pPr>
        <w:spacing w:after="120"/>
      </w:pPr>
      <w:r>
        <w:rPr>
          <w:b/>
          <w:sz w:val="24"/>
        </w:rPr>
        <w:t>22. Соответствие проекта научным приоритетам</w:t>
      </w:r>
      <w:r>
        <w:rPr>
          <w:b w:val="0"/>
          <w:sz w:val="24"/>
        </w:rPr>
        <w:br/>
        <w:t>Проект соответствует приоритетам цифровой трансформации промышленности и распределённых организаций, развития защищённых информационно-телекоммуникационных систем, создания отечественного прикладного программного обеспечения для внутренних контуров и повышения устойчивости критически важных процессов.</w:t>
        <w:br/>
        <w:t>Для акселератора НИЯУ МИФИ / Росатом проект релевантен как решение для управления данными и операциями на удалённых объектах, где важны локальная устойчивость, защищённый обмен, учёт активов и возможность дальнейшей интеграции с корпоративными системами.</w:t>
      </w:r>
    </w:p>
    <w:p>
      <w:pPr>
        <w:spacing w:after="120"/>
      </w:pPr>
      <w:r>
        <w:rPr>
          <w:b/>
          <w:sz w:val="24"/>
        </w:rPr>
        <w:t>Маркетинг и сбыт</w:t>
      </w:r>
    </w:p>
    <w:p>
      <w:pPr>
        <w:spacing w:after="120"/>
      </w:pPr>
      <w:r>
        <w:rPr>
          <w:b/>
          <w:sz w:val="24"/>
        </w:rPr>
        <w:t>23. Каналы продвижения будущего продукта</w:t>
      </w:r>
      <w:r>
        <w:rPr>
          <w:b w:val="0"/>
          <w:sz w:val="24"/>
        </w:rPr>
        <w:br/>
        <w:t>1) Пилотные демонстрации в рамках акселератора НИЯУ МИФИ / Росатом и связанных с ним площадок.</w:t>
        <w:br/>
        <w:t>2) Прямые встречи с подразделениями цифровизации, учёта имущества, складской логистики, эксплуатации и сервисных служб.</w:t>
        <w:br/>
        <w:t>3) Технологические презентации, демонстрационные дни, отраслевые мероприятия и конференции по цифровизации распределённых процессов.</w:t>
        <w:br/>
        <w:t>4) Подготовка прикладных кейсов и референсных пилотов в университетском и промышленном сегментах.</w:t>
        <w:br/>
        <w:t>5) Партнёрское продвижение через системных интеграторов и команды внедрения корпоративных информационных систем.</w:t>
      </w:r>
    </w:p>
    <w:p>
      <w:pPr>
        <w:spacing w:after="120"/>
      </w:pPr>
      <w:r>
        <w:rPr>
          <w:b/>
          <w:sz w:val="24"/>
        </w:rPr>
        <w:t>24. Каналы сбыта будущего продукта</w:t>
      </w:r>
      <w:r>
        <w:rPr>
          <w:b w:val="0"/>
          <w:sz w:val="24"/>
        </w:rPr>
        <w:br/>
        <w:t>Основной канал сбыта — прямые B2B/B2G-контракты с организацией-заказчиком на пилот, внедрение и сопровождение. Дополнительные каналы: партнёрские продажи через системных интеграторов, внедрение через центры компетенций и цифровизации, тиражирование на несколько площадок внутри одной организации после успешного пилота. Для массового потребительского рынка продукт не предназначен.</w:t>
      </w:r>
    </w:p>
    <w:p>
      <w:pPr>
        <w:spacing w:after="120"/>
      </w:pPr>
      <w:r>
        <w:rPr>
          <w:b/>
          <w:sz w:val="24"/>
        </w:rPr>
        <w:t>Решение проблемы</w:t>
      </w:r>
    </w:p>
    <w:p>
      <w:pPr>
        <w:spacing w:after="120"/>
      </w:pPr>
      <w:r>
        <w:rPr>
          <w:b/>
          <w:sz w:val="24"/>
        </w:rPr>
        <w:t>25. Какая часть проблемы решается</w:t>
      </w:r>
      <w:r>
        <w:rPr>
          <w:b w:val="0"/>
          <w:sz w:val="24"/>
        </w:rPr>
        <w:br/>
        <w:t>Проект закрывает операционный слой полевой инвентаризации и взаимодействия сотрудников на площадке: фиксацию результатов проверки, маркировку, обсуждение спорных объектов, передачу файлов и последующую синхронизацию данных с центральным контуром. При этом проект не претендует на замену полного ERP- или бухгалтерского контура; его задача — снять критический разрыв между работой на месте и централизованным накоплением данных.</w:t>
      </w:r>
    </w:p>
    <w:p>
      <w:pPr>
        <w:spacing w:after="120"/>
      </w:pPr>
      <w:r>
        <w:rPr>
          <w:b/>
          <w:sz w:val="24"/>
        </w:rPr>
        <w:t>26. «Держатель» проблемы, его мотивации</w:t>
      </w:r>
      <w:r>
        <w:rPr>
          <w:b w:val="0"/>
          <w:sz w:val="24"/>
        </w:rPr>
        <w:br/>
        <w:t>1) Руководители инвентаризационных комиссий и подразделений учёта имущества — заинтересованы в сокращении времени сессии, уменьшении числа ошибок и получении прозрачной истории проверки.</w:t>
        <w:br/>
        <w:t>2) Руководители удалённых площадок, складов и сервисных подразделений — заинтересованы в непрерывности работы даже при нестабильной связи.</w:t>
        <w:br/>
        <w:t>3) ИТ-службы и службы цифровизации — заинтересованы в управляемом, защищённом и развёртываемом во внутреннем контуре решении.</w:t>
        <w:br/>
        <w:t>4) Организации с территориально распределённой инфраструктурой — заинтересованы в снижении ручного переноса данных и в повышении качества консолидации результатов.</w:t>
      </w:r>
    </w:p>
    <w:p>
      <w:pPr>
        <w:spacing w:after="120"/>
      </w:pPr>
      <w:r>
        <w:rPr>
          <w:b/>
          <w:sz w:val="24"/>
        </w:rPr>
        <w:t>27. Каким способом будет решена проблема</w:t>
      </w:r>
      <w:r>
        <w:rPr>
          <w:b w:val="0"/>
          <w:sz w:val="24"/>
        </w:rPr>
        <w:br/>
        <w:t>Проблема решается за счёт внедрения гибридной распределённой платформы, в которой локальный клиентский узел хранит рабочее состояние, обеспечивает предметные операции и коммуникации, а центральный серверный контур выполняет консолидацию и управление каноническими данными. На площадке сотрудники работают с карточками имущества, маркировкой и инвентаризационными сессиями, фиксируют замечания и вложения, обсуждают спорные объекты в встроенном контуре и при необходимости передают файлы и совершают звонки. После восстановления связи изменения передаются в центральный контур через пакетную синхронизацию с идемпотентностью по changeId и обработкой конфликтов.</w:t>
      </w:r>
    </w:p>
    <w:p>
      <w:pPr>
        <w:spacing w:after="120"/>
      </w:pPr>
      <w:r>
        <w:rPr>
          <w:b/>
          <w:sz w:val="24"/>
        </w:rPr>
        <w:t>Финансовые показатели и развитие</w:t>
      </w:r>
    </w:p>
    <w:p>
      <w:pPr>
        <w:spacing w:after="120"/>
      </w:pPr>
      <w:r>
        <w:rPr>
          <w:b/>
          <w:sz w:val="24"/>
        </w:rPr>
        <w:t>28. Оценка потенциала рынка и рентабельности бизнеса</w:t>
      </w:r>
      <w:r>
        <w:rPr>
          <w:b w:val="0"/>
          <w:sz w:val="24"/>
        </w:rPr>
        <w:br/>
        <w:t>Предварительная оценка рынка выполнена по нижнему, прикладному сценарию выхода в целевые сегменты. TAM (совокупный российский рынок программных и сервисных проектов в сегментах распределённого учёта имущества, локальной полевой инвентаризации и цифровизации удалённых площадок) предварительно оценивается на уровне 12-20 млрд руб. в год. SAM (доступный на первом этапе рынок: вузы, научные организации, средние и крупные промышленные/складские/сервисные структуры, готовые к пилоту) оценивается на уровне 1,8-3,2 млрд руб. в год. SOM на горизонте 5 лет, исходя из реалистичной воронки и командной мощности, оценивается в диапазоне 120-220 млн руб. годовой выручки.</w:t>
        <w:br/>
        <w:t>Предварительная unit-экономика: пилот 1,5-3,0 млн руб.; типовое внедрение 4-10 млн руб.; ежегодное сопровождение 0,8-2,5 млн руб. После стандартизации продукта и уменьшения доли кастомной разработки валовая рентабельность программной части и сопровождения может достигать 65-75%. Все оценки являются внутренними проектными допущениями для акселерационного планирования и должны уточняться по итогам первых пилотов.</w:t>
      </w:r>
    </w:p>
    <w:p>
      <w:pPr>
        <w:spacing w:after="120"/>
      </w:pPr>
      <w:r>
        <w:rPr>
          <w:b/>
          <w:sz w:val="24"/>
        </w:rPr>
        <w:t>29. План дальнейшего развития стартап-проекта</w:t>
      </w:r>
      <w:r>
        <w:rPr>
          <w:b w:val="0"/>
          <w:sz w:val="24"/>
        </w:rPr>
        <w:br/>
        <w:t>0-4 месяца: стабилизация ядра, доводка обработки конфликтов синхронизации, локального сохранения ролевого контекста, защищённого обмена и подготовка типового пакета развёртывания во внутреннем контуре заказчика.</w:t>
        <w:br/>
        <w:t>4-8 месяцев: ограниченный пилот на одной площадке — реестр объектов, маркировка, одна-две инвентаризационные сессии, измерение времени процесса, качества данных и устойчивости локальной работы.</w:t>
        <w:br/>
        <w:t>8-12 месяцев: расширение на несколько узлов и подразделений, отработка сценариев потери/восстановления связи, доработка вложений, выгрузок, ролевой модели и администраторских функций.</w:t>
        <w:br/>
        <w:t>12-18 месяцев: подготовка к первым тиражируемым внедрениям, интеграция с централизованными системами заказчика, формирование коммерческого пакета, отраслевой версии решения и запуск первых оплачиваемых проектов.</w:t>
      </w:r>
    </w:p>
    <w:sectPr w:rsidR="007C239B" w:rsidRPr="00BD336D" w:rsidSect="00F85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65612C"/>
    <w:multiLevelType w:val="multilevel"/>
    <w:tmpl w:val="25C8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986E04"/>
    <w:multiLevelType w:val="multilevel"/>
    <w:tmpl w:val="CE9E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AD3D5B"/>
    <w:multiLevelType w:val="multilevel"/>
    <w:tmpl w:val="304C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B97EED"/>
    <w:multiLevelType w:val="multilevel"/>
    <w:tmpl w:val="B72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725229"/>
    <w:multiLevelType w:val="multilevel"/>
    <w:tmpl w:val="5F64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BD336D"/>
    <w:rsid w:val="000C7335"/>
    <w:rsid w:val="007C239B"/>
    <w:rsid w:val="00BD336D"/>
    <w:rsid w:val="00F85A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5AE6"/>
  </w:style>
  <w:style w:type="paragraph" w:styleId="1">
    <w:name w:val="heading 1"/>
    <w:basedOn w:val="a"/>
    <w:link w:val="10"/>
    <w:uiPriority w:val="9"/>
    <w:qFormat/>
    <w:rsid w:val="00BD33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D33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3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D336D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a"/>
    <w:rsid w:val="00BD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D336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1694</Words>
  <Characters>9662</Characters>
  <Application>Microsoft Office Word</Application>
  <DocSecurity>0</DocSecurity>
  <Lines>80</Lines>
  <Paragraphs>22</Paragraphs>
  <ScaleCrop>false</ScaleCrop>
  <Company/>
  <LinksUpToDate>false</LinksUpToDate>
  <CharactersWithSpaces>11334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2026-04-03T10:19:00Z</dcterms:created>
  <dcterms:modified xsi:type="dcterms:W3CDTF">2026-04-03T10:19:00Z</dcterms:modified>
</cp:coreProperties>
</file>