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D2A" w:rsidRPr="00BA2027" w:rsidRDefault="00ED20D8" w:rsidP="00BA2027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BA2027">
        <w:rPr>
          <w:rFonts w:ascii="Times New Roman" w:hAnsi="Times New Roman" w:cs="Times New Roman"/>
          <w:color w:val="auto"/>
        </w:rPr>
        <w:t>Lean Canvas</w:t>
      </w:r>
    </w:p>
    <w:p w:rsidR="00BA2027" w:rsidRPr="00BA2027" w:rsidRDefault="00BA2027" w:rsidP="00BA2027">
      <w:pPr>
        <w:rPr>
          <w:sz w:val="28"/>
          <w:szCs w:val="28"/>
          <w:lang w:val="ru-RU"/>
        </w:rPr>
      </w:pPr>
    </w:p>
    <w:p w:rsidR="00BA2027" w:rsidRPr="00BA2027" w:rsidRDefault="00BA2027" w:rsidP="00BA2027">
      <w:pPr>
        <w:rPr>
          <w:sz w:val="28"/>
          <w:szCs w:val="28"/>
          <w:lang w:val="ru-RU"/>
        </w:rPr>
      </w:pPr>
    </w:p>
    <w:tbl>
      <w:tblPr>
        <w:tblStyle w:val="aff0"/>
        <w:tblW w:w="9614" w:type="dxa"/>
        <w:tblLook w:val="04A0" w:firstRow="1" w:lastRow="0" w:firstColumn="1" w:lastColumn="0" w:noHBand="0" w:noVBand="1"/>
      </w:tblPr>
      <w:tblGrid>
        <w:gridCol w:w="3085"/>
        <w:gridCol w:w="6529"/>
      </w:tblGrid>
      <w:tr w:rsidR="00415D2A" w:rsidRPr="004E5C19" w:rsidTr="00BA2027">
        <w:trPr>
          <w:trHeight w:val="813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  <w:proofErr w:type="spellEnd"/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1) На распределённых площадках учёт имущества, замечания, фотографии и обсуждения ведутся в разных средах: централизованная учётная система, электронные таблицы, бумажные акты и сторонние мессенджеры.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2) При нестабильной связи комиссия теряет доступ к центральному контуру и вынуждена переходить в ручной режим.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3) После восстановления связи возникает трудоёмкий перенос данных, дублирование записей и потеря контекста по спорным объектам.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4) Для удалённых и защищённых объектов критична возможность работы во внутреннем контуре без постоянной опоры на облачные сервисы.</w:t>
            </w:r>
          </w:p>
        </w:tc>
      </w:tr>
      <w:tr w:rsidR="00415D2A" w:rsidRPr="004E5C19" w:rsidTr="00BA2027">
        <w:trPr>
          <w:trHeight w:val="393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Гибридная распределённая платформа, объединяющая в одном контуре карточки имущества, инвентаризационные сессии, инциденты, вложения, маркировку, сканирование, личные и групповые чаты, ветки обсуждений, передачу файлов и звонки.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Локальный клиентский узел работает автономно и в локальной сети, а после восстановления связи передаёт накопленные изменения в центральный контур синхронизации без ручного переноса данных.</w:t>
            </w:r>
          </w:p>
        </w:tc>
      </w:tr>
      <w:tr w:rsidR="00415D2A" w:rsidRPr="004E5C19" w:rsidTr="00BA2027">
        <w:trPr>
          <w:trHeight w:val="787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Уникальная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ценность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продукта</w:t>
            </w:r>
            <w:proofErr w:type="spellEnd"/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Не отдельная система учёта и не отдельный мессенджер, а единый цифровой рабочий контур для комиссии и сотрудников удалённого объекта.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Платформа позволяет продолжать предметные операции, фиксировать результаты проверки, обсуждать спорные объекты и передавать материалы даже при отсутствии устойчивого внешнего канала, а затем синхронизировать всё с центральной системой.</w:t>
            </w:r>
          </w:p>
        </w:tc>
      </w:tr>
      <w:tr w:rsidR="00415D2A" w:rsidRPr="004E5C19" w:rsidTr="00BA2027">
        <w:trPr>
          <w:trHeight w:val="1207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Скрытое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преимущество</w:t>
            </w:r>
            <w:proofErr w:type="spellEnd"/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У проекта уже есть инженерный задел, который сложно быстро воспроизвести: две связанные кодовые базы локального и центрального контуров, настольный и Android-клиенты, защищённый межузловой обмен, передача файлов по частям с дозагрузкой, явная обработка конфликтов синхронизации, локальное сохранение ролевого контекста и демонстрационный серверный стенд.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По репозиториям подтверждены 582 исходных файла на Kotlin/KTS, 42 тестовых исходника, 10 центральных модулей и 12 миграций БД.</w:t>
            </w:r>
          </w:p>
        </w:tc>
      </w:tr>
      <w:tr w:rsidR="00415D2A" w:rsidRPr="00BA2027" w:rsidTr="00BA2027">
        <w:trPr>
          <w:trHeight w:val="787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Целевой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рыночный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сегмент</w:t>
            </w:r>
            <w:proofErr w:type="spellEnd"/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Первичный сегмент входа: вузы, кампусы, лаборатории и научно-образовательные площадки, где можно быстро провести контролируемый пилот.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Основной сегмент: промышленные предприятия, склады, базы снабжения, сервисные и ремонтные подразделения, распределённые организации и B2B/B2G-заказчики, которым нужны локальная устойчивость, внутренний контур развёртывания и последующая консолидация данных.</w:t>
            </w:r>
          </w:p>
        </w:tc>
      </w:tr>
      <w:tr w:rsidR="00415D2A" w:rsidRPr="004E5C19" w:rsidTr="00BA2027">
        <w:trPr>
          <w:trHeight w:val="787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Ключевые метрики</w:t>
            </w:r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Количество пилотных площадок и активных организаций; число объектов, заведённых в систему и промаркированных кодами; время проведения инвентаризационной сессии; доля операций, завершённых без ручного переноса после восстановления связи; успешность передачи пакетов синхронизации; количество конфликтов и среднее время их разрешения; число активных пользователей, вложений и завершённых сессий.</w:t>
            </w:r>
          </w:p>
        </w:tc>
      </w:tr>
      <w:tr w:rsidR="00415D2A" w:rsidRPr="004E5C19" w:rsidTr="00BA2027">
        <w:trPr>
          <w:trHeight w:val="787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Каналы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продаж</w:t>
            </w:r>
            <w:proofErr w:type="spellEnd"/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Пилоты через акселератор НИЯУ МИФИ и партнёрские площадки; прямой выход на службы цифровизации, учёта имущества, складские и сервисные подразделения; отраслевые демонстрации и технологические мероприятия; партнёрство с системными интеграторами; тиражирование через референсные внедрения на одной площадке.</w:t>
            </w:r>
          </w:p>
        </w:tc>
      </w:tr>
      <w:tr w:rsidR="00415D2A" w:rsidRPr="004E5C19" w:rsidTr="00BA2027">
        <w:trPr>
          <w:trHeight w:val="813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Структура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издержек</w:t>
            </w:r>
            <w:proofErr w:type="spellEnd"/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Предварительная структура затрат: 65-70% фонд оплаты труда команды разработки и архитектуры; 15-20% контроль качества, испытания и информационная безопасность; 10-15% инфраструктура пилота, развёртывание и сопровождение демонстрационного стенда; до 10% правовое сопровождение, продажи и подготовка коммерческих материалов.</w:t>
            </w:r>
          </w:p>
        </w:tc>
      </w:tr>
      <w:tr w:rsidR="00415D2A" w:rsidRPr="004E5C19" w:rsidTr="00BA2027">
        <w:trPr>
          <w:trHeight w:val="813"/>
        </w:trPr>
        <w:tc>
          <w:tcPr>
            <w:tcW w:w="3085" w:type="dxa"/>
          </w:tcPr>
          <w:p w:rsidR="00415D2A" w:rsidRPr="00BA2027" w:rsidRDefault="00ED20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Потоки</w:t>
            </w:r>
            <w:proofErr w:type="spellEnd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027">
              <w:rPr>
                <w:rFonts w:ascii="Times New Roman" w:hAnsi="Times New Roman" w:cs="Times New Roman"/>
                <w:sz w:val="28"/>
                <w:szCs w:val="28"/>
              </w:rPr>
              <w:t>прибыли</w:t>
            </w:r>
            <w:proofErr w:type="spellEnd"/>
          </w:p>
        </w:tc>
        <w:tc>
          <w:tcPr>
            <w:tcW w:w="6529" w:type="dxa"/>
          </w:tcPr>
          <w:p>
            <w:pPr>
              <w:spacing w:after="0"/>
            </w:pPr>
            <w:r>
              <w:rPr>
                <w:b w:val="0"/>
                <w:sz w:val="20"/>
              </w:rPr>
              <w:t>Лицензионные платежи за развёртывание платформы во внутреннем контуре заказчика; платные пилоты и услуги внедрения; ежегодное техническое сопровождение и обновления; интеграционные работы, адаптация ролевой модели и отчётности; отраслевые доработки и расширенные модули под процессы конкретного заказчика.</w:t>
            </w:r>
          </w:p>
        </w:tc>
      </w:tr>
    </w:tbl>
    <w:p w:rsidR="00415D2A" w:rsidRPr="00BA2027" w:rsidRDefault="00415D2A" w:rsidP="004E5C19">
      <w:pPr>
        <w:rPr>
          <w:lang w:val="ru-RU"/>
        </w:rPr>
      </w:pPr>
      <w:bookmarkStart w:id="0" w:name="_GoBack"/>
      <w:bookmarkEnd w:id="0"/>
    </w:p>
    <w:sectPr w:rsidR="00415D2A" w:rsidRPr="00BA2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D2A"/>
    <w:rsid w:val="004E5C19"/>
    <w:rsid w:val="00AA1D8D"/>
    <w:rsid w:val="00B47730"/>
    <w:rsid w:val="00BA2027"/>
    <w:rsid w:val="00CB0664"/>
    <w:rsid w:val="00ED20D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A36D427D-7ACD-41D2-88A8-729A49E1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AC6B69-7DD2-4CF6-B96C-1A9108C3D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616</Characters>
  <Application>Microsoft Office Word</Application>
  <DocSecurity>0</DocSecurity>
  <Lines>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Roman</cp:lastModifiedBy>
  <cp:revision>2</cp:revision>
  <dcterms:created xsi:type="dcterms:W3CDTF">2026-04-06T06:07:00Z</dcterms:created>
  <dcterms:modified xsi:type="dcterms:W3CDTF">2026-04-06T06:07:00Z</dcterms:modified>
</cp:coreProperties>
</file>