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i w:val="1"/>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9">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D">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D">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E">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results of the Risk assessment there are several areas to improve and update to increase the security posture of Botium Toys. The most notable, in my opinion, is the PCI compliance. The Company needs to implement policies and procedures for protecting customers' payment information. If the controls are not implemented the company could face severe penalties and fines for non-compliance.</w:t>
      </w:r>
    </w:p>
    <w:p w:rsidR="00000000" w:rsidDel="00000000" w:rsidP="00000000" w:rsidRDefault="00000000" w:rsidRPr="00000000" w14:paraId="00000070">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aid in completing that task, creating policies for passwords and accessibility through least privilege will greatly enhance the security within the organization. Implementing a password policy may inconvenience the users, however the risk greatly outweighs that convenience. Should an attacker gain access to the building physically or electronically. A strong password will deter the attacker from progressing quickly.</w:t>
      </w:r>
    </w:p>
    <w:p w:rsidR="00000000" w:rsidDel="00000000" w:rsidP="00000000" w:rsidRDefault="00000000" w:rsidRPr="00000000" w14:paraId="00000071">
      <w:pPr>
        <w:spacing w:after="200" w:line="360" w:lineRule="auto"/>
        <w:ind w:firstLine="72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Thirdly the company should strongly consider investing in a backup system. Perhaps an on premise system and a cloud based system. The two systems could allow access to data much more quickly should an incident occur locking users out.</w:t>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