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7529" w:val="left" w:leader="none"/>
        </w:tabs>
        <w:spacing w:line="240" w:lineRule="auto"/>
        <w:ind w:left="261" w:right="0" w:firstLine="0"/>
        <w:rPr>
          <w:sz w:val="20"/>
        </w:rPr>
      </w:pPr>
      <w:r>
        <w:rPr/>
        <w:pict>
          <v:shape style="position:absolute;margin-left:300.410004pt;margin-top:375.889954pt;width:206.35pt;height:24pt;mso-position-horizontal-relative:page;mso-position-vertical-relative:page;z-index:251661312" coordorigin="6008,7518" coordsize="4127,480" path="m10135,7518l10027,7518,6117,7518,6008,7518,6008,7998,10135,7998,10135,7518e" filled="true" fillcolor="#ccc0d9" stroked="false">
            <v:path arrowok="t"/>
            <v:fill type="solid"/>
            <w10:wrap type="none"/>
          </v:shape>
        </w:pict>
      </w:r>
      <w:r>
        <w:rPr/>
        <w:pict>
          <v:group style="position:absolute;margin-left:41.549999pt;margin-top:502.999969pt;width:506.6pt;height:136.450pt;mso-position-horizontal-relative:page;mso-position-vertical-relative:page;z-index:-253435904" coordorigin="831,10060" coordsize="10132,2729">
            <v:shape style="position:absolute;left:851;top:10080;width:10092;height:2689" coordorigin="851,10080" coordsize="10092,2689" path="m10856,10080l938,10080,904,10087,876,10105,858,10133,851,10167,851,12682,858,12716,876,12744,904,12762,938,12769,10856,12769,10890,12762,10918,12744,10936,12716,10943,12682,10943,10167,10936,10133,10918,10105,10890,10087,10856,10080xe" filled="true" fillcolor="#8063a1" stroked="false">
              <v:path arrowok="t"/>
              <v:fill type="solid"/>
            </v:shape>
            <v:shape style="position:absolute;left:851;top:10080;width:10092;height:2689" coordorigin="851,10080" coordsize="10092,2689" path="m851,10167l858,10133,876,10105,904,10087,938,10080,10856,10080,10890,10087,10918,10105,10936,10133,10943,10167,10943,12682,10936,12716,10918,12744,10890,12762,10856,12769,938,12769,904,12762,876,12744,858,12716,851,12682,851,10167xe" filled="false" stroked="true" strokeweight="2pt" strokecolor="#5c4676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82.704002pt;margin-top:310.72998pt;width:424.05pt;height:89.2pt;mso-position-horizontal-relative:page;mso-position-vertical-relative:page;z-index:251665408" type="#_x0000_t202" filled="false" stroked="false">
            <v:textbox inset="0,0,0,0">
              <w:txbxContent>
                <w:tbl>
                  <w:tblPr>
                    <w:tblCellSpacing w:w="42" w:type="dxa"/>
                    <w:tblW w:w="0" w:type="auto"/>
                    <w:jc w:val="left"/>
                    <w:tblInd w:w="4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312"/>
                    <w:gridCol w:w="4169"/>
                  </w:tblGrid>
                  <w:tr>
                    <w:trPr>
                      <w:trHeight w:val="1134" w:hRule="atLeast"/>
                    </w:trPr>
                    <w:tc>
                      <w:tcPr>
                        <w:tcW w:w="4312" w:type="dxa"/>
                        <w:tcBorders>
                          <w:top w:val="nil"/>
                          <w:lef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06" w:lineRule="exact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Извършил анализа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Иван Туртуриков, MSc</w:t>
                        </w:r>
                      </w:p>
                    </w:tc>
                    <w:tc>
                      <w:tcPr>
                        <w:tcW w:w="4169" w:type="dxa"/>
                        <w:tcBorders>
                          <w:top w:val="nil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06" w:lineRule="exact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Ръководител сектор „Нутригенетика”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Таня Кадийска, дб</w:t>
                        </w:r>
                      </w:p>
                    </w:tc>
                  </w:tr>
                  <w:tr>
                    <w:trPr>
                      <w:trHeight w:val="395" w:hRule="atLeast"/>
                    </w:trPr>
                    <w:tc>
                      <w:tcPr>
                        <w:tcW w:w="4312" w:type="dxa"/>
                        <w:tcBorders>
                          <w:left w:val="nil"/>
                          <w:bottom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28" w:lineRule="exact"/>
                          <w:ind w:left="1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Насочващ лекар: Д-р Тестов</w:t>
                        </w:r>
                      </w:p>
                    </w:tc>
                    <w:tc>
                      <w:tcPr>
                        <w:tcW w:w="4169" w:type="dxa"/>
                        <w:tcBorders>
                          <w:bottom w:val="nil"/>
                          <w:right w:val="nil"/>
                        </w:tcBorders>
                        <w:shd w:val="clear" w:color="auto" w:fill="CCC0D9"/>
                      </w:tcPr>
                      <w:p>
                        <w:pPr>
                          <w:pStyle w:val="TableParagraph"/>
                          <w:ind w:left="0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drawing>
          <wp:inline distT="0" distB="0" distL="0" distR="0">
            <wp:extent cx="1956230" cy="48005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30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6"/>
          <w:sz w:val="20"/>
        </w:rPr>
        <w:drawing>
          <wp:inline distT="0" distB="0" distL="0" distR="0">
            <wp:extent cx="1764458" cy="44348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458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</w:p>
    <w:p>
      <w:pPr>
        <w:spacing w:line="240" w:lineRule="auto" w:before="6"/>
        <w:rPr>
          <w:sz w:val="19"/>
        </w:rPr>
      </w:pPr>
      <w:r>
        <w:rPr/>
        <w:pict>
          <v:group style="position:absolute;margin-left:36.480pt;margin-top:13.2pt;width:516.6pt;height:.5pt;mso-position-horizontal-relative:page;mso-position-vertical-relative:paragraph;z-index:-251658240;mso-wrap-distance-left:0;mso-wrap-distance-right:0" coordorigin="730,264" coordsize="10332,10">
            <v:line style="position:absolute" from="730,269" to="5634,269" stroked="true" strokeweight=".48pt" strokecolor="#000000">
              <v:stroke dashstyle="solid"/>
            </v:line>
            <v:rect style="position:absolute;left:5619;top:264;width:10;height:10" filled="true" fillcolor="#000000" stroked="false">
              <v:fill type="solid"/>
            </v:rect>
            <v:line style="position:absolute" from="5629,269" to="11062,269" stroked="true" strokeweight=".48pt" strokecolor="#000000">
              <v:stroke dashstyle="solid"/>
            </v:lin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7"/>
        </w:rPr>
      </w:pPr>
    </w:p>
    <w:p>
      <w:pPr>
        <w:spacing w:before="84"/>
        <w:ind w:left="1784" w:right="2545" w:firstLine="0"/>
        <w:jc w:val="center"/>
        <w:rPr>
          <w:b/>
          <w:sz w:val="40"/>
        </w:rPr>
      </w:pPr>
      <w:r>
        <w:rPr>
          <w:b/>
          <w:color w:val="5F4879"/>
          <w:sz w:val="40"/>
        </w:rPr>
        <w:t>Резултат от ДНК анализ</w:t>
      </w:r>
    </w:p>
    <w:p>
      <w:pPr>
        <w:spacing w:before="268"/>
        <w:ind w:left="1784" w:right="2547" w:firstLine="0"/>
        <w:jc w:val="center"/>
        <w:rPr>
          <w:b/>
          <w:sz w:val="32"/>
        </w:rPr>
      </w:pPr>
      <w:r>
        <w:rPr/>
        <w:pict>
          <v:group style="position:absolute;margin-left:41.549999pt;margin-top:70.007507pt;width:505.5pt;height:247.4pt;mso-position-horizontal-relative:page;mso-position-vertical-relative:paragraph;z-index:251660288" coordorigin="831,1400" coordsize="10110,4948">
            <v:shape style="position:absolute;left:851;top:1420;width:10070;height:4908" coordorigin="851,1420" coordsize="10070,4908" path="m10763,1420l1009,1420,948,1433,897,1466,863,1517,851,1578,851,6170,863,6232,897,6282,948,6316,1009,6328,10763,6328,10824,6316,10875,6282,10909,6232,10921,6170,10921,1578,10909,1517,10875,1466,10824,1433,10763,1420xe" filled="true" fillcolor="#8063a1" stroked="false">
              <v:path arrowok="t"/>
              <v:fill type="solid"/>
            </v:shape>
            <v:shape style="position:absolute;left:851;top:1420;width:10070;height:4908" coordorigin="851,1420" coordsize="10070,4908" path="m851,1578l863,1517,897,1466,948,1433,1009,1420,10763,1420,10824,1433,10875,1466,10909,1517,10921,1578,10921,6170,10909,6232,10875,6282,10824,6316,10763,6328,1009,6328,948,6316,897,6282,863,6232,851,6170,851,1578xe" filled="false" stroked="true" strokeweight="2pt" strokecolor="#5c4676">
              <v:path arrowok="t"/>
              <v:stroke dashstyle="solid"/>
            </v:shape>
            <v:shape style="position:absolute;left:1483;top:1485;width:9352;height:4777" coordorigin="1484,1486" coordsize="9352,4777" path="m10835,1486l1484,1486,1484,1628,1484,6263,1570,6263,10749,6263,10835,6263,10835,1628,10835,1486e" filled="true" fillcolor="#ccc0d9" stroked="false">
              <v:path arrowok="t"/>
              <v:fill type="solid"/>
            </v:shape>
            <v:shape style="position:absolute;left:1570;top:1637;width:825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Пациент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5.075954pt;margin-top:109.05751pt;width:14.25pt;height:120.45pt;mso-position-horizontal-relative:page;mso-position-vertical-relative:paragraph;z-index:251663360" type="#_x0000_t202" filled="false" stroked="false">
            <v:textbox inset="0,0,0,0" style="layout-flow:vertical">
              <w:txbxContent>
                <w:p>
                  <w:pPr>
                    <w:pStyle w:val="BodyText"/>
                    <w:spacing w:before="11"/>
                    <w:ind w:left="2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color w:val="FFFFFF"/>
                    </w:rPr>
                    <w:t>Информация за пациента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2.704002pt;margin-top:98.297508pt;width:450.55pt;height:64pt;mso-position-horizontal-relative:page;mso-position-vertical-relative:paragraph;z-index:251664384" type="#_x0000_t202" filled="false" stroked="false">
            <v:textbox inset="0,0,0,0">
              <w:txbxContent>
                <w:tbl>
                  <w:tblPr>
                    <w:tblCellSpacing w:w="42" w:type="dxa"/>
                    <w:tblW w:w="0" w:type="auto"/>
                    <w:jc w:val="left"/>
                    <w:tblInd w:w="4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28"/>
                    <w:gridCol w:w="1947"/>
                    <w:gridCol w:w="2836"/>
                  </w:tblGrid>
                  <w:tr>
                    <w:trPr>
                      <w:trHeight w:val="398" w:hRule="atLeast"/>
                    </w:trPr>
                    <w:tc>
                      <w:tcPr>
                        <w:tcW w:w="4228" w:type="dxa"/>
                        <w:tcBorders>
                          <w:top w:val="nil"/>
                          <w:lef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06" w:lineRule="exact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Име, Презиме и Фамилия</w:t>
                        </w:r>
                      </w:p>
                      <w:p>
                        <w:pPr>
                          <w:pStyle w:val="TableParagraph"/>
                          <w:spacing w:line="256" w:lineRule="exact"/>
                          <w:ind w:left="10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Тест Тестов</w:t>
                        </w:r>
                      </w:p>
                    </w:tc>
                    <w:tc>
                      <w:tcPr>
                        <w:tcW w:w="1947" w:type="dxa"/>
                        <w:tcBorders>
                          <w:top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06" w:lineRule="exact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 на раждане</w:t>
                        </w:r>
                      </w:p>
                      <w:p>
                        <w:pPr>
                          <w:pStyle w:val="TableParagraph"/>
                          <w:spacing w:line="256" w:lineRule="exact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26.04.2022 г.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nil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06" w:lineRule="exact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Идентификационен номер</w:t>
                        </w:r>
                      </w:p>
                      <w:p>
                        <w:pPr>
                          <w:pStyle w:val="TableParagraph"/>
                          <w:spacing w:line="256" w:lineRule="exact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CC ХХХХ</w:t>
                        </w:r>
                      </w:p>
                    </w:tc>
                  </w:tr>
                  <w:tr>
                    <w:trPr>
                      <w:trHeight w:val="628" w:hRule="atLeast"/>
                    </w:trPr>
                    <w:tc>
                      <w:tcPr>
                        <w:tcW w:w="4228" w:type="dxa"/>
                        <w:tcBorders>
                          <w:left w:val="nil"/>
                          <w:bottom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06" w:lineRule="exact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Поръчка за анализ: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108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Панел „Метаболизъм и Развитие”</w:t>
                        </w:r>
                      </w:p>
                    </w:tc>
                    <w:tc>
                      <w:tcPr>
                        <w:tcW w:w="1947" w:type="dxa"/>
                        <w:tcBorders>
                          <w:bottom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ind w:left="878" w:hanging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Материал: Получен:</w:t>
                        </w:r>
                      </w:p>
                    </w:tc>
                    <w:tc>
                      <w:tcPr>
                        <w:tcW w:w="2836" w:type="dxa"/>
                        <w:tcBorders>
                          <w:bottom w:val="nil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51" w:lineRule="exact"/>
                          <w:ind w:left="1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Венозна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кръв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01.01.2025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г.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5F4879"/>
          <w:sz w:val="32"/>
        </w:rPr>
        <w:t>Генетичен панел „Метаболизъм и Развитие”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 w:after="0"/>
        <w:rPr>
          <w:b/>
          <w:sz w:val="18"/>
        </w:rPr>
      </w:pPr>
    </w:p>
    <w:tbl>
      <w:tblPr>
        <w:tblW w:w="0" w:type="auto"/>
        <w:jc w:val="left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"/>
        <w:gridCol w:w="9429"/>
      </w:tblGrid>
      <w:tr>
        <w:trPr>
          <w:trHeight w:val="2689" w:hRule="atLeast"/>
        </w:trPr>
        <w:tc>
          <w:tcPr>
            <w:tcW w:w="472" w:type="dxa"/>
            <w:tcBorders>
              <w:left w:val="single" w:sz="34" w:space="0" w:color="5C4676"/>
            </w:tcBorders>
            <w:textDirection w:val="tbRl"/>
          </w:tcPr>
          <w:p>
            <w:pPr>
              <w:pStyle w:val="TableParagraph"/>
              <w:spacing w:before="89"/>
              <w:ind w:left="762"/>
              <w:rPr>
                <w:sz w:val="22"/>
              </w:rPr>
            </w:pPr>
            <w:r>
              <w:rPr>
                <w:color w:val="FFFFFF"/>
                <w:sz w:val="22"/>
              </w:rPr>
              <w:t>Забележка!</w:t>
            </w:r>
          </w:p>
        </w:tc>
        <w:tc>
          <w:tcPr>
            <w:tcW w:w="9429" w:type="dxa"/>
            <w:shd w:val="clear" w:color="auto" w:fill="CCC0D9"/>
          </w:tcPr>
          <w:p>
            <w:pPr>
              <w:pStyle w:val="TableParagraph"/>
              <w:spacing w:before="187"/>
              <w:ind w:left="122" w:right="4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Генетичният анализ е помощно средство за лекарите-специалисти в областта на </w:t>
            </w:r>
            <w:r>
              <w:rPr>
                <w:i/>
                <w:sz w:val="24"/>
              </w:rPr>
              <w:t>здравословното хранене. Информацията по-долу е само ориентировъчна и не може да замени професионалната консултация с клиницист за назначаване на разнообразен режим на хранене и прием на хранителни добавки, съобразени с Вашите заболявания, пол, възраст, физическа активност и др.</w:t>
            </w:r>
          </w:p>
        </w:tc>
      </w:tr>
    </w:tbl>
    <w:p>
      <w:pPr>
        <w:spacing w:after="0"/>
        <w:jc w:val="both"/>
        <w:rPr>
          <w:sz w:val="24"/>
        </w:rPr>
        <w:sectPr>
          <w:footerReference w:type="default" r:id="rId5"/>
          <w:type w:val="continuous"/>
          <w:pgSz w:w="11910" w:h="16840"/>
          <w:pgMar w:footer="963" w:top="260" w:bottom="1160" w:left="620" w:right="420"/>
          <w:pgNumType w:start="1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 w:after="1"/>
        <w:rPr>
          <w:b/>
          <w:sz w:val="21"/>
        </w:rPr>
      </w:pPr>
    </w:p>
    <w:tbl>
      <w:tblPr>
        <w:tblW w:w="0" w:type="auto"/>
        <w:jc w:val="left"/>
        <w:tblInd w:w="264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"/>
        <w:gridCol w:w="9429"/>
        <w:gridCol w:w="515"/>
      </w:tblGrid>
      <w:tr>
        <w:trPr>
          <w:trHeight w:val="815" w:hRule="atLeast"/>
        </w:trPr>
        <w:tc>
          <w:tcPr>
            <w:tcW w:w="525" w:type="dxa"/>
            <w:tcBorders>
              <w:righ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429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39"/>
              <w:ind w:left="3165" w:right="2391"/>
              <w:jc w:val="center"/>
              <w:rPr>
                <w:sz w:val="40"/>
              </w:rPr>
            </w:pPr>
            <w:r>
              <w:rPr>
                <w:sz w:val="40"/>
              </w:rPr>
              <w:t>ИЗСЛЕДВАНИ ГЕНИ</w:t>
            </w:r>
          </w:p>
        </w:tc>
        <w:tc>
          <w:tcPr>
            <w:tcW w:w="515" w:type="dxa"/>
            <w:tcBorders>
              <w:lef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spacing w:line="240" w:lineRule="auto" w:before="5" w:after="0"/>
        <w:rPr>
          <w:b/>
          <w:sz w:val="20"/>
        </w:rPr>
      </w:pPr>
    </w:p>
    <w:tbl>
      <w:tblPr>
        <w:tblW w:w="0" w:type="auto"/>
        <w:jc w:val="left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2"/>
        <w:gridCol w:w="1703"/>
        <w:gridCol w:w="2161"/>
        <w:gridCol w:w="1986"/>
        <w:gridCol w:w="2521"/>
      </w:tblGrid>
      <w:tr>
        <w:trPr>
          <w:trHeight w:val="230" w:hRule="atLeast"/>
        </w:trPr>
        <w:tc>
          <w:tcPr>
            <w:tcW w:w="1952" w:type="dxa"/>
            <w:shd w:val="clear" w:color="auto" w:fill="B1A0C6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Полиморфизъм</w:t>
            </w:r>
          </w:p>
        </w:tc>
        <w:tc>
          <w:tcPr>
            <w:tcW w:w="1703" w:type="dxa"/>
            <w:shd w:val="clear" w:color="auto" w:fill="B1A0C6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Ген</w:t>
            </w:r>
          </w:p>
        </w:tc>
        <w:tc>
          <w:tcPr>
            <w:tcW w:w="2161" w:type="dxa"/>
            <w:shd w:val="clear" w:color="auto" w:fill="B1A0C6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Вариант</w:t>
            </w:r>
          </w:p>
        </w:tc>
        <w:tc>
          <w:tcPr>
            <w:tcW w:w="1986" w:type="dxa"/>
            <w:shd w:val="clear" w:color="auto" w:fill="B1A0C6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Генотип</w:t>
            </w:r>
          </w:p>
        </w:tc>
        <w:tc>
          <w:tcPr>
            <w:tcW w:w="2521" w:type="dxa"/>
            <w:shd w:val="clear" w:color="auto" w:fill="B1A0C6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Резултат *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RS4680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COMT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c.472G&gt;A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G/А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RS1800497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6"/>
              <w:jc w:val="center"/>
              <w:rPr>
                <w:sz w:val="20"/>
              </w:rPr>
            </w:pPr>
            <w:r>
              <w:rPr>
                <w:sz w:val="20"/>
              </w:rPr>
              <w:t>DRD2/ANKK1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c.2137G&gt;A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G/G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RS1799836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8" w:right="196"/>
              <w:jc w:val="center"/>
              <w:rPr>
                <w:sz w:val="20"/>
              </w:rPr>
            </w:pPr>
            <w:r>
              <w:rPr>
                <w:sz w:val="20"/>
              </w:rPr>
              <w:t>MAOB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c.1348-36A&gt;G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0"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RS1800532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TPH1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c.803+221C&gt;A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1"/>
              <w:jc w:val="center"/>
              <w:rPr>
                <w:sz w:val="20"/>
              </w:rPr>
            </w:pPr>
            <w:r>
              <w:rPr>
                <w:sz w:val="20"/>
              </w:rPr>
              <w:t>С/А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RS6323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MAOA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c.891G&gt;T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0"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5-HTTLPR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9" w:right="196"/>
              <w:jc w:val="center"/>
              <w:rPr>
                <w:sz w:val="20"/>
              </w:rPr>
            </w:pPr>
            <w:r>
              <w:rPr>
                <w:sz w:val="20"/>
              </w:rPr>
              <w:t>SLC6A4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5-HTTLPR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1"/>
              <w:jc w:val="center"/>
              <w:rPr>
                <w:sz w:val="20"/>
              </w:rPr>
            </w:pPr>
            <w:r>
              <w:rPr>
                <w:sz w:val="20"/>
              </w:rPr>
              <w:t>L/L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RS6265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8" w:right="196"/>
              <w:jc w:val="center"/>
              <w:rPr>
                <w:sz w:val="20"/>
              </w:rPr>
            </w:pPr>
            <w:r>
              <w:rPr>
                <w:sz w:val="20"/>
              </w:rPr>
              <w:t>BDNF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c.196G&gt;A (Val66Met)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G/G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RS4654748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7" w:right="196"/>
              <w:jc w:val="center"/>
              <w:rPr>
                <w:sz w:val="20"/>
              </w:rPr>
            </w:pPr>
            <w:r>
              <w:rPr>
                <w:sz w:val="20"/>
              </w:rPr>
              <w:t>NBPF3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c.134-3113C&gt;T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1"/>
              <w:jc w:val="center"/>
              <w:rPr>
                <w:sz w:val="20"/>
              </w:rPr>
            </w:pPr>
            <w:r>
              <w:rPr>
                <w:sz w:val="20"/>
              </w:rPr>
              <w:t>T/T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RS1801133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6"/>
              <w:jc w:val="center"/>
              <w:rPr>
                <w:sz w:val="20"/>
              </w:rPr>
            </w:pPr>
            <w:r>
              <w:rPr>
                <w:sz w:val="20"/>
              </w:rPr>
              <w:t>MTHFR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c.677C&gt;T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C/T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RS1801131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6"/>
              <w:jc w:val="center"/>
              <w:rPr>
                <w:sz w:val="20"/>
              </w:rPr>
            </w:pPr>
            <w:r>
              <w:rPr>
                <w:sz w:val="20"/>
              </w:rPr>
              <w:t>MTHFR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c.1298A&gt;C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A/A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RS1805087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MTR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c.2756A&gt;G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A/A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RS1801394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9" w:right="196"/>
              <w:jc w:val="center"/>
              <w:rPr>
                <w:sz w:val="20"/>
              </w:rPr>
            </w:pPr>
            <w:r>
              <w:rPr>
                <w:sz w:val="20"/>
              </w:rPr>
              <w:t>MTRR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6" w:right="137"/>
              <w:jc w:val="center"/>
              <w:rPr>
                <w:sz w:val="20"/>
              </w:rPr>
            </w:pPr>
            <w:r>
              <w:rPr>
                <w:sz w:val="20"/>
              </w:rPr>
              <w:t>c.66A&gt;G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A/A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RS602662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6"/>
              <w:jc w:val="center"/>
              <w:rPr>
                <w:sz w:val="20"/>
              </w:rPr>
            </w:pPr>
            <w:r>
              <w:rPr>
                <w:sz w:val="20"/>
              </w:rPr>
              <w:t>FUT2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c.772G&gt;A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A/A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29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RS1801198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9" w:right="196"/>
              <w:jc w:val="center"/>
              <w:rPr>
                <w:sz w:val="20"/>
              </w:rPr>
            </w:pPr>
            <w:r>
              <w:rPr>
                <w:sz w:val="20"/>
              </w:rPr>
              <w:t>TCN2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c.776G&gt;C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G/C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RS2228570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VDR FokI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6" w:right="137"/>
              <w:jc w:val="center"/>
              <w:rPr>
                <w:sz w:val="20"/>
              </w:rPr>
            </w:pPr>
            <w:r>
              <w:rPr>
                <w:sz w:val="20"/>
              </w:rPr>
              <w:t>c.2T&gt;C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T/C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RS3733890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BHMT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c.716G&gt;A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G/A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RS1979277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7" w:right="196"/>
              <w:jc w:val="center"/>
              <w:rPr>
                <w:sz w:val="20"/>
              </w:rPr>
            </w:pPr>
            <w:r>
              <w:rPr>
                <w:sz w:val="20"/>
              </w:rPr>
              <w:t>SHMT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c.1420C&gt;T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C/T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RS13043752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8" w:right="196"/>
              <w:jc w:val="center"/>
              <w:rPr>
                <w:sz w:val="20"/>
              </w:rPr>
            </w:pPr>
            <w:r>
              <w:rPr>
                <w:sz w:val="20"/>
              </w:rPr>
              <w:t>AHCY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c.112C&gt;T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C/C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RS234706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CBS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c.699C&gt;T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1"/>
              <w:jc w:val="center"/>
              <w:rPr>
                <w:sz w:val="20"/>
              </w:rPr>
            </w:pPr>
            <w:r>
              <w:rPr>
                <w:sz w:val="20"/>
              </w:rPr>
              <w:t>T/T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+/+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RS1801181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CBS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c.1080C&gt;T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C/C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RS1050450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9" w:right="196"/>
              <w:jc w:val="center"/>
              <w:rPr>
                <w:sz w:val="20"/>
              </w:rPr>
            </w:pPr>
            <w:r>
              <w:rPr>
                <w:sz w:val="20"/>
              </w:rPr>
              <w:t>GPX1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c.599C&gt;T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C/Т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RS1799983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NOS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c.894T&gt;G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1"/>
              <w:jc w:val="center"/>
              <w:rPr>
                <w:sz w:val="20"/>
              </w:rPr>
            </w:pPr>
            <w:r>
              <w:rPr>
                <w:sz w:val="20"/>
              </w:rPr>
              <w:t>Т/G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RS4880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199" w:right="196"/>
              <w:jc w:val="center"/>
              <w:rPr>
                <w:sz w:val="20"/>
              </w:rPr>
            </w:pPr>
            <w:r>
              <w:rPr>
                <w:sz w:val="20"/>
              </w:rPr>
              <w:t>SOD2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6" w:right="137"/>
              <w:jc w:val="center"/>
              <w:rPr>
                <w:sz w:val="20"/>
              </w:rPr>
            </w:pPr>
            <w:r>
              <w:rPr>
                <w:sz w:val="20"/>
              </w:rPr>
              <w:t>c.47T&gt;C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T/C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RS1695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GSTP1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c.313A&gt;G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A/G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RS1495741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6"/>
              <w:jc w:val="center"/>
              <w:rPr>
                <w:sz w:val="20"/>
              </w:rPr>
            </w:pPr>
            <w:r>
              <w:rPr>
                <w:sz w:val="20"/>
              </w:rPr>
              <w:t>NAT2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g.18415371G&gt;A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G/A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6"/>
              <w:jc w:val="center"/>
              <w:rPr>
                <w:sz w:val="20"/>
              </w:rPr>
            </w:pPr>
            <w:r>
              <w:rPr>
                <w:sz w:val="20"/>
              </w:rPr>
              <w:t>Междинен метаболизатор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RS7946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0" w:right="196"/>
              <w:jc w:val="center"/>
              <w:rPr>
                <w:sz w:val="20"/>
              </w:rPr>
            </w:pPr>
            <w:r>
              <w:rPr>
                <w:sz w:val="20"/>
              </w:rPr>
              <w:t>PEMT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c.568G&gt;A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G/A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RS2052129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DAO/AOC1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c.-691G&gt;T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0" w:right="612"/>
              <w:jc w:val="center"/>
              <w:rPr>
                <w:sz w:val="20"/>
              </w:rPr>
            </w:pPr>
            <w:r>
              <w:rPr>
                <w:sz w:val="20"/>
              </w:rPr>
              <w:t>G/G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RS10156191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DAO/AOC1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7" w:right="137"/>
              <w:jc w:val="center"/>
              <w:rPr>
                <w:sz w:val="20"/>
              </w:rPr>
            </w:pPr>
            <w:r>
              <w:rPr>
                <w:sz w:val="20"/>
              </w:rPr>
              <w:t>c.47C&gt;T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09" w:right="612"/>
              <w:jc w:val="center"/>
              <w:rPr>
                <w:sz w:val="20"/>
              </w:rPr>
            </w:pPr>
            <w:r>
              <w:rPr>
                <w:sz w:val="20"/>
              </w:rPr>
              <w:t>C/Т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RS1049742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DAO/AOC1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c.995C&gt;T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C/C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  <w:tr>
        <w:trPr>
          <w:trHeight w:val="230" w:hRule="atLeast"/>
        </w:trPr>
        <w:tc>
          <w:tcPr>
            <w:tcW w:w="1952" w:type="dxa"/>
            <w:shd w:val="clear" w:color="auto" w:fill="E4DFEB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RS11558538</w:t>
            </w:r>
          </w:p>
        </w:tc>
        <w:tc>
          <w:tcPr>
            <w:tcW w:w="1703" w:type="dxa"/>
            <w:shd w:val="clear" w:color="auto" w:fill="E4DFEB"/>
          </w:tcPr>
          <w:p>
            <w:pPr>
              <w:pStyle w:val="TableParagraph"/>
              <w:spacing w:line="210" w:lineRule="exact"/>
              <w:ind w:left="201" w:right="195"/>
              <w:jc w:val="center"/>
              <w:rPr>
                <w:sz w:val="20"/>
              </w:rPr>
            </w:pPr>
            <w:r>
              <w:rPr>
                <w:sz w:val="20"/>
              </w:rPr>
              <w:t>HNMT</w:t>
            </w:r>
          </w:p>
        </w:tc>
        <w:tc>
          <w:tcPr>
            <w:tcW w:w="2161" w:type="dxa"/>
            <w:shd w:val="clear" w:color="auto" w:fill="E4DFEB"/>
          </w:tcPr>
          <w:p>
            <w:pPr>
              <w:pStyle w:val="TableParagraph"/>
              <w:spacing w:line="210" w:lineRule="exact"/>
              <w:ind w:left="138" w:right="137"/>
              <w:jc w:val="center"/>
              <w:rPr>
                <w:sz w:val="20"/>
              </w:rPr>
            </w:pPr>
            <w:r>
              <w:rPr>
                <w:sz w:val="20"/>
              </w:rPr>
              <w:t>c.314C&gt;T</w:t>
            </w:r>
          </w:p>
        </w:tc>
        <w:tc>
          <w:tcPr>
            <w:tcW w:w="1986" w:type="dxa"/>
            <w:shd w:val="clear" w:color="auto" w:fill="E4DFEB"/>
          </w:tcPr>
          <w:p>
            <w:pPr>
              <w:pStyle w:val="TableParagraph"/>
              <w:spacing w:line="210" w:lineRule="exact"/>
              <w:ind w:left="611" w:right="612"/>
              <w:jc w:val="center"/>
              <w:rPr>
                <w:sz w:val="20"/>
              </w:rPr>
            </w:pPr>
            <w:r>
              <w:rPr>
                <w:sz w:val="20"/>
              </w:rPr>
              <w:t>C/C</w:t>
            </w:r>
          </w:p>
        </w:tc>
        <w:tc>
          <w:tcPr>
            <w:tcW w:w="2521" w:type="dxa"/>
            <w:shd w:val="clear" w:color="auto" w:fill="E4DFEB"/>
          </w:tcPr>
          <w:p>
            <w:pPr>
              <w:pStyle w:val="TableParagraph"/>
              <w:spacing w:line="210" w:lineRule="exact"/>
              <w:ind w:left="123" w:right="123"/>
              <w:jc w:val="center"/>
              <w:rPr>
                <w:sz w:val="20"/>
              </w:rPr>
            </w:pPr>
            <w:r>
              <w:rPr>
                <w:sz w:val="20"/>
              </w:rPr>
              <w:t>-/-</w:t>
            </w:r>
          </w:p>
        </w:tc>
      </w:tr>
    </w:tbl>
    <w:p>
      <w:pPr>
        <w:spacing w:line="240" w:lineRule="auto" w:before="7"/>
        <w:rPr>
          <w:b/>
          <w:sz w:val="14"/>
        </w:rPr>
      </w:pPr>
    </w:p>
    <w:p>
      <w:pPr>
        <w:spacing w:line="252" w:lineRule="exact" w:before="101"/>
        <w:ind w:left="373" w:right="0" w:firstLine="0"/>
        <w:jc w:val="left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* легенда</w:t>
      </w:r>
    </w:p>
    <w:p>
      <w:pPr>
        <w:pStyle w:val="BodyText"/>
        <w:spacing w:line="252" w:lineRule="exact"/>
        <w:ind w:left="373"/>
      </w:pPr>
      <w:r>
        <w:rPr>
          <w:b/>
        </w:rPr>
        <w:t>+/+ </w:t>
      </w:r>
      <w:r>
        <w:rPr/>
        <w:t>хомозиготен носител по изследвания вариант</w:t>
      </w:r>
    </w:p>
    <w:p>
      <w:pPr>
        <w:pStyle w:val="BodyText"/>
        <w:spacing w:line="252" w:lineRule="exact"/>
        <w:ind w:left="373"/>
      </w:pPr>
      <w:r>
        <w:rPr>
          <w:b/>
        </w:rPr>
        <w:t>+/- </w:t>
      </w:r>
      <w:r>
        <w:rPr/>
        <w:t>хетерозиготен носител по изследвания вариант</w:t>
      </w:r>
    </w:p>
    <w:p>
      <w:pPr>
        <w:pStyle w:val="BodyText"/>
        <w:spacing w:line="252" w:lineRule="exact"/>
        <w:ind w:left="373"/>
      </w:pPr>
      <w:r>
        <w:rPr>
          <w:b/>
        </w:rPr>
        <w:t>-/- </w:t>
      </w:r>
      <w:r>
        <w:rPr/>
        <w:t>нормален хомозиготен носител (див тип)</w:t>
      </w:r>
    </w:p>
    <w:p>
      <w:pPr>
        <w:spacing w:after="0" w:line="252" w:lineRule="exact"/>
        <w:sectPr>
          <w:headerReference w:type="default" r:id="rId8"/>
          <w:footerReference w:type="default" r:id="rId9"/>
          <w:pgSz w:w="11910" w:h="16840"/>
          <w:pgMar w:header="269" w:footer="932" w:top="1300" w:bottom="1120" w:left="620" w:right="420"/>
          <w:pgNumType w:start="2"/>
        </w:sectPr>
      </w:pPr>
    </w:p>
    <w:p>
      <w:pPr>
        <w:pStyle w:val="BodyText"/>
        <w:spacing w:before="2"/>
        <w:rPr>
          <w:sz w:val="21"/>
        </w:rPr>
      </w:pPr>
      <w:r>
        <w:rPr/>
        <w:pict>
          <v:shape style="position:absolute;margin-left:42.549999pt;margin-top:78.779984pt;width:511.5pt;height:44.45pt;mso-position-horizontal-relative:page;mso-position-vertical-relative:page;z-index:-253431808" coordorigin="851,1576" coordsize="10230,889" path="m11052,1576l880,1576,868,1578,859,1584,853,1593,851,1604,851,2436,853,2447,859,2456,868,2462,880,2465,11052,2465,11064,2462,11073,2456,11079,2447,11081,2436,11081,1604,11079,1593,11073,1584,11064,1578,11052,1576xe" filled="true" fillcolor="#8063a1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281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"/>
        <w:gridCol w:w="9530"/>
        <w:gridCol w:w="423"/>
      </w:tblGrid>
      <w:tr>
        <w:trPr>
          <w:trHeight w:val="828" w:hRule="atLeast"/>
        </w:trPr>
        <w:tc>
          <w:tcPr>
            <w:tcW w:w="277" w:type="dxa"/>
            <w:tcBorders>
              <w:left w:val="single" w:sz="34" w:space="0" w:color="5C4676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38"/>
              <w:ind w:left="121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before="2"/>
              <w:ind w:left="121"/>
              <w:rPr>
                <w:b/>
                <w:sz w:val="28"/>
              </w:rPr>
            </w:pPr>
            <w:r>
              <w:rPr>
                <w:b/>
                <w:sz w:val="28"/>
              </w:rPr>
              <w:t>Невромедиация - Метаболизъм на допамин</w:t>
            </w:r>
          </w:p>
        </w:tc>
        <w:tc>
          <w:tcPr>
            <w:tcW w:w="423" w:type="dxa"/>
            <w:tcBorders>
              <w:left w:val="nil"/>
              <w:right w:val="single" w:sz="34" w:space="0" w:color="5C4676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9"/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8522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Kатехол-O-метилтрансфераза (COMT)</w:t>
            </w:r>
          </w:p>
        </w:tc>
      </w:tr>
      <w:tr>
        <w:trPr>
          <w:trHeight w:val="1610" w:hRule="atLeast"/>
        </w:trPr>
        <w:tc>
          <w:tcPr>
            <w:tcW w:w="1676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84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522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3"/>
              <w:jc w:val="both"/>
              <w:rPr>
                <w:sz w:val="20"/>
              </w:rPr>
            </w:pPr>
            <w:r>
              <w:rPr>
                <w:sz w:val="20"/>
              </w:rPr>
              <w:t>Kатехол-O-метилтрансфераза (COMT) е ензим, участващ в инактивацията на катехоламините (допамин, епинефрин, норепинефрин), естрогени, катехолови лекарства като L-допа, биофлавоноидни вещества и някои токсини. Изменения в COMT се асоциират с повишен риск  за развитие на невропсихиатрични състояния, нарушен естрогенов метаболизъм, увеличена чувствителност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към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болка,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високи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нива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допамин,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адреналин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норадреналин.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Изследваният</w:t>
            </w:r>
          </w:p>
          <w:p>
            <w:pPr>
              <w:pStyle w:val="TableParagraph"/>
              <w:spacing w:line="230" w:lineRule="exact" w:before="2"/>
              <w:ind w:left="100" w:right="105"/>
              <w:jc w:val="both"/>
              <w:rPr>
                <w:sz w:val="20"/>
              </w:rPr>
            </w:pPr>
            <w:r>
              <w:rPr>
                <w:sz w:val="20"/>
              </w:rPr>
              <w:t>генетичен вариант в COMT гена води до намаляване на ензимната активност, забавяне на метаболизма на допамин, епинефрин и норепинефрин и излишък на метилови групи.</w:t>
            </w:r>
          </w:p>
        </w:tc>
      </w:tr>
      <w:tr>
        <w:trPr>
          <w:trHeight w:val="686" w:hRule="atLeast"/>
        </w:trPr>
        <w:tc>
          <w:tcPr>
            <w:tcW w:w="1676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30" w:lineRule="exact" w:before="1"/>
              <w:ind w:right="695"/>
              <w:rPr>
                <w:b/>
                <w:sz w:val="20"/>
              </w:rPr>
            </w:pPr>
            <w:r>
              <w:rPr>
                <w:b/>
                <w:sz w:val="20"/>
              </w:rPr>
              <w:t>COMT c.472G&gt;A</w:t>
            </w:r>
          </w:p>
        </w:tc>
        <w:tc>
          <w:tcPr>
            <w:tcW w:w="8522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8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ind w:left="4052" w:right="40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G/A</w:t>
            </w:r>
          </w:p>
        </w:tc>
      </w:tr>
      <w:tr>
        <w:trPr>
          <w:trHeight w:val="459" w:hRule="atLeast"/>
        </w:trPr>
        <w:tc>
          <w:tcPr>
            <w:tcW w:w="1676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522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exact" w:before="1"/>
              <w:ind w:left="1084" w:hanging="644"/>
              <w:rPr>
                <w:b/>
                <w:sz w:val="20"/>
              </w:rPr>
            </w:pPr>
            <w:r>
              <w:rPr>
                <w:b/>
                <w:sz w:val="20"/>
              </w:rPr>
              <w:t>Този генотип се свързва с нормална ензимна активност и нормално разграждане на биогенни амини - допамин, адреналин, норадреналин, естрогени и др.</w:t>
            </w:r>
          </w:p>
        </w:tc>
      </w:tr>
    </w:tbl>
    <w:p>
      <w:pPr>
        <w:pStyle w:val="BodyText"/>
        <w:spacing w:before="10"/>
        <w:rPr>
          <w:sz w:val="24"/>
        </w:rPr>
      </w:pPr>
    </w:p>
    <w:tbl>
      <w:tblPr>
        <w:tblW w:w="0" w:type="auto"/>
        <w:jc w:val="left"/>
        <w:tblInd w:w="24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8522"/>
      </w:tblGrid>
      <w:tr>
        <w:trPr>
          <w:trHeight w:val="346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ind w:left="2614" w:right="26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Допаминов рецептор D2 (DRD2)</w:t>
            </w:r>
          </w:p>
        </w:tc>
      </w:tr>
      <w:tr>
        <w:trPr>
          <w:trHeight w:val="1604" w:hRule="atLeast"/>
        </w:trPr>
        <w:tc>
          <w:tcPr>
            <w:tcW w:w="1676" w:type="dxa"/>
            <w:tcBorders>
              <w:left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522" w:type="dxa"/>
            <w:tcBorders>
              <w:left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5"/>
              <w:jc w:val="both"/>
              <w:rPr>
                <w:sz w:val="20"/>
              </w:rPr>
            </w:pPr>
            <w:r>
              <w:rPr>
                <w:sz w:val="20"/>
              </w:rPr>
              <w:t>Генът DRD2 кодира D2 субтип на допаминовия рецептор. Изследваният генетичен вариант е разположен в контролен регион на DRD2 гена и се асоциира с намален брой допаминови рецептори в мозъка. Също така има отношение към контрола на допаминовия синтез. Носителите на рисковия А-алел по-често злоупотребяват с алкохол, цигари и други пристрастяващи субстанции. Асоциира се често и с преяждане и наднормено тегло. Този ефект е</w:t>
            </w:r>
          </w:p>
          <w:p>
            <w:pPr>
              <w:pStyle w:val="TableParagraph"/>
              <w:spacing w:line="228" w:lineRule="exact" w:before="3"/>
              <w:ind w:left="100" w:right="114"/>
              <w:jc w:val="both"/>
              <w:rPr>
                <w:sz w:val="20"/>
              </w:rPr>
            </w:pPr>
            <w:r>
              <w:rPr>
                <w:sz w:val="20"/>
              </w:rPr>
              <w:t>резултат от слабото стимулиране на ограничения брой допаминови рецептори при носителство на рисковия алел A.</w:t>
            </w:r>
          </w:p>
        </w:tc>
      </w:tr>
      <w:tr>
        <w:trPr>
          <w:trHeight w:val="683" w:hRule="atLeast"/>
        </w:trPr>
        <w:tc>
          <w:tcPr>
            <w:tcW w:w="1676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30" w:lineRule="exact" w:before="3"/>
              <w:ind w:right="159"/>
              <w:rPr>
                <w:b/>
                <w:sz w:val="20"/>
              </w:rPr>
            </w:pPr>
            <w:r>
              <w:rPr>
                <w:b/>
                <w:sz w:val="20"/>
              </w:rPr>
              <w:t>DRD2 / ANKK1 c.2137G&gt;A</w:t>
            </w:r>
          </w:p>
        </w:tc>
        <w:tc>
          <w:tcPr>
            <w:tcW w:w="8522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5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ind w:left="4053" w:right="40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G/G</w:t>
            </w:r>
          </w:p>
        </w:tc>
      </w:tr>
      <w:tr>
        <w:trPr>
          <w:trHeight w:val="458" w:hRule="atLeast"/>
        </w:trPr>
        <w:tc>
          <w:tcPr>
            <w:tcW w:w="1676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522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exact" w:before="1"/>
              <w:ind w:left="3331" w:hanging="2737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G/G, което се свързва с нормален брой допаминови рецептори в мозъка.</w:t>
            </w:r>
          </w:p>
        </w:tc>
      </w:tr>
    </w:tbl>
    <w:p>
      <w:pPr>
        <w:pStyle w:val="BodyText"/>
        <w:spacing w:before="7" w:after="1"/>
        <w:rPr>
          <w:sz w:val="24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93"/>
      </w:tblGrid>
      <w:tr>
        <w:trPr>
          <w:trHeight w:val="230" w:hRule="atLeast"/>
        </w:trPr>
        <w:tc>
          <w:tcPr>
            <w:tcW w:w="10217" w:type="dxa"/>
            <w:gridSpan w:val="2"/>
            <w:tcBorders>
              <w:bottom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3675" w:right="36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Моноамин оксидаза В (MAOB)</w:t>
            </w:r>
          </w:p>
        </w:tc>
      </w:tr>
      <w:tr>
        <w:trPr>
          <w:trHeight w:val="1151" w:hRule="atLeast"/>
        </w:trPr>
        <w:tc>
          <w:tcPr>
            <w:tcW w:w="1724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2"/>
              <w:ind w:left="0"/>
              <w:rPr>
                <w:rFonts w:ascii="Arial Narrow"/>
                <w:sz w:val="18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100" w:right="126"/>
              <w:jc w:val="both"/>
              <w:rPr>
                <w:sz w:val="20"/>
              </w:rPr>
            </w:pPr>
            <w:r>
              <w:rPr>
                <w:sz w:val="20"/>
              </w:rPr>
              <w:t>Генът МАОВ (моноамин оксидаза В) се намира на Х-хромозомата и метаболизира преимуществено бензиламин и фенилетиламин. Ензимът МАОВ играе роля в разграждането на междинни продукти от метаболизма на хистамин и има подпомагаща функция в невромедиацията чрез участие в разграждането на допамин. Изменения в гена, кодиращ МАОВ се асоциират с нервно-психични състояния.</w:t>
            </w:r>
          </w:p>
        </w:tc>
      </w:tr>
      <w:tr>
        <w:trPr>
          <w:trHeight w:val="688" w:hRule="atLeast"/>
        </w:trPr>
        <w:tc>
          <w:tcPr>
            <w:tcW w:w="1724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Резултат за</w:t>
            </w:r>
          </w:p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MAOB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c.1348-36A&gt;G</w:t>
            </w:r>
          </w:p>
        </w:tc>
        <w:tc>
          <w:tcPr>
            <w:tcW w:w="8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0F0F1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ind w:left="0" w:right="2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G</w:t>
            </w:r>
          </w:p>
        </w:tc>
      </w:tr>
      <w:tr>
        <w:trPr>
          <w:trHeight w:val="461" w:hRule="atLeast"/>
        </w:trPr>
        <w:tc>
          <w:tcPr>
            <w:tcW w:w="1724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93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0F0F1"/>
          </w:tcPr>
          <w:p>
            <w:pPr>
              <w:pStyle w:val="TableParagraph"/>
              <w:spacing w:line="232" w:lineRule="exact" w:before="1"/>
              <w:ind w:left="3737" w:hanging="3210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носителство на нормален алел G, което се свързва с нормална ензимна активност.</w:t>
            </w:r>
          </w:p>
        </w:tc>
      </w:tr>
      <w:tr>
        <w:trPr>
          <w:trHeight w:val="291" w:hRule="atLeast"/>
        </w:trPr>
        <w:tc>
          <w:tcPr>
            <w:tcW w:w="10217" w:type="dxa"/>
            <w:gridSpan w:val="2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59" w:hRule="atLeast"/>
        </w:trPr>
        <w:tc>
          <w:tcPr>
            <w:tcW w:w="10217" w:type="dxa"/>
            <w:gridSpan w:val="2"/>
            <w:shd w:val="clear" w:color="auto" w:fill="C5D9F0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659" w:hRule="atLeast"/>
        </w:trPr>
        <w:tc>
          <w:tcPr>
            <w:tcW w:w="10217" w:type="dxa"/>
            <w:gridSpan w:val="2"/>
            <w:shd w:val="clear" w:color="auto" w:fill="C5D9F0"/>
          </w:tcPr>
          <w:p>
            <w:pPr>
              <w:pStyle w:val="TableParagraph"/>
              <w:spacing w:before="78"/>
              <w:ind w:right="105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изследваните варианти не се наблюдава риск от нарушение в метаболизма на допамин.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69" w:footer="932" w:top="1300" w:bottom="1120" w:left="620" w:right="420"/>
        </w:sectPr>
      </w:pP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265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"/>
        <w:gridCol w:w="9530"/>
        <w:gridCol w:w="385"/>
      </w:tblGrid>
      <w:tr>
        <w:trPr>
          <w:trHeight w:val="765" w:hRule="atLeast"/>
        </w:trPr>
        <w:tc>
          <w:tcPr>
            <w:tcW w:w="277" w:type="dxa"/>
            <w:tcBorders>
              <w:righ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38"/>
              <w:ind w:left="112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before="2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Невромедиация - Метаболизъм на серотонин</w:t>
            </w:r>
          </w:p>
        </w:tc>
        <w:tc>
          <w:tcPr>
            <w:tcW w:w="385" w:type="dxa"/>
            <w:tcBorders>
              <w:lef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24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8076"/>
      </w:tblGrid>
      <w:tr>
        <w:trPr>
          <w:trHeight w:val="226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07" w:lineRule="exact"/>
              <w:ind w:left="2614" w:right="26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Триптофан хидроксилаза (TPH1)</w:t>
            </w:r>
          </w:p>
        </w:tc>
      </w:tr>
      <w:tr>
        <w:trPr>
          <w:trHeight w:val="1378" w:hRule="atLeast"/>
        </w:trPr>
        <w:tc>
          <w:tcPr>
            <w:tcW w:w="2122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Arial Narrow"/>
                <w:sz w:val="27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076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Триптофан хидроксилаза (TPH) е ензим, който играе важна роля за синтезата на невротрасмитера серотонин. Изменения в гена, кодиращ ТРН се асоциират с нарушена регулация на серотониновия синтез и заболявания, свързани с дефицит на вниманието, импулсивно или агресивно поведение, безсъние, по-висока склонност към зависимости. Изследваният генетичен вариант в TPH1 гена играе роля в регулацията на производството</w:t>
            </w:r>
          </w:p>
          <w:p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на ензима.</w:t>
            </w:r>
          </w:p>
        </w:tc>
      </w:tr>
      <w:tr>
        <w:trPr>
          <w:trHeight w:val="456" w:hRule="atLeast"/>
        </w:trPr>
        <w:tc>
          <w:tcPr>
            <w:tcW w:w="2122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07" w:lineRule="exact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TPH1 c.803+221C&gt;A</w:t>
            </w:r>
          </w:p>
        </w:tc>
        <w:tc>
          <w:tcPr>
            <w:tcW w:w="8076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13"/>
              <w:ind w:left="197" w:right="1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C/A</w:t>
            </w:r>
          </w:p>
        </w:tc>
      </w:tr>
      <w:tr>
        <w:trPr>
          <w:trHeight w:val="441" w:hRule="atLeast"/>
        </w:trPr>
        <w:tc>
          <w:tcPr>
            <w:tcW w:w="2122" w:type="dxa"/>
            <w:tcBorders>
              <w:left w:val="nil"/>
              <w:bottom w:val="single" w:sz="48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076" w:type="dxa"/>
            <w:tcBorders>
              <w:left w:val="single" w:sz="4" w:space="0" w:color="FFFFFF"/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line="227" w:lineRule="exact"/>
              <w:ind w:left="197" w:right="2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C/A, който се свързва с леко намален серотонинов</w:t>
            </w:r>
          </w:p>
          <w:p>
            <w:pPr>
              <w:pStyle w:val="TableParagraph"/>
              <w:spacing w:line="194" w:lineRule="exact" w:before="1"/>
              <w:ind w:left="197" w:right="1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синтез.</w:t>
            </w:r>
          </w:p>
        </w:tc>
      </w:tr>
      <w:tr>
        <w:trPr>
          <w:trHeight w:val="214" w:hRule="atLeast"/>
        </w:trPr>
        <w:tc>
          <w:tcPr>
            <w:tcW w:w="10198" w:type="dxa"/>
            <w:gridSpan w:val="2"/>
            <w:tcBorders>
              <w:top w:val="single" w:sz="48" w:space="0" w:color="FFFFFF"/>
              <w:left w:val="nil"/>
              <w:bottom w:val="single" w:sz="4" w:space="0" w:color="FFFFFF"/>
              <w:right w:val="nil"/>
            </w:tcBorders>
            <w:shd w:val="clear" w:color="auto" w:fill="D9DBDC"/>
          </w:tcPr>
          <w:p>
            <w:pPr>
              <w:pStyle w:val="TableParagraph"/>
              <w:spacing w:line="195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Моноамин оксидаза А (MAOA)</w:t>
            </w:r>
          </w:p>
        </w:tc>
      </w:tr>
      <w:tr>
        <w:trPr>
          <w:trHeight w:val="1475" w:hRule="atLeast"/>
        </w:trPr>
        <w:tc>
          <w:tcPr>
            <w:tcW w:w="212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2"/>
              <w:ind w:left="0"/>
              <w:rPr>
                <w:rFonts w:ascii="Arial Narrow"/>
                <w:sz w:val="3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48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Генът МАОА (моноамин оксидаза А) се намира на Х-хромозомата и метаболизира биогенни амини като допамин, норепинефрин и серотонин. Основната му функция е свързана с разграждането на серотонина, който е важен при регулацията на невромедиацията. Изследваният генетичен вариант се асоциира с понижена ензимна активност и нарушение в нивата на серотонин, което може да доведе до депресивни състояния, агресивност, нарушение на съня и обсесивно-компулсивни състояния.</w:t>
            </w:r>
          </w:p>
        </w:tc>
      </w:tr>
      <w:tr>
        <w:trPr>
          <w:trHeight w:val="460" w:hRule="atLeast"/>
        </w:trPr>
        <w:tc>
          <w:tcPr>
            <w:tcW w:w="212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MAOA c.891G&gt;T</w:t>
            </w:r>
          </w:p>
        </w:tc>
        <w:tc>
          <w:tcPr>
            <w:tcW w:w="8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G</w:t>
            </w:r>
          </w:p>
        </w:tc>
      </w:tr>
      <w:tr>
        <w:trPr>
          <w:trHeight w:val="681" w:hRule="atLeast"/>
        </w:trPr>
        <w:tc>
          <w:tcPr>
            <w:tcW w:w="212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7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076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before="110"/>
              <w:ind w:left="3411" w:right="106" w:hanging="3292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носителство на нормален алел G, който се свързва с нормално разграждане на серотонин.</w:t>
            </w:r>
          </w:p>
        </w:tc>
      </w:tr>
    </w:tbl>
    <w:p>
      <w:pPr>
        <w:pStyle w:val="BodyText"/>
        <w:spacing w:before="6" w:after="1"/>
        <w:rPr>
          <w:sz w:val="13"/>
        </w:rPr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8076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4" w:right="26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Серотонинов транспортер (SLC6A4)</w:t>
            </w:r>
          </w:p>
        </w:tc>
      </w:tr>
      <w:tr>
        <w:trPr>
          <w:trHeight w:val="1378" w:hRule="atLeast"/>
        </w:trPr>
        <w:tc>
          <w:tcPr>
            <w:tcW w:w="2122" w:type="dxa"/>
            <w:tcBorders>
              <w:left w:val="nil"/>
              <w:bottom w:val="single" w:sz="6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3"/>
              <w:ind w:left="0"/>
              <w:rPr>
                <w:rFonts w:ascii="Arial Narrow"/>
                <w:sz w:val="28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076" w:type="dxa"/>
            <w:tcBorders>
              <w:bottom w:val="single" w:sz="6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Серотониновият транспортер (SLC6A4) е отговорен за преработването на серотонин, прекратявайки неговия ефект и позволявайки повторната му употреба. При изследвания вариант (5-HTTLPR) дългият (L) алел е по-често срещан, а късия (S) е свързан с понижена функция и ефективност на сертотониновия транспортер. Това се изразява в повишено</w:t>
            </w:r>
          </w:p>
          <w:p>
            <w:pPr>
              <w:pStyle w:val="TableParagraph"/>
              <w:spacing w:line="228" w:lineRule="exact" w:before="6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задържане на серотонин в синапсите поради по-бавната му преработка, като крайният ефект е общо намаляване на нивата на циркулиращ серотонин.</w:t>
            </w:r>
          </w:p>
        </w:tc>
      </w:tr>
      <w:tr>
        <w:trPr>
          <w:trHeight w:val="453" w:hRule="atLeast"/>
        </w:trPr>
        <w:tc>
          <w:tcPr>
            <w:tcW w:w="2122" w:type="dxa"/>
            <w:tcBorders>
              <w:top w:val="single" w:sz="6" w:space="0" w:color="FFFFFF"/>
              <w:left w:val="nil"/>
            </w:tcBorders>
            <w:shd w:val="clear" w:color="auto" w:fill="D9DBDC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ind w:left="170"/>
              <w:rPr>
                <w:b/>
                <w:sz w:val="20"/>
              </w:rPr>
            </w:pPr>
            <w:r>
              <w:rPr>
                <w:b/>
                <w:sz w:val="20"/>
              </w:rPr>
              <w:t>SLC6A4 5-HTTLPR</w:t>
            </w:r>
          </w:p>
        </w:tc>
        <w:tc>
          <w:tcPr>
            <w:tcW w:w="8076" w:type="dxa"/>
            <w:tcBorders>
              <w:top w:val="single" w:sz="6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08"/>
              <w:ind w:left="197" w:right="1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L/L</w:t>
            </w:r>
          </w:p>
        </w:tc>
      </w:tr>
      <w:tr>
        <w:trPr>
          <w:trHeight w:val="460" w:hRule="atLeast"/>
        </w:trPr>
        <w:tc>
          <w:tcPr>
            <w:tcW w:w="2122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076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2729" w:right="106" w:hanging="2492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L/L, който се свързва с нормални нива на серотонин в синаптичното пространство.</w:t>
            </w:r>
          </w:p>
        </w:tc>
      </w:tr>
    </w:tbl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8095"/>
      </w:tblGrid>
      <w:tr>
        <w:trPr>
          <w:trHeight w:val="230" w:hRule="atLeast"/>
        </w:trPr>
        <w:tc>
          <w:tcPr>
            <w:tcW w:w="10222" w:type="dxa"/>
            <w:gridSpan w:val="2"/>
            <w:tcBorders>
              <w:bottom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3321" w:right="3322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Brain-derived neurotrophic factor </w:t>
            </w:r>
            <w:r>
              <w:rPr>
                <w:b/>
                <w:sz w:val="20"/>
              </w:rPr>
              <w:t>(BDNF)</w:t>
            </w:r>
          </w:p>
        </w:tc>
      </w:tr>
      <w:tr>
        <w:trPr>
          <w:trHeight w:val="1610" w:hRule="atLeast"/>
        </w:trPr>
        <w:tc>
          <w:tcPr>
            <w:tcW w:w="212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84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0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0F0F1"/>
          </w:tcPr>
          <w:p>
            <w:pPr>
              <w:pStyle w:val="TableParagraph"/>
              <w:ind w:left="102" w:right="102"/>
              <w:jc w:val="both"/>
              <w:rPr>
                <w:sz w:val="20"/>
              </w:rPr>
            </w:pPr>
            <w:r>
              <w:rPr>
                <w:sz w:val="20"/>
              </w:rPr>
              <w:t>Brain-derived neurotrophic factor (BDNF) е белтъчен растежен фактор, който участва в развитието на ЦНС, синаптичната ефективност и пластичност. BDNF е ключов за развитието на паметта, способността за учене, концентрация и индивидуалния отговор към стрес. Изследваният генетичен вариант води до намалена секреция на BDNF и е рисков фактор за разстройства на развитието, паметта и настроението. Въпреки това, има данни че рисковият A алелен вариант има протективна роля при хора с генотип S/S за SLC6A4 (5-</w:t>
            </w:r>
          </w:p>
          <w:p>
            <w:pPr>
              <w:pStyle w:val="TableParagraph"/>
              <w:spacing w:line="210" w:lineRule="exact" w:before="1"/>
              <w:ind w:left="102"/>
              <w:rPr>
                <w:sz w:val="20"/>
              </w:rPr>
            </w:pPr>
            <w:r>
              <w:rPr>
                <w:sz w:val="20"/>
              </w:rPr>
              <w:t>HTTLPR).</w:t>
            </w:r>
          </w:p>
        </w:tc>
      </w:tr>
      <w:tr>
        <w:trPr>
          <w:trHeight w:val="688" w:hRule="atLeast"/>
        </w:trPr>
        <w:tc>
          <w:tcPr>
            <w:tcW w:w="212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BDNF</w:t>
            </w:r>
          </w:p>
          <w:p>
            <w:pPr>
              <w:pStyle w:val="TableParagraph"/>
              <w:spacing w:line="210" w:lineRule="exact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c.196G&gt;A (Val66Met)</w:t>
            </w:r>
          </w:p>
        </w:tc>
        <w:tc>
          <w:tcPr>
            <w:tcW w:w="80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0F0F1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ind w:left="1993" w:right="19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G/G</w:t>
            </w:r>
          </w:p>
        </w:tc>
      </w:tr>
      <w:tr>
        <w:trPr>
          <w:trHeight w:val="230" w:hRule="atLeast"/>
        </w:trPr>
        <w:tc>
          <w:tcPr>
            <w:tcW w:w="212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09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0F0F1"/>
          </w:tcPr>
          <w:p>
            <w:pPr>
              <w:pStyle w:val="TableParagraph"/>
              <w:spacing w:line="210" w:lineRule="exact"/>
              <w:ind w:left="1993" w:right="19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G/G (Val66Val).</w:t>
            </w:r>
          </w:p>
        </w:tc>
      </w:tr>
      <w:tr>
        <w:trPr>
          <w:trHeight w:val="158" w:hRule="atLeast"/>
        </w:trPr>
        <w:tc>
          <w:tcPr>
            <w:tcW w:w="10222" w:type="dxa"/>
            <w:gridSpan w:val="2"/>
          </w:tcPr>
          <w:p>
            <w:pPr>
              <w:pStyle w:val="TableParagraph"/>
              <w:ind w:left="0"/>
              <w:rPr>
                <w:sz w:val="10"/>
              </w:rPr>
            </w:pPr>
          </w:p>
        </w:tc>
      </w:tr>
      <w:tr>
        <w:trPr>
          <w:trHeight w:val="258" w:hRule="atLeast"/>
        </w:trPr>
        <w:tc>
          <w:tcPr>
            <w:tcW w:w="10222" w:type="dxa"/>
            <w:gridSpan w:val="2"/>
            <w:shd w:val="clear" w:color="auto" w:fill="C5D9F0"/>
          </w:tcPr>
          <w:p>
            <w:pPr>
              <w:pStyle w:val="TableParagraph"/>
              <w:spacing w:line="23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509" w:hRule="atLeast"/>
        </w:trPr>
        <w:tc>
          <w:tcPr>
            <w:tcW w:w="10222" w:type="dxa"/>
            <w:gridSpan w:val="2"/>
            <w:shd w:val="clear" w:color="auto" w:fill="C5D9F0"/>
          </w:tcPr>
          <w:p>
            <w:pPr>
              <w:pStyle w:val="TableParagraph"/>
              <w:spacing w:line="252" w:lineRule="exact" w:before="8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изследваните варианти се наблюдава леко повишен риск от намален синтез на серотонин.</w:t>
            </w:r>
          </w:p>
        </w:tc>
      </w:tr>
    </w:tbl>
    <w:p>
      <w:pPr>
        <w:spacing w:after="0" w:line="252" w:lineRule="exact"/>
        <w:rPr>
          <w:sz w:val="22"/>
        </w:rPr>
        <w:sectPr>
          <w:pgSz w:w="11910" w:h="16840"/>
          <w:pgMar w:header="269" w:footer="932" w:top="1300" w:bottom="1120" w:left="620" w:right="420"/>
        </w:sectPr>
      </w:pPr>
    </w:p>
    <w:p>
      <w:pPr>
        <w:pStyle w:val="BodyText"/>
        <w:spacing w:before="8" w:after="1"/>
        <w:rPr>
          <w:sz w:val="21"/>
        </w:rPr>
      </w:pPr>
    </w:p>
    <w:p>
      <w:pPr>
        <w:pStyle w:val="BodyText"/>
        <w:ind w:left="213"/>
        <w:rPr>
          <w:sz w:val="20"/>
        </w:rPr>
      </w:pPr>
      <w:r>
        <w:rPr>
          <w:sz w:val="20"/>
        </w:rPr>
        <w:pict>
          <v:group style="width:513.9pt;height:40.550pt;mso-position-horizontal-relative:char;mso-position-vertical-relative:line" coordorigin="0,0" coordsize="10278,811">
            <v:shape style="position:absolute;left:0;top:0;width:10278;height:811" type="#_x0000_t75" stroked="false">
              <v:imagedata r:id="rId10" o:title=""/>
            </v:shape>
            <v:shape style="position:absolute;left:0;top:0;width:10278;height:811" type="#_x0000_t202" filled="false" stroked="false">
              <v:textbox inset="0,0,0,0">
                <w:txbxContent>
                  <w:p>
                    <w:pPr>
                      <w:spacing w:before="175"/>
                      <w:ind w:left="38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0"/>
                        <w:sz w:val="22"/>
                      </w:rPr>
                      <w:t>Интерпретация на резултата</w:t>
                    </w:r>
                  </w:p>
                  <w:p>
                    <w:pPr>
                      <w:spacing w:before="9"/>
                      <w:ind w:left="382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w w:val="110"/>
                        <w:sz w:val="26"/>
                      </w:rPr>
                      <w:t>Метаболизъм на B6, B9 (фолиева киселина) и B12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21"/>
        </w:rPr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4" w:right="2611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Neuroblastoma breakpoint family, member 3 </w:t>
            </w:r>
            <w:r>
              <w:rPr>
                <w:b/>
                <w:sz w:val="20"/>
              </w:rPr>
              <w:t>(NBPF3)</w:t>
            </w:r>
          </w:p>
        </w:tc>
      </w:tr>
      <w:tr>
        <w:trPr>
          <w:trHeight w:val="161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86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2"/>
              <w:jc w:val="both"/>
              <w:rPr>
                <w:sz w:val="20"/>
              </w:rPr>
            </w:pPr>
            <w:r>
              <w:rPr>
                <w:sz w:val="20"/>
              </w:rPr>
              <w:t>Генетични изменения в NBPF3 гена (</w:t>
            </w:r>
            <w:r>
              <w:rPr>
                <w:i/>
                <w:sz w:val="20"/>
              </w:rPr>
              <w:t>Neuroblastoma breakpoint family, member 3</w:t>
            </w:r>
            <w:r>
              <w:rPr>
                <w:sz w:val="20"/>
              </w:rPr>
              <w:t>) са асоциирани с намалени нива на витамин В6, което се дължи на по-бързата екскреция на витамина от кръвния ток. Витамин В6 е важен елемент за правилното функциониране на нервната тъкан, сърцето, еритроцитите и др. Участва в поддържане нивата на кръвна захар, невромедиацията и протеиновия метаболизъм. Този витамин има пряка връзка и с активността на Витамин В12 и фолат.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Ниските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нива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B6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могат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да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доведат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анемия,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умора,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възпаления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устната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кухина,</w:t>
            </w:r>
          </w:p>
          <w:p>
            <w:pPr>
              <w:pStyle w:val="TableParagraph"/>
              <w:spacing w:line="210" w:lineRule="exact"/>
              <w:ind w:left="100"/>
              <w:jc w:val="both"/>
              <w:rPr>
                <w:sz w:val="20"/>
              </w:rPr>
            </w:pPr>
            <w:r>
              <w:rPr>
                <w:sz w:val="20"/>
              </w:rPr>
              <w:t>крампи, увеличени нива на хомоцистеин.</w:t>
            </w:r>
          </w:p>
        </w:tc>
      </w:tr>
      <w:tr>
        <w:trPr>
          <w:trHeight w:val="691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NBPF3</w:t>
            </w:r>
          </w:p>
          <w:p>
            <w:pPr>
              <w:pStyle w:val="TableParagraph"/>
              <w:spacing w:line="210" w:lineRule="exact"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c.134-3113C&gt;T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ind w:left="127" w:right="1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Т/Т</w:t>
            </w:r>
          </w:p>
        </w:tc>
      </w:tr>
      <w:tr>
        <w:trPr>
          <w:trHeight w:val="230" w:hRule="atLeast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10" w:lineRule="exact"/>
              <w:ind w:left="127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T/T, което се свързва с нормални нива на витамин B6.</w:t>
            </w:r>
          </w:p>
        </w:tc>
      </w:tr>
    </w:tbl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24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4240"/>
        <w:gridCol w:w="4235"/>
      </w:tblGrid>
      <w:tr>
        <w:trPr>
          <w:trHeight w:val="226" w:hRule="atLeast"/>
        </w:trPr>
        <w:tc>
          <w:tcPr>
            <w:tcW w:w="10199" w:type="dxa"/>
            <w:gridSpan w:val="3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07" w:lineRule="exact"/>
              <w:ind w:left="2693" w:right="26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5,10 - Метилентетрахидрофолат редуктаза (MTHFR)</w:t>
            </w:r>
          </w:p>
        </w:tc>
      </w:tr>
      <w:tr>
        <w:trPr>
          <w:trHeight w:val="917" w:hRule="atLeast"/>
        </w:trPr>
        <w:tc>
          <w:tcPr>
            <w:tcW w:w="1724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9"/>
              <w:ind w:left="0"/>
              <w:rPr>
                <w:rFonts w:ascii="Arial Narrow"/>
                <w:sz w:val="2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5" w:type="dxa"/>
            <w:gridSpan w:val="2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5"/>
              <w:jc w:val="both"/>
              <w:rPr>
                <w:sz w:val="20"/>
              </w:rPr>
            </w:pPr>
            <w:r>
              <w:rPr>
                <w:sz w:val="20"/>
              </w:rPr>
              <w:t>5,10 - метилтетрахидрофолат редуктаза (MTHFR) е ключов ензим в метаболизма на фолата (Витамин B9), който представлява основен кофактор в реметилирането на хомоцистеина в метионин. Изследваните генетични варианти се свързват с намалената активност на MTHFR,</w:t>
            </w:r>
          </w:p>
          <w:p>
            <w:pPr>
              <w:pStyle w:val="TableParagraph"/>
              <w:spacing w:line="210" w:lineRule="exact"/>
              <w:ind w:left="100"/>
              <w:jc w:val="both"/>
              <w:rPr>
                <w:sz w:val="20"/>
              </w:rPr>
            </w:pPr>
            <w:r>
              <w:rPr>
                <w:sz w:val="20"/>
              </w:rPr>
              <w:t>което може да доведе до потенциално вредни за здравето ефекти.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Резултат: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MTHFR</w:t>
            </w:r>
          </w:p>
        </w:tc>
        <w:tc>
          <w:tcPr>
            <w:tcW w:w="4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0F0F1"/>
          </w:tcPr>
          <w:p>
            <w:pPr>
              <w:pStyle w:val="TableParagraph"/>
              <w:spacing w:before="115"/>
              <w:ind w:left="1428" w:right="14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c.677C&gt;T:  C/T</w:t>
            </w:r>
          </w:p>
        </w:tc>
        <w:tc>
          <w:tcPr>
            <w:tcW w:w="42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410"/>
              <w:rPr>
                <w:b/>
                <w:sz w:val="20"/>
              </w:rPr>
            </w:pPr>
            <w:r>
              <w:rPr>
                <w:b/>
                <w:sz w:val="20"/>
              </w:rPr>
              <w:t>c.1298A&gt;C: A/A</w:t>
            </w:r>
          </w:p>
        </w:tc>
      </w:tr>
      <w:tr>
        <w:trPr>
          <w:trHeight w:val="688" w:hRule="atLeast"/>
        </w:trPr>
        <w:tc>
          <w:tcPr>
            <w:tcW w:w="1724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5" w:type="dxa"/>
            <w:gridSpan w:val="2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ind w:left="337" w:right="35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Хетерозиготно носителство за един от изследваните варианти в MTHFR гена води до</w:t>
            </w:r>
          </w:p>
          <w:p>
            <w:pPr>
              <w:pStyle w:val="TableParagraph"/>
              <w:spacing w:line="228" w:lineRule="exact" w:before="5"/>
              <w:ind w:left="337" w:right="3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намалена ензимна активност и стабилност (30-40% в сравнение с нормалната), неправилно (НАМАЛЕНО) метилиране.</w:t>
            </w:r>
          </w:p>
        </w:tc>
      </w:tr>
    </w:tbl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Метионин синтаза (MTR)</w:t>
            </w:r>
          </w:p>
        </w:tc>
      </w:tr>
      <w:tr>
        <w:trPr>
          <w:trHeight w:val="921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2"/>
              <w:ind w:left="0"/>
              <w:rPr>
                <w:rFonts w:ascii="Arial Narrow"/>
                <w:sz w:val="3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tabs>
                <w:tab w:pos="1635" w:val="left" w:leader="none"/>
                <w:tab w:pos="2040" w:val="left" w:leader="none"/>
                <w:tab w:pos="3436" w:val="left" w:leader="none"/>
                <w:tab w:pos="3752" w:val="left" w:leader="none"/>
                <w:tab w:pos="5085" w:val="left" w:leader="none"/>
                <w:tab w:pos="5463" w:val="left" w:leader="none"/>
                <w:tab w:pos="6807" w:val="left" w:leader="none"/>
                <w:tab w:pos="7215" w:val="left" w:leader="none"/>
                <w:tab w:pos="8255" w:val="left" w:leader="none"/>
              </w:tabs>
              <w:ind w:left="100" w:right="104"/>
              <w:rPr>
                <w:sz w:val="20"/>
              </w:rPr>
            </w:pPr>
            <w:r>
              <w:rPr>
                <w:sz w:val="20"/>
              </w:rPr>
              <w:t>MTR генът кодира eнзима метионин синтаза, ключов във фолатния цикъл и отговорен за катализирането</w:t>
              <w:tab/>
              <w:t>на</w:t>
              <w:tab/>
              <w:t>5-метилфолат</w:t>
              <w:tab/>
              <w:t>и</w:t>
              <w:tab/>
              <w:t>хомоцистеин</w:t>
              <w:tab/>
              <w:t>за</w:t>
              <w:tab/>
              <w:t>формирането</w:t>
              <w:tab/>
              <w:t>на</w:t>
              <w:tab/>
              <w:t>метионин</w:t>
              <w:tab/>
            </w:r>
            <w:r>
              <w:rPr>
                <w:spacing w:val="-17"/>
                <w:sz w:val="20"/>
              </w:rPr>
              <w:t>и</w:t>
            </w:r>
          </w:p>
          <w:p>
            <w:pPr>
              <w:pStyle w:val="TableParagraph"/>
              <w:spacing w:line="230" w:lineRule="atLeast" w:before="1"/>
              <w:ind w:left="100" w:right="104"/>
              <w:rPr>
                <w:sz w:val="20"/>
              </w:rPr>
            </w:pPr>
            <w:r>
              <w:rPr>
                <w:sz w:val="20"/>
              </w:rPr>
              <w:t>тетрахидрофолат. Изследваният генетичен вариант в MTR гена води до промяна в активността на ензима и до недостиг или излишък на хомоцистеин и метилови групи.</w:t>
            </w:r>
          </w:p>
        </w:tc>
      </w:tr>
      <w:tr>
        <w:trPr>
          <w:trHeight w:val="456" w:hRule="atLeast"/>
        </w:trPr>
        <w:tc>
          <w:tcPr>
            <w:tcW w:w="1724" w:type="dxa"/>
            <w:tcBorders>
              <w:left w:val="nil"/>
              <w:bottom w:val="single" w:sz="6" w:space="0" w:color="FFFFFF"/>
            </w:tcBorders>
            <w:shd w:val="clear" w:color="auto" w:fill="D9DBDC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MTR c.2756A&gt;G</w:t>
            </w:r>
          </w:p>
        </w:tc>
        <w:tc>
          <w:tcPr>
            <w:tcW w:w="8474" w:type="dxa"/>
            <w:tcBorders>
              <w:bottom w:val="single" w:sz="6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13"/>
              <w:ind w:left="127" w:right="1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A/A</w:t>
            </w:r>
          </w:p>
        </w:tc>
      </w:tr>
      <w:tr>
        <w:trPr>
          <w:trHeight w:val="306" w:hRule="atLeast"/>
        </w:trPr>
        <w:tc>
          <w:tcPr>
            <w:tcW w:w="1724" w:type="dxa"/>
            <w:tcBorders>
              <w:top w:val="single" w:sz="6" w:space="0" w:color="FFFFFF"/>
              <w:left w:val="nil"/>
              <w:bottom w:val="single" w:sz="48" w:space="0" w:color="FFFFFF"/>
            </w:tcBorders>
            <w:shd w:val="clear" w:color="auto" w:fill="D9DBDC"/>
          </w:tcPr>
          <w:p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top w:val="single" w:sz="6" w:space="0" w:color="FFFFFF"/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44"/>
              <w:ind w:left="127" w:right="1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A/A, който се свързва с нормална ензимна активност.</w:t>
            </w:r>
          </w:p>
        </w:tc>
      </w:tr>
      <w:tr>
        <w:trPr>
          <w:trHeight w:val="214" w:hRule="atLeast"/>
        </w:trPr>
        <w:tc>
          <w:tcPr>
            <w:tcW w:w="10198" w:type="dxa"/>
            <w:gridSpan w:val="2"/>
            <w:tcBorders>
              <w:top w:val="single" w:sz="48" w:space="0" w:color="FFFFFF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195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Метионин синтаза редуктаза (MTRR)</w:t>
            </w:r>
          </w:p>
        </w:tc>
      </w:tr>
      <w:tr>
        <w:trPr>
          <w:trHeight w:val="921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3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100" w:right="102"/>
              <w:jc w:val="both"/>
              <w:rPr>
                <w:sz w:val="20"/>
              </w:rPr>
            </w:pPr>
            <w:r>
              <w:rPr>
                <w:sz w:val="20"/>
              </w:rPr>
              <w:t>Метионин синтаза редуктаза (MTRR) е ензим, катализиращ синтеза на метил-В12, който е необходим за MTR и много други метил-В12 зависими ензими. Кръвните нива на витамин В12 може да са нормални, но носителство на изследвания вариант MTRR c.66А&gt;G се свързва с намален синтез на метил-В12, а нивата на хомоцистеин потенциално могат да бъдат увеличени.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MTRR c.66A&gt;G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27" w:right="1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A/A</w:t>
            </w:r>
          </w:p>
        </w:tc>
      </w:tr>
      <w:tr>
        <w:trPr>
          <w:trHeight w:val="443" w:hRule="atLeast"/>
        </w:trPr>
        <w:tc>
          <w:tcPr>
            <w:tcW w:w="1724" w:type="dxa"/>
            <w:tcBorders>
              <w:left w:val="nil"/>
              <w:bottom w:val="single" w:sz="48" w:space="0" w:color="FFFFFF"/>
            </w:tcBorders>
            <w:shd w:val="clear" w:color="auto" w:fill="D9DBDC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line="228" w:lineRule="exact" w:before="4"/>
              <w:ind w:left="2815" w:right="104" w:hanging="2516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А/A, който се свързва с нормални нива на хомоцистеин и нормален синтез на метил-B12.</w:t>
            </w:r>
          </w:p>
        </w:tc>
      </w:tr>
      <w:tr>
        <w:trPr>
          <w:trHeight w:val="197" w:hRule="atLeast"/>
        </w:trPr>
        <w:tc>
          <w:tcPr>
            <w:tcW w:w="10198" w:type="dxa"/>
            <w:gridSpan w:val="2"/>
            <w:tcBorders>
              <w:top w:val="single" w:sz="48" w:space="0" w:color="FFFFFF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178" w:lineRule="exact"/>
              <w:ind w:left="2614" w:right="26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Фукозил трансфераза 2 (FUT2)</w:t>
            </w:r>
          </w:p>
        </w:tc>
      </w:tr>
      <w:tr>
        <w:trPr>
          <w:trHeight w:val="921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3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100" w:right="105"/>
              <w:jc w:val="both"/>
              <w:rPr>
                <w:sz w:val="20"/>
              </w:rPr>
            </w:pPr>
            <w:r>
              <w:rPr>
                <w:sz w:val="20"/>
              </w:rPr>
              <w:t>Продуктът на гена FUT2 (фукозил трансфераза 2) участва в изграждането на мембраната на апарата на Голджи и е включен в пътя на антигенен синтез. Изследваният генетичен вариант се асоциира с промяна в плазмените нива на витамин В12, увеличен риск от намалена абсорбция на витамин В12 и увеличен риск от бактериални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инфекции.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ind w:left="155"/>
              <w:rPr>
                <w:b/>
                <w:sz w:val="20"/>
              </w:rPr>
            </w:pPr>
            <w:r>
              <w:rPr>
                <w:b/>
                <w:sz w:val="20"/>
              </w:rPr>
              <w:t>FUT2 c.772G&gt;A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27" w:right="1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A/A</w:t>
            </w:r>
          </w:p>
        </w:tc>
      </w:tr>
      <w:tr>
        <w:trPr>
          <w:trHeight w:val="458" w:hRule="atLeast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Коментари</w:t>
            </w:r>
          </w:p>
        </w:tc>
        <w:tc>
          <w:tcPr>
            <w:tcW w:w="8474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28" w:lineRule="exact" w:before="4"/>
              <w:ind w:left="3847" w:hanging="3719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нормален генотип A/A, което се свърза с нормална абсорбция на витамин B12 в червата.</w:t>
            </w:r>
          </w:p>
        </w:tc>
      </w:tr>
    </w:tbl>
    <w:p>
      <w:pPr>
        <w:spacing w:after="0" w:line="228" w:lineRule="exact"/>
        <w:rPr>
          <w:sz w:val="20"/>
        </w:rPr>
        <w:sectPr>
          <w:pgSz w:w="11910" w:h="16840"/>
          <w:pgMar w:header="269" w:footer="932" w:top="1300" w:bottom="1120" w:left="620" w:right="420"/>
        </w:sectPr>
      </w:pPr>
    </w:p>
    <w:p>
      <w:pPr>
        <w:pStyle w:val="BodyText"/>
        <w:spacing w:before="2" w:after="1"/>
        <w:rPr>
          <w:sz w:val="24"/>
        </w:rPr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 w:before="1"/>
              <w:ind w:left="2614" w:right="26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Транскобаламин 2 (TCN2)</w:t>
            </w:r>
          </w:p>
        </w:tc>
      </w:tr>
      <w:tr>
        <w:trPr>
          <w:trHeight w:val="688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4"/>
              <w:rPr>
                <w:sz w:val="20"/>
              </w:rPr>
            </w:pPr>
            <w:r>
              <w:rPr>
                <w:sz w:val="20"/>
              </w:rPr>
              <w:t>Продуктът на гена TCN2 (транскобаламин 2) е плазмен глобулин, който действа като основен транспортен протеин на витамин B12. Генетични изменения в TCN2 се асоциират с нарушен</w:t>
            </w:r>
          </w:p>
          <w:p>
            <w:pPr>
              <w:pStyle w:val="TableParagraph"/>
              <w:spacing w:line="208" w:lineRule="exact"/>
              <w:ind w:left="100"/>
              <w:rPr>
                <w:sz w:val="20"/>
              </w:rPr>
            </w:pPr>
            <w:r>
              <w:rPr>
                <w:sz w:val="20"/>
              </w:rPr>
              <w:t>вътреклетъчен транспорт на витамин B12.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ind w:left="146"/>
              <w:rPr>
                <w:b/>
                <w:sz w:val="20"/>
              </w:rPr>
            </w:pPr>
            <w:r>
              <w:rPr>
                <w:b/>
                <w:sz w:val="20"/>
              </w:rPr>
              <w:t>TCN2 c.776G&gt;C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27" w:right="1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G/C</w:t>
            </w:r>
          </w:p>
        </w:tc>
      </w:tr>
      <w:tr>
        <w:trPr>
          <w:trHeight w:val="445" w:hRule="atLeast"/>
        </w:trPr>
        <w:tc>
          <w:tcPr>
            <w:tcW w:w="1724" w:type="dxa"/>
            <w:tcBorders>
              <w:left w:val="nil"/>
              <w:bottom w:val="single" w:sz="48" w:space="0" w:color="FFFFFF"/>
            </w:tcBorders>
            <w:shd w:val="clear" w:color="auto" w:fill="D9DBDC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3621" w:right="104" w:hanging="3232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G/C, което се свързва с леко намален транспорт на витамин B12.</w:t>
            </w:r>
          </w:p>
        </w:tc>
      </w:tr>
      <w:tr>
        <w:trPr>
          <w:trHeight w:val="221" w:hRule="atLeast"/>
        </w:trPr>
        <w:tc>
          <w:tcPr>
            <w:tcW w:w="10198" w:type="dxa"/>
            <w:gridSpan w:val="2"/>
            <w:tcBorders>
              <w:top w:val="single" w:sz="48" w:space="0" w:color="FFFFFF"/>
              <w:left w:val="nil"/>
              <w:right w:val="nil"/>
            </w:tcBorders>
            <w:shd w:val="clear" w:color="auto" w:fill="C5D9F0"/>
          </w:tcPr>
          <w:p>
            <w:pPr>
              <w:pStyle w:val="TableParagraph"/>
              <w:spacing w:line="20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650" w:hRule="atLeast"/>
        </w:trPr>
        <w:tc>
          <w:tcPr>
            <w:tcW w:w="10198" w:type="dxa"/>
            <w:gridSpan w:val="2"/>
            <w:tcBorders>
              <w:left w:val="nil"/>
              <w:bottom w:val="nil"/>
              <w:right w:val="nil"/>
            </w:tcBorders>
            <w:shd w:val="clear" w:color="auto" w:fill="C5D9F0"/>
          </w:tcPr>
          <w:p>
            <w:pPr>
              <w:pStyle w:val="TableParagraph"/>
              <w:spacing w:before="70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изследваните варианти се наблюдава леко увеличен риск от недостиг на някои витамини. Препоръчва се прием на активни форми на фолиева киселина и Витамин B12.</w:t>
            </w:r>
          </w:p>
        </w:tc>
      </w:tr>
    </w:tbl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265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"/>
        <w:gridCol w:w="9530"/>
        <w:gridCol w:w="373"/>
      </w:tblGrid>
      <w:tr>
        <w:trPr>
          <w:trHeight w:val="733" w:hRule="atLeast"/>
        </w:trPr>
        <w:tc>
          <w:tcPr>
            <w:tcW w:w="277" w:type="dxa"/>
            <w:tcBorders>
              <w:righ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line="297" w:lineRule="exact" w:before="1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Витамин D</w:t>
            </w:r>
          </w:p>
        </w:tc>
        <w:tc>
          <w:tcPr>
            <w:tcW w:w="373" w:type="dxa"/>
            <w:tcBorders>
              <w:lef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8217"/>
      </w:tblGrid>
      <w:tr>
        <w:trPr>
          <w:trHeight w:val="230" w:hRule="atLeast"/>
        </w:trPr>
        <w:tc>
          <w:tcPr>
            <w:tcW w:w="10197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3719" w:right="37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Рецептор за витамин D (VDR)</w:t>
            </w:r>
          </w:p>
        </w:tc>
      </w:tr>
      <w:tr>
        <w:trPr>
          <w:trHeight w:val="918" w:hRule="atLeast"/>
        </w:trPr>
        <w:tc>
          <w:tcPr>
            <w:tcW w:w="1980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2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217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Белтъчният продукт на VDR гена (рецептор за витамин Д) принадлежи към семейството на транскрипционни регулаторни фактори, включващи тироидни хормонови рецептори. Изследваният генетичен вариант VDR/FokI засяга активността на рецептора и се свързва с</w:t>
            </w:r>
          </w:p>
          <w:p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промяна в усвояването на Витамин D3.</w:t>
            </w:r>
          </w:p>
        </w:tc>
      </w:tr>
      <w:tr>
        <w:trPr>
          <w:trHeight w:val="460" w:hRule="atLeast"/>
        </w:trPr>
        <w:tc>
          <w:tcPr>
            <w:tcW w:w="1980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VDR FokI /c.2T&gt;C</w:t>
            </w:r>
          </w:p>
        </w:tc>
        <w:tc>
          <w:tcPr>
            <w:tcW w:w="8217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3918" w:right="39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T/C</w:t>
            </w:r>
          </w:p>
        </w:tc>
      </w:tr>
      <w:tr>
        <w:trPr>
          <w:trHeight w:val="445" w:hRule="atLeast"/>
        </w:trPr>
        <w:tc>
          <w:tcPr>
            <w:tcW w:w="1980" w:type="dxa"/>
            <w:tcBorders>
              <w:left w:val="nil"/>
              <w:bottom w:val="single" w:sz="48" w:space="0" w:color="FFFFFF"/>
            </w:tcBorders>
            <w:shd w:val="clear" w:color="auto" w:fill="D9DBDC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217" w:type="dxa"/>
            <w:tcBorders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775" w:hanging="601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T/C, който се свързва с леко увеличена активност на витамин D рецептора и сравнително увеличено усвояване на Витамин D.</w:t>
            </w:r>
          </w:p>
        </w:tc>
      </w:tr>
      <w:tr>
        <w:trPr>
          <w:trHeight w:val="221" w:hRule="atLeast"/>
        </w:trPr>
        <w:tc>
          <w:tcPr>
            <w:tcW w:w="10197" w:type="dxa"/>
            <w:gridSpan w:val="2"/>
            <w:tcBorders>
              <w:top w:val="single" w:sz="48" w:space="0" w:color="FFFFFF"/>
              <w:left w:val="nil"/>
              <w:right w:val="nil"/>
            </w:tcBorders>
            <w:shd w:val="clear" w:color="auto" w:fill="C5D9F0"/>
          </w:tcPr>
          <w:p>
            <w:pPr>
              <w:pStyle w:val="TableParagraph"/>
              <w:spacing w:line="20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506" w:hRule="atLeast"/>
        </w:trPr>
        <w:tc>
          <w:tcPr>
            <w:tcW w:w="10197" w:type="dxa"/>
            <w:gridSpan w:val="2"/>
            <w:tcBorders>
              <w:left w:val="nil"/>
              <w:bottom w:val="nil"/>
              <w:right w:val="nil"/>
            </w:tcBorders>
            <w:shd w:val="clear" w:color="auto" w:fill="C5D9F0"/>
          </w:tcPr>
          <w:p>
            <w:pPr>
              <w:pStyle w:val="TableParagraph"/>
              <w:spacing w:line="25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изследвания вариант се наблюдава леко повишен риск от недостиг на Витамин D. Препоръчва се прием на Витамин D.</w:t>
            </w:r>
          </w:p>
        </w:tc>
      </w:tr>
    </w:tbl>
    <w:p>
      <w:pPr>
        <w:pStyle w:val="BodyText"/>
        <w:spacing w:before="5" w:after="1"/>
        <w:rPr>
          <w:sz w:val="18"/>
        </w:rPr>
      </w:pPr>
    </w:p>
    <w:tbl>
      <w:tblPr>
        <w:tblW w:w="0" w:type="auto"/>
        <w:jc w:val="left"/>
        <w:tblInd w:w="265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"/>
        <w:gridCol w:w="9530"/>
        <w:gridCol w:w="385"/>
      </w:tblGrid>
      <w:tr>
        <w:trPr>
          <w:trHeight w:val="747" w:hRule="atLeast"/>
        </w:trPr>
        <w:tc>
          <w:tcPr>
            <w:tcW w:w="277" w:type="dxa"/>
            <w:tcBorders>
              <w:righ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41"/>
              <w:ind w:left="112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line="309" w:lineRule="exact" w:before="2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Метилационен цикъл - свързващи звена в метаболизма</w:t>
            </w:r>
          </w:p>
        </w:tc>
        <w:tc>
          <w:tcPr>
            <w:tcW w:w="385" w:type="dxa"/>
            <w:tcBorders>
              <w:lef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3"/>
      </w:pPr>
    </w:p>
    <w:tbl>
      <w:tblPr>
        <w:tblW w:w="0" w:type="auto"/>
        <w:jc w:val="left"/>
        <w:tblInd w:w="24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26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06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Бетаин хомоцистеин метилтрансфераза (BHMT)</w:t>
            </w:r>
          </w:p>
        </w:tc>
      </w:tr>
      <w:tr>
        <w:trPr>
          <w:trHeight w:val="687" w:hRule="atLeast"/>
        </w:trPr>
        <w:tc>
          <w:tcPr>
            <w:tcW w:w="1724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8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4"/>
              <w:rPr>
                <w:sz w:val="20"/>
              </w:rPr>
            </w:pPr>
            <w:r>
              <w:rPr>
                <w:sz w:val="20"/>
              </w:rPr>
              <w:t>Генът BHMT (бетаин хомоцистеин метилтрансфераза) e eнзим, конвертиращ хомоцистеина в метионин чрез използване на метилова група от триметилглицин. Изследваният генетичен</w:t>
            </w:r>
          </w:p>
          <w:p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вариант се свързва с промяна в активността на ензима.</w:t>
            </w:r>
          </w:p>
        </w:tc>
      </w:tr>
      <w:tr>
        <w:trPr>
          <w:trHeight w:val="690" w:hRule="atLeast"/>
        </w:trPr>
        <w:tc>
          <w:tcPr>
            <w:tcW w:w="17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30" w:lineRule="atLeast"/>
              <w:ind w:right="232"/>
              <w:rPr>
                <w:b/>
                <w:sz w:val="20"/>
              </w:rPr>
            </w:pPr>
            <w:r>
              <w:rPr>
                <w:sz w:val="20"/>
              </w:rPr>
              <w:t>Резултат за: </w:t>
            </w:r>
            <w:r>
              <w:rPr>
                <w:b/>
                <w:sz w:val="20"/>
              </w:rPr>
              <w:t>BHMT c.716G&gt;A</w:t>
            </w:r>
          </w:p>
        </w:tc>
        <w:tc>
          <w:tcPr>
            <w:tcW w:w="8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ind w:left="127" w:right="1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G/A</w:t>
            </w:r>
          </w:p>
        </w:tc>
      </w:tr>
      <w:tr>
        <w:trPr>
          <w:trHeight w:val="458" w:hRule="atLeast"/>
        </w:trPr>
        <w:tc>
          <w:tcPr>
            <w:tcW w:w="1724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28" w:lineRule="exact" w:before="4"/>
              <w:ind w:left="1929" w:right="540" w:hanging="1376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G/A, който се свързва с леко намалена ензимна активност и леко увеличени нива на хомоцистеин.</w:t>
            </w:r>
          </w:p>
        </w:tc>
      </w:tr>
    </w:tbl>
    <w:p>
      <w:pPr>
        <w:pStyle w:val="BodyText"/>
        <w:spacing w:before="6"/>
        <w:rPr>
          <w:sz w:val="21"/>
        </w:rPr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3" w:right="26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Серин хидроксиметилтрансфераза (SHMT)</w:t>
            </w:r>
          </w:p>
        </w:tc>
      </w:tr>
      <w:tr>
        <w:trPr>
          <w:trHeight w:val="1379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2"/>
              <w:ind w:left="0"/>
              <w:rPr>
                <w:rFonts w:ascii="Arial Narrow"/>
                <w:sz w:val="28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7"/>
              <w:jc w:val="both"/>
              <w:rPr>
                <w:sz w:val="20"/>
              </w:rPr>
            </w:pPr>
            <w:r>
              <w:rPr>
                <w:sz w:val="20"/>
              </w:rPr>
              <w:t>Генът SHMT (серин хидроксиметилтрансфераза) е ензим, участващ във фолатния цикъл, който превръща серин и тетрахидрофолат в глицин и 5,10-метилентетрахидрофолат. Продуктът на този ген осигурява метилови групи за новосинтезираните ДНК молекули и за превръщането на хомоцистеин в метионин. Носителство на изследвания генетичен вариант може да доведе до</w:t>
            </w:r>
          </w:p>
          <w:p>
            <w:pPr>
              <w:pStyle w:val="TableParagraph"/>
              <w:spacing w:line="230" w:lineRule="exact" w:before="2"/>
              <w:ind w:left="100" w:right="110"/>
              <w:jc w:val="both"/>
              <w:rPr>
                <w:sz w:val="20"/>
              </w:rPr>
            </w:pPr>
            <w:r>
              <w:rPr>
                <w:sz w:val="20"/>
              </w:rPr>
              <w:t>нарушаване на нормалната функция на ензима и да намали достъпа на клетката до метилови групи.</w:t>
            </w:r>
          </w:p>
        </w:tc>
      </w:tr>
      <w:tr>
        <w:trPr>
          <w:trHeight w:val="688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line="230" w:lineRule="exact"/>
              <w:ind w:right="580"/>
              <w:rPr>
                <w:b/>
                <w:sz w:val="20"/>
              </w:rPr>
            </w:pPr>
            <w:r>
              <w:rPr>
                <w:sz w:val="20"/>
              </w:rPr>
              <w:t>Резултат за: </w:t>
            </w:r>
            <w:r>
              <w:rPr>
                <w:b/>
                <w:sz w:val="20"/>
              </w:rPr>
              <w:t>SHMT c.1420C&gt;T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ind w:left="127" w:right="1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C/Т</w:t>
            </w:r>
          </w:p>
        </w:tc>
      </w:tr>
      <w:tr>
        <w:trPr>
          <w:trHeight w:val="686" w:hRule="atLeast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1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ind w:left="127" w:right="1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C/Т, който се свързва със сравнително намален достъп на клетката до метилови групи. Прием на витамин B6 и фолиева киселина би</w:t>
            </w:r>
          </w:p>
          <w:p>
            <w:pPr>
              <w:pStyle w:val="TableParagraph"/>
              <w:spacing w:line="208" w:lineRule="exact"/>
              <w:ind w:left="127" w:right="1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подпомогнал фолатния метаболизъм.</w:t>
            </w:r>
          </w:p>
        </w:tc>
      </w:tr>
    </w:tbl>
    <w:p>
      <w:pPr>
        <w:spacing w:after="0" w:line="208" w:lineRule="exact"/>
        <w:jc w:val="center"/>
        <w:rPr>
          <w:sz w:val="20"/>
        </w:rPr>
        <w:sectPr>
          <w:pgSz w:w="11910" w:h="16840"/>
          <w:pgMar w:header="269" w:footer="932" w:top="1300" w:bottom="1120" w:left="620" w:right="4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4" w:right="26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S-аденозил хомоцистеин хидролазата (AHCY)</w:t>
            </w:r>
          </w:p>
        </w:tc>
      </w:tr>
      <w:tr>
        <w:trPr>
          <w:trHeight w:val="921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3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100" w:right="103"/>
              <w:jc w:val="both"/>
              <w:rPr>
                <w:sz w:val="20"/>
              </w:rPr>
            </w:pPr>
            <w:r>
              <w:rPr>
                <w:sz w:val="20"/>
              </w:rPr>
              <w:t>S-аденозил хомоцистеин хидролазата (AHCY) е ензим, катализиращ хидролизата на S-аденозил хомоцистеин (SAH) в аденозин и хомоцистеин (HCY). Подпомага функцията на CBS гена и балансира MTHFR дефекти. Изследваните варианти в AHCY гена се свързва с понижение на ензимната активност и с по-ниски нива на HCY и увеличени нива на SAH.</w:t>
            </w:r>
          </w:p>
        </w:tc>
      </w:tr>
      <w:tr>
        <w:trPr>
          <w:trHeight w:val="458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Резултат: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AHCY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3"/>
              <w:ind w:left="127" w:right="1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c.112C&gt;T: C/С</w:t>
            </w:r>
          </w:p>
        </w:tc>
      </w:tr>
      <w:tr>
        <w:trPr>
          <w:trHeight w:val="510" w:hRule="atLeast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42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before="26"/>
              <w:ind w:left="3737" w:hanging="3621"/>
              <w:rPr>
                <w:b/>
                <w:sz w:val="20"/>
              </w:rPr>
            </w:pPr>
            <w:r>
              <w:rPr>
                <w:b/>
                <w:sz w:val="20"/>
              </w:rPr>
              <w:t>По изследвания маркер се отчита нормален генотип, което се свързва с нормална ензимна активност.</w:t>
            </w:r>
          </w:p>
        </w:tc>
      </w:tr>
    </w:tbl>
    <w:p>
      <w:pPr>
        <w:pStyle w:val="BodyText"/>
        <w:spacing w:before="1"/>
        <w:rPr>
          <w:sz w:val="26"/>
        </w:rPr>
      </w:pPr>
    </w:p>
    <w:tbl>
      <w:tblPr>
        <w:tblCellSpacing w:w="4" w:type="dxa"/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8"/>
      </w:tblGrid>
      <w:tr>
        <w:trPr>
          <w:trHeight w:val="244" w:hRule="atLeast"/>
        </w:trPr>
        <w:tc>
          <w:tcPr>
            <w:tcW w:w="10198" w:type="dxa"/>
            <w:tcBorders>
              <w:bottom w:val="nil"/>
            </w:tcBorders>
            <w:shd w:val="clear" w:color="auto" w:fill="C5D9F0"/>
          </w:tcPr>
          <w:p>
            <w:pPr>
              <w:pStyle w:val="TableParagraph"/>
              <w:spacing w:line="23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748" w:hRule="atLeast"/>
        </w:trPr>
        <w:tc>
          <w:tcPr>
            <w:tcW w:w="10198" w:type="dxa"/>
            <w:tcBorders>
              <w:top w:val="nil"/>
            </w:tcBorders>
            <w:shd w:val="clear" w:color="auto" w:fill="C5D9F0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изследваните варианти се наблюдава повишен риск от нарушение в метилационния цикъл. Препоръчва се прием на витамин B6 и фолиева киселина за подпомагане на фолатния</w:t>
            </w:r>
          </w:p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метаболизъм.</w:t>
            </w:r>
          </w:p>
        </w:tc>
      </w:tr>
    </w:tbl>
    <w:p>
      <w:pPr>
        <w:pStyle w:val="BodyText"/>
        <w:spacing w:after="1"/>
        <w:rPr>
          <w:sz w:val="23"/>
        </w:rPr>
      </w:pPr>
    </w:p>
    <w:tbl>
      <w:tblPr>
        <w:tblW w:w="0" w:type="auto"/>
        <w:jc w:val="left"/>
        <w:tblInd w:w="265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"/>
        <w:gridCol w:w="9530"/>
        <w:gridCol w:w="385"/>
      </w:tblGrid>
      <w:tr>
        <w:trPr>
          <w:trHeight w:val="768" w:hRule="atLeast"/>
        </w:trPr>
        <w:tc>
          <w:tcPr>
            <w:tcW w:w="277" w:type="dxa"/>
            <w:tcBorders>
              <w:righ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39"/>
              <w:ind w:left="112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before="1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Детоксикация на клетката</w:t>
            </w:r>
          </w:p>
        </w:tc>
        <w:tc>
          <w:tcPr>
            <w:tcW w:w="385" w:type="dxa"/>
            <w:tcBorders>
              <w:lef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10" w:after="1"/>
      </w:pP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4009"/>
        <w:gridCol w:w="4465"/>
      </w:tblGrid>
      <w:tr>
        <w:trPr>
          <w:trHeight w:val="230" w:hRule="atLeast"/>
        </w:trPr>
        <w:tc>
          <w:tcPr>
            <w:tcW w:w="10198" w:type="dxa"/>
            <w:gridSpan w:val="3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Цистатионин бета синтаза (CBS)</w:t>
            </w:r>
          </w:p>
        </w:tc>
      </w:tr>
      <w:tr>
        <w:trPr>
          <w:trHeight w:val="961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9"/>
              <w:ind w:left="0"/>
              <w:rPr>
                <w:rFonts w:ascii="Arial Narrow"/>
                <w:sz w:val="31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gridSpan w:val="2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9"/>
              <w:ind w:left="100" w:right="102"/>
              <w:jc w:val="both"/>
              <w:rPr>
                <w:sz w:val="20"/>
              </w:rPr>
            </w:pPr>
            <w:r>
              <w:rPr>
                <w:sz w:val="20"/>
              </w:rPr>
              <w:t>Цистатионин бета синтаза (CBS) регулира ензимите, превръщащи хомоцистеин в глутатион, който е един от основните антиоксиданти. Генетични изменения в CBS се свързват със свръхактивност на ензима, което от своя страна води до дефицит на серин и активен В6 и до увеличени серумни концентрации на амониеви и сулфатни йони.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CBS</w:t>
            </w:r>
          </w:p>
        </w:tc>
        <w:tc>
          <w:tcPr>
            <w:tcW w:w="4009" w:type="dxa"/>
            <w:shd w:val="clear" w:color="auto" w:fill="F0F0F1"/>
          </w:tcPr>
          <w:p>
            <w:pPr>
              <w:pStyle w:val="TableParagraph"/>
              <w:spacing w:before="115"/>
              <w:ind w:left="1341" w:right="13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c.699C&gt;T: Т/Т</w:t>
            </w:r>
          </w:p>
        </w:tc>
        <w:tc>
          <w:tcPr>
            <w:tcW w:w="4465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513" w:right="15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c.1080C&gt;T: С/С</w:t>
            </w:r>
          </w:p>
        </w:tc>
      </w:tr>
      <w:tr>
        <w:trPr>
          <w:trHeight w:val="688" w:hRule="atLeast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gridSpan w:val="2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exact"/>
              <w:ind w:left="127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 един от изследваните маркери се отчита хомозиготен генотип, което може да доведе до недостиг на серин и Витамин B6 и увеличена концентрация на сулфатни и амониеви йони.</w:t>
            </w:r>
          </w:p>
        </w:tc>
      </w:tr>
    </w:tbl>
    <w:p>
      <w:pPr>
        <w:pStyle w:val="BodyText"/>
        <w:spacing w:before="6"/>
      </w:pPr>
    </w:p>
    <w:tbl>
      <w:tblPr>
        <w:tblW w:w="0" w:type="auto"/>
        <w:jc w:val="left"/>
        <w:tblInd w:w="24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26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06" w:lineRule="exact"/>
              <w:ind w:left="2614" w:right="26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Глутатион пероксидаза Р1 (GPX1)</w:t>
            </w:r>
          </w:p>
        </w:tc>
      </w:tr>
      <w:tr>
        <w:trPr>
          <w:trHeight w:val="1378" w:hRule="atLeast"/>
        </w:trPr>
        <w:tc>
          <w:tcPr>
            <w:tcW w:w="1724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Arial Narrow"/>
                <w:sz w:val="27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</w:t>
            </w:r>
          </w:p>
        </w:tc>
        <w:tc>
          <w:tcPr>
            <w:tcW w:w="8474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3"/>
              <w:jc w:val="both"/>
              <w:rPr>
                <w:sz w:val="20"/>
              </w:rPr>
            </w:pPr>
            <w:r>
              <w:rPr>
                <w:sz w:val="20"/>
              </w:rPr>
              <w:t>Глутатион пероксидаза Р1 (GPX1) е ензим, участващ в процесите на детоксикация като превръща токсичния водороден прекис във вода. Правилното функциониране на този ензим зависи от поддържането на нормални концентрации на селен и глутатион. Изследвания генетичен вариант в GPX1 гена води до намаляване на антиоксидантния капацитет на ензима. В тези случаи приемът на селен, глутатион, както и на Витамин С подпомага премахването на</w:t>
            </w:r>
          </w:p>
          <w:p>
            <w:pPr>
              <w:pStyle w:val="TableParagraph"/>
              <w:spacing w:line="210" w:lineRule="exact"/>
              <w:ind w:left="100"/>
              <w:jc w:val="both"/>
              <w:rPr>
                <w:sz w:val="20"/>
              </w:rPr>
            </w:pPr>
            <w:r>
              <w:rPr>
                <w:sz w:val="20"/>
              </w:rPr>
              <w:t>свободните радикали.</w:t>
            </w:r>
          </w:p>
        </w:tc>
      </w:tr>
      <w:tr>
        <w:trPr>
          <w:trHeight w:val="456" w:hRule="atLeast"/>
        </w:trPr>
        <w:tc>
          <w:tcPr>
            <w:tcW w:w="1724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GPX1 c.599C&gt;T</w:t>
            </w:r>
          </w:p>
        </w:tc>
        <w:tc>
          <w:tcPr>
            <w:tcW w:w="8474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27" w:right="1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C/Т</w:t>
            </w:r>
          </w:p>
        </w:tc>
      </w:tr>
      <w:tr>
        <w:trPr>
          <w:trHeight w:val="687" w:hRule="atLeast"/>
        </w:trPr>
        <w:tc>
          <w:tcPr>
            <w:tcW w:w="1724" w:type="dxa"/>
            <w:tcBorders>
              <w:left w:val="nil"/>
              <w:bottom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9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Коментари</w:t>
            </w:r>
          </w:p>
        </w:tc>
        <w:tc>
          <w:tcPr>
            <w:tcW w:w="8474" w:type="dxa"/>
            <w:tcBorders>
              <w:left w:val="single" w:sz="4" w:space="0" w:color="FFFFFF"/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27" w:lineRule="exact"/>
              <w:ind w:left="127" w:right="1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 изследвания вариант се отчита хетерозиготен генотип C/T, което се свързва с леко</w:t>
            </w:r>
          </w:p>
          <w:p>
            <w:pPr>
              <w:pStyle w:val="TableParagraph"/>
              <w:spacing w:line="230" w:lineRule="atLeast" w:before="1"/>
              <w:ind w:left="127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намален антиоксидантен капацитет. Допълнителният прием на антиоксиданти би подпомогнал процесите на детоксикация.</w:t>
            </w:r>
          </w:p>
        </w:tc>
      </w:tr>
    </w:tbl>
    <w:p>
      <w:pPr>
        <w:pStyle w:val="BodyText"/>
        <w:spacing w:before="5"/>
        <w:rPr>
          <w:sz w:val="29"/>
        </w:rPr>
      </w:pPr>
    </w:p>
    <w:tbl>
      <w:tblPr>
        <w:tblW w:w="0" w:type="auto"/>
        <w:jc w:val="left"/>
        <w:tblInd w:w="24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26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06" w:lineRule="exact"/>
              <w:ind w:left="2614" w:right="2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Азотен оксид синтаза (NOS3)</w:t>
            </w:r>
          </w:p>
        </w:tc>
      </w:tr>
      <w:tr>
        <w:trPr>
          <w:trHeight w:val="917" w:hRule="atLeast"/>
        </w:trPr>
        <w:tc>
          <w:tcPr>
            <w:tcW w:w="1724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9"/>
              <w:ind w:left="0"/>
              <w:rPr>
                <w:rFonts w:ascii="Arial Narrow"/>
                <w:sz w:val="2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</w:t>
            </w:r>
          </w:p>
        </w:tc>
        <w:tc>
          <w:tcPr>
            <w:tcW w:w="8474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5"/>
              <w:jc w:val="both"/>
              <w:rPr>
                <w:sz w:val="20"/>
              </w:rPr>
            </w:pPr>
            <w:r>
              <w:rPr>
                <w:sz w:val="20"/>
              </w:rPr>
              <w:t>Продуктът на NOS гена (азотен оксид синтаза) играе роля в детоксикацията на амониевите йони, получени в резултат от разграждането на белтъците. Ензимът е част от урейния цикъл, който превръща аргинин в орнитин и NO. Изследвания генетичен вариант се свързва с</w:t>
            </w:r>
          </w:p>
          <w:p>
            <w:pPr>
              <w:pStyle w:val="TableParagraph"/>
              <w:spacing w:line="210" w:lineRule="exact"/>
              <w:ind w:left="100"/>
              <w:jc w:val="both"/>
              <w:rPr>
                <w:sz w:val="20"/>
              </w:rPr>
            </w:pPr>
            <w:r>
              <w:rPr>
                <w:sz w:val="20"/>
              </w:rPr>
              <w:t>намалена ензимна активност и намалена детоксикация.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NOS3 c.894T&gt;G</w:t>
            </w:r>
          </w:p>
        </w:tc>
        <w:tc>
          <w:tcPr>
            <w:tcW w:w="8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27" w:right="1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Т/G</w:t>
            </w:r>
          </w:p>
        </w:tc>
      </w:tr>
      <w:tr>
        <w:trPr>
          <w:trHeight w:val="688" w:hRule="atLeast"/>
        </w:trPr>
        <w:tc>
          <w:tcPr>
            <w:tcW w:w="1724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Коментари</w:t>
            </w:r>
          </w:p>
        </w:tc>
        <w:tc>
          <w:tcPr>
            <w:tcW w:w="847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ind w:left="127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T/G, който се свързва с леко намалена ензимна</w:t>
            </w:r>
          </w:p>
          <w:p>
            <w:pPr>
              <w:pStyle w:val="TableParagraph"/>
              <w:spacing w:line="228" w:lineRule="exact" w:before="5"/>
              <w:ind w:left="127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активност. Приемът на тетрахидробиоптерин, рибофлавин и желязо, които са кофактори на NOS биха подмомогнали неговата функция.</w:t>
            </w:r>
          </w:p>
        </w:tc>
      </w:tr>
    </w:tbl>
    <w:p>
      <w:pPr>
        <w:spacing w:after="0" w:line="228" w:lineRule="exact"/>
        <w:jc w:val="center"/>
        <w:rPr>
          <w:sz w:val="20"/>
        </w:rPr>
        <w:sectPr>
          <w:pgSz w:w="11910" w:h="16840"/>
          <w:pgMar w:header="269" w:footer="932" w:top="1300" w:bottom="1120" w:left="620" w:right="420"/>
        </w:sectPr>
      </w:pPr>
    </w:p>
    <w:p>
      <w:pPr>
        <w:pStyle w:val="BodyText"/>
        <w:spacing w:before="2" w:after="1"/>
        <w:rPr>
          <w:sz w:val="24"/>
        </w:rPr>
      </w:pPr>
      <w:r>
        <w:rPr/>
        <w:pict>
          <v:shape style="position:absolute;margin-left:42.549999pt;margin-top:542.039978pt;width:510.25pt;height:45.7pt;mso-position-horizontal-relative:page;mso-position-vertical-relative:page;z-index:-253428736" coordorigin="851,10841" coordsize="10205,914" path="m11027,10841l880,10841,869,10843,860,10849,853,10859,851,10870,851,11725,853,11737,860,11746,869,11752,880,11755,11027,11755,11038,11752,11047,11746,11054,11737,11056,11725,11056,10870,11054,10859,11047,10849,11038,10843,11027,10841xe" filled="true" fillcolor="#8063a1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24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8474"/>
      </w:tblGrid>
      <w:tr>
        <w:trPr>
          <w:trHeight w:val="23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0" w:lineRule="exact" w:before="1"/>
              <w:ind w:left="2614" w:right="26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Супероксид дисмутаза 2 (SOD2)</w:t>
            </w:r>
          </w:p>
        </w:tc>
      </w:tr>
      <w:tr>
        <w:trPr>
          <w:trHeight w:val="918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2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3"/>
              <w:jc w:val="both"/>
              <w:rPr>
                <w:sz w:val="20"/>
              </w:rPr>
            </w:pPr>
            <w:r>
              <w:rPr>
                <w:sz w:val="20"/>
              </w:rPr>
              <w:t>SOD2 (супероксид дисмутаза 2) е ензим, подпомагащ пречистването на клетките от свободните радикали продуцирани при окислително-редукционните процеси и електрон-транспортните реакции в митохондриите. Изследваният вариант в SOD2 се свързва с намален антиоксидантен</w:t>
            </w:r>
          </w:p>
          <w:p>
            <w:pPr>
              <w:pStyle w:val="TableParagraph"/>
              <w:spacing w:line="209" w:lineRule="exact"/>
              <w:ind w:left="100"/>
              <w:rPr>
                <w:sz w:val="20"/>
              </w:rPr>
            </w:pPr>
            <w:r>
              <w:rPr>
                <w:sz w:val="20"/>
              </w:rPr>
              <w:t>капацитет.</w:t>
            </w:r>
          </w:p>
        </w:tc>
      </w:tr>
      <w:tr>
        <w:trPr>
          <w:trHeight w:val="46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SOD2 c.47T&gt;C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15"/>
              <w:ind w:left="127" w:right="1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T/C</w:t>
            </w:r>
          </w:p>
        </w:tc>
      </w:tr>
      <w:tr>
        <w:trPr>
          <w:trHeight w:val="679" w:hRule="atLeast"/>
        </w:trPr>
        <w:tc>
          <w:tcPr>
            <w:tcW w:w="1724" w:type="dxa"/>
            <w:tcBorders>
              <w:left w:val="nil"/>
              <w:bottom w:val="single" w:sz="48" w:space="0" w:color="FFFFFF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27" w:right="1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T/C, което се свързва с леко намален антиоксидантен капацитет. Допълнителният прием на антиоксиданти би подмомогнал процесите на</w:t>
            </w:r>
          </w:p>
          <w:p>
            <w:pPr>
              <w:pStyle w:val="TableParagraph"/>
              <w:spacing w:line="199" w:lineRule="exact"/>
              <w:ind w:left="127" w:right="1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детоксикация.</w:t>
            </w:r>
          </w:p>
        </w:tc>
      </w:tr>
      <w:tr>
        <w:trPr>
          <w:trHeight w:val="220" w:hRule="atLeast"/>
        </w:trPr>
        <w:tc>
          <w:tcPr>
            <w:tcW w:w="10198" w:type="dxa"/>
            <w:gridSpan w:val="2"/>
            <w:tcBorders>
              <w:top w:val="single" w:sz="48" w:space="0" w:color="FFFFFF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01" w:lineRule="exact"/>
              <w:ind w:left="2614" w:right="26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Глутатион-S-Трансферазата (GSTP1)</w:t>
            </w:r>
          </w:p>
        </w:tc>
      </w:tr>
      <w:tr>
        <w:trPr>
          <w:trHeight w:val="919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10"/>
              <w:ind w:left="0"/>
              <w:rPr>
                <w:rFonts w:ascii="Arial Narrow"/>
                <w:sz w:val="2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2"/>
              <w:jc w:val="both"/>
              <w:rPr>
                <w:sz w:val="20"/>
              </w:rPr>
            </w:pPr>
            <w:r>
              <w:rPr>
                <w:sz w:val="20"/>
              </w:rPr>
              <w:t>Глутатион-S-Трансферазата (GSTP1) е отговорна за Фаза II на детоксикацията на ксенобиотици, карциногени, стероиди, тежки метали и продукти от оксидативния стрес. GSTP1 е локализиран в мозъка и белите дробове. Изследваният генетичен вариант се свързва с намалена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ензимна</w:t>
            </w:r>
          </w:p>
          <w:p>
            <w:pPr>
              <w:pStyle w:val="TableParagraph"/>
              <w:spacing w:line="209" w:lineRule="exact"/>
              <w:ind w:left="100"/>
              <w:jc w:val="both"/>
              <w:rPr>
                <w:sz w:val="20"/>
              </w:rPr>
            </w:pPr>
            <w:r>
              <w:rPr>
                <w:sz w:val="20"/>
              </w:rPr>
              <w:t>активност и намалена детоксикация.</w:t>
            </w:r>
          </w:p>
        </w:tc>
      </w:tr>
      <w:tr>
        <w:trPr>
          <w:trHeight w:val="690" w:hRule="atLeast"/>
        </w:trPr>
        <w:tc>
          <w:tcPr>
            <w:tcW w:w="172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line="230" w:lineRule="atLeast"/>
              <w:ind w:right="232"/>
              <w:rPr>
                <w:b/>
                <w:sz w:val="20"/>
              </w:rPr>
            </w:pPr>
            <w:r>
              <w:rPr>
                <w:sz w:val="20"/>
              </w:rPr>
              <w:t>Резултат за: </w:t>
            </w:r>
            <w:r>
              <w:rPr>
                <w:b/>
                <w:sz w:val="20"/>
              </w:rPr>
              <w:t>GSTP1 c.313A&gt;G</w:t>
            </w:r>
          </w:p>
        </w:tc>
        <w:tc>
          <w:tcPr>
            <w:tcW w:w="8474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ind w:left="127" w:right="1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A/G</w:t>
            </w:r>
          </w:p>
        </w:tc>
      </w:tr>
      <w:tr>
        <w:trPr>
          <w:trHeight w:val="497" w:hRule="atLeast"/>
        </w:trPr>
        <w:tc>
          <w:tcPr>
            <w:tcW w:w="1724" w:type="dxa"/>
            <w:tcBorders>
              <w:left w:val="nil"/>
              <w:bottom w:val="single" w:sz="48" w:space="0" w:color="FFFFFF"/>
            </w:tcBorders>
            <w:shd w:val="clear" w:color="auto" w:fill="D9DBDC"/>
          </w:tcPr>
          <w:p>
            <w:pPr>
              <w:pStyle w:val="TableParagraph"/>
              <w:spacing w:before="139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474" w:type="dxa"/>
            <w:tcBorders>
              <w:bottom w:val="single" w:sz="48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 w:before="24"/>
              <w:ind w:left="2997" w:right="104" w:hanging="2444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A/G, който се свързва с леко намалена ензимна активност и детоксикация.</w:t>
            </w:r>
          </w:p>
        </w:tc>
      </w:tr>
      <w:tr>
        <w:trPr>
          <w:trHeight w:val="219" w:hRule="atLeast"/>
        </w:trPr>
        <w:tc>
          <w:tcPr>
            <w:tcW w:w="10198" w:type="dxa"/>
            <w:gridSpan w:val="2"/>
            <w:tcBorders>
              <w:top w:val="single" w:sz="48" w:space="0" w:color="FFFFFF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199" w:lineRule="exact"/>
              <w:ind w:left="2614" w:right="26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N-ацетил трансфераза 2 (NAT2)</w:t>
            </w:r>
          </w:p>
        </w:tc>
      </w:tr>
      <w:tr>
        <w:trPr>
          <w:trHeight w:val="1378" w:hRule="atLeast"/>
        </w:trPr>
        <w:tc>
          <w:tcPr>
            <w:tcW w:w="1724" w:type="dxa"/>
            <w:tcBorders>
              <w:left w:val="nil"/>
              <w:bottom w:val="single" w:sz="6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2"/>
              <w:ind w:left="0"/>
              <w:rPr>
                <w:rFonts w:ascii="Arial Narrow"/>
                <w:sz w:val="28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Информация</w:t>
            </w:r>
          </w:p>
        </w:tc>
        <w:tc>
          <w:tcPr>
            <w:tcW w:w="8474" w:type="dxa"/>
            <w:tcBorders>
              <w:bottom w:val="single" w:sz="6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ind w:left="100" w:right="103"/>
              <w:jc w:val="both"/>
              <w:rPr>
                <w:sz w:val="20"/>
              </w:rPr>
            </w:pPr>
            <w:r>
              <w:rPr>
                <w:sz w:val="20"/>
              </w:rPr>
              <w:t>N-ацетил трансфераза 2 (NAT2) е ензим, който функционира основно в черния дроб и жлъчката. Участва във Фаза II на детоксикация чрез ацетилиране на голям брой фактори от околната среда, включително цигарен дим и изгорели газове. Бавните ацетилатори по този ензим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могат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да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свързват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обезвреждат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токсините.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този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начин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те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ги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задържат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тялото,</w:t>
            </w:r>
          </w:p>
          <w:p>
            <w:pPr>
              <w:pStyle w:val="TableParagraph"/>
              <w:spacing w:line="228" w:lineRule="exact" w:before="6"/>
              <w:ind w:left="100" w:right="111"/>
              <w:jc w:val="both"/>
              <w:rPr>
                <w:sz w:val="20"/>
              </w:rPr>
            </w:pPr>
            <w:r>
              <w:rPr>
                <w:sz w:val="20"/>
              </w:rPr>
              <w:t>увеличавайки риска от различни заболявания. Групи лекарства, чиито метаболизъм е зависим от функцията на NAT2 ензима са: изониазид, сулфаметоксазол, сулфасалазин, кофеин и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др.</w:t>
            </w:r>
          </w:p>
        </w:tc>
      </w:tr>
      <w:tr>
        <w:trPr>
          <w:trHeight w:val="683" w:hRule="atLeast"/>
        </w:trPr>
        <w:tc>
          <w:tcPr>
            <w:tcW w:w="1724" w:type="dxa"/>
            <w:tcBorders>
              <w:top w:val="single" w:sz="6" w:space="0" w:color="FFFFFF"/>
              <w:left w:val="nil"/>
            </w:tcBorders>
            <w:shd w:val="clear" w:color="auto" w:fill="D9DBDC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30" w:lineRule="atLeast"/>
              <w:ind w:right="232"/>
              <w:rPr>
                <w:b/>
                <w:sz w:val="20"/>
              </w:rPr>
            </w:pPr>
            <w:r>
              <w:rPr>
                <w:b/>
                <w:sz w:val="20"/>
              </w:rPr>
              <w:t>NAT2 g.18415371G&gt;A</w:t>
            </w:r>
          </w:p>
        </w:tc>
        <w:tc>
          <w:tcPr>
            <w:tcW w:w="8474" w:type="dxa"/>
            <w:tcBorders>
              <w:top w:val="single" w:sz="6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5"/>
              <w:ind w:left="0"/>
              <w:rPr>
                <w:rFonts w:ascii="Arial Narrow"/>
                <w:sz w:val="19"/>
              </w:rPr>
            </w:pPr>
          </w:p>
          <w:p>
            <w:pPr>
              <w:pStyle w:val="TableParagraph"/>
              <w:ind w:left="127" w:right="1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G/A</w:t>
            </w:r>
          </w:p>
        </w:tc>
      </w:tr>
      <w:tr>
        <w:trPr>
          <w:trHeight w:val="690" w:hRule="atLeast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Коментари</w:t>
            </w:r>
          </w:p>
        </w:tc>
        <w:tc>
          <w:tcPr>
            <w:tcW w:w="8474" w:type="dxa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/>
              <w:ind w:left="484" w:right="498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базата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изследвания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вариант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се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отчита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хетерозиготен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генотип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G/А,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който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Ви определя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като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„междинен“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метаболизатор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(ацетилатор).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Този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генотип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се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свързва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с оптимални нива на ацетилиране в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клетката.</w:t>
            </w:r>
          </w:p>
        </w:tc>
      </w:tr>
    </w:tbl>
    <w:p>
      <w:pPr>
        <w:pStyle w:val="BodyText"/>
        <w:spacing w:before="5"/>
        <w:rPr>
          <w:sz w:val="15"/>
        </w:rPr>
      </w:pPr>
    </w:p>
    <w:tbl>
      <w:tblPr>
        <w:tblCellSpacing w:w="5" w:type="dxa"/>
        <w:tblW w:w="0" w:type="auto"/>
        <w:jc w:val="lef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8"/>
      </w:tblGrid>
      <w:tr>
        <w:trPr>
          <w:trHeight w:val="276" w:hRule="atLeast"/>
        </w:trPr>
        <w:tc>
          <w:tcPr>
            <w:tcW w:w="10198" w:type="dxa"/>
            <w:shd w:val="clear" w:color="auto" w:fill="C5D9F0"/>
          </w:tcPr>
          <w:p>
            <w:pPr>
              <w:pStyle w:val="TableParagraph"/>
              <w:spacing w:line="251" w:lineRule="exact" w:before="18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744" w:hRule="atLeast"/>
        </w:trPr>
        <w:tc>
          <w:tcPr>
            <w:tcW w:w="10198" w:type="dxa"/>
            <w:shd w:val="clear" w:color="auto" w:fill="C5D9F0"/>
          </w:tcPr>
          <w:p>
            <w:pPr>
              <w:pStyle w:val="TableParagraph"/>
              <w:spacing w:line="252" w:lineRule="exact" w:before="1"/>
              <w:ind w:right="106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изследваните варианти се наблюдава увеличен риск от намален антиоксидантен капацитет и детоксикация. Препоръчва се допълнителен прием на антиоксиданти, витамин B6, тетрахидробиоптерин, рибофлавин и желязо.</w:t>
            </w:r>
          </w:p>
        </w:tc>
      </w:tr>
    </w:tbl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281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9530"/>
        <w:gridCol w:w="396"/>
      </w:tblGrid>
      <w:tr>
        <w:trPr>
          <w:trHeight w:val="853" w:hRule="atLeast"/>
        </w:trPr>
        <w:tc>
          <w:tcPr>
            <w:tcW w:w="279" w:type="dxa"/>
            <w:tcBorders>
              <w:left w:val="single" w:sz="34" w:space="0" w:color="5C4676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41"/>
              <w:ind w:left="119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before="1"/>
              <w:ind w:left="119"/>
              <w:rPr>
                <w:b/>
                <w:sz w:val="28"/>
              </w:rPr>
            </w:pPr>
            <w:r>
              <w:rPr>
                <w:b/>
                <w:sz w:val="28"/>
              </w:rPr>
              <w:t>Определяне на нуждите от холин</w:t>
            </w:r>
          </w:p>
        </w:tc>
        <w:tc>
          <w:tcPr>
            <w:tcW w:w="396" w:type="dxa"/>
            <w:tcBorders>
              <w:left w:val="nil"/>
              <w:right w:val="single" w:sz="34" w:space="0" w:color="5C4676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rPr>
          <w:sz w:val="12"/>
        </w:rPr>
      </w:pPr>
    </w:p>
    <w:tbl>
      <w:tblPr>
        <w:tblW w:w="0" w:type="auto"/>
        <w:jc w:val="left"/>
        <w:tblInd w:w="244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8502"/>
      </w:tblGrid>
      <w:tr>
        <w:trPr>
          <w:trHeight w:val="250" w:hRule="atLeast"/>
        </w:trPr>
        <w:tc>
          <w:tcPr>
            <w:tcW w:w="10198" w:type="dxa"/>
            <w:gridSpan w:val="2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7" w:lineRule="exact" w:before="13"/>
              <w:ind w:left="2614" w:right="26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Фосфатидилетаноламин N-метилтрансфераза (PEMT)</w:t>
            </w:r>
          </w:p>
        </w:tc>
      </w:tr>
      <w:tr>
        <w:trPr>
          <w:trHeight w:val="936" w:hRule="atLeast"/>
        </w:trPr>
        <w:tc>
          <w:tcPr>
            <w:tcW w:w="1696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9"/>
              <w:ind w:left="0"/>
              <w:rPr>
                <w:rFonts w:ascii="Arial Narrow"/>
                <w:sz w:val="30"/>
              </w:rPr>
            </w:pPr>
          </w:p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502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 w:before="8"/>
              <w:ind w:left="105" w:right="138"/>
              <w:jc w:val="both"/>
              <w:rPr>
                <w:sz w:val="20"/>
              </w:rPr>
            </w:pPr>
            <w:r>
              <w:rPr>
                <w:sz w:val="20"/>
              </w:rPr>
              <w:t>PEMT (фосфатидилетаноламин N-метилтрансфераза) е скоростоопределящ ензим, отговорен за синтеза на холин в чернодробните, мускулните и други клетки. Изследваният генетичен вариант се асоциира с намалена ензимна активност, риск от холинов дефицит и увеличен риск от развитие на мастен черен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дроб.</w:t>
            </w:r>
          </w:p>
        </w:tc>
      </w:tr>
      <w:tr>
        <w:trPr>
          <w:trHeight w:val="703" w:hRule="atLeast"/>
        </w:trPr>
        <w:tc>
          <w:tcPr>
            <w:tcW w:w="1696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line="229" w:lineRule="exact" w:before="8"/>
              <w:ind w:left="136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30" w:lineRule="exact" w:before="1"/>
              <w:ind w:left="136" w:right="664"/>
              <w:rPr>
                <w:b/>
                <w:sz w:val="20"/>
              </w:rPr>
            </w:pPr>
            <w:r>
              <w:rPr>
                <w:b/>
                <w:sz w:val="20"/>
              </w:rPr>
              <w:t>PEMT c.568G&gt;A</w:t>
            </w:r>
          </w:p>
        </w:tc>
        <w:tc>
          <w:tcPr>
            <w:tcW w:w="8502" w:type="dxa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6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ind w:left="169" w:right="2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G/A</w:t>
            </w:r>
          </w:p>
        </w:tc>
      </w:tr>
      <w:tr>
        <w:trPr>
          <w:trHeight w:val="478" w:hRule="atLeast"/>
        </w:trPr>
        <w:tc>
          <w:tcPr>
            <w:tcW w:w="1696" w:type="dxa"/>
            <w:tcBorders>
              <w:left w:val="nil"/>
              <w:bottom w:val="single" w:sz="34" w:space="0" w:color="FFFFFF"/>
            </w:tcBorders>
            <w:shd w:val="clear" w:color="auto" w:fill="D9DBDC"/>
          </w:tcPr>
          <w:p>
            <w:pPr>
              <w:pStyle w:val="TableParagraph"/>
              <w:spacing w:before="125"/>
              <w:ind w:left="136"/>
              <w:rPr>
                <w:sz w:val="20"/>
              </w:rPr>
            </w:pPr>
            <w:r>
              <w:rPr>
                <w:sz w:val="20"/>
              </w:rPr>
              <w:t>Коментар:</w:t>
            </w:r>
          </w:p>
        </w:tc>
        <w:tc>
          <w:tcPr>
            <w:tcW w:w="8502" w:type="dxa"/>
            <w:tcBorders>
              <w:bottom w:val="single" w:sz="34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line="206" w:lineRule="exact" w:before="68"/>
              <w:ind w:left="169" w:right="2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Отчита се хетерозиготен генотип G/A, което се свързва с леко увеличен риск от холинов</w:t>
            </w:r>
          </w:p>
          <w:p>
            <w:pPr>
              <w:pStyle w:val="TableParagraph"/>
              <w:spacing w:line="184" w:lineRule="exact"/>
              <w:ind w:left="161" w:right="2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дефицит. Приемът на холин би подмогнал клетъчните процеси.</w:t>
            </w:r>
          </w:p>
        </w:tc>
      </w:tr>
      <w:tr>
        <w:trPr>
          <w:trHeight w:val="242" w:hRule="atLeast"/>
        </w:trPr>
        <w:tc>
          <w:tcPr>
            <w:tcW w:w="10198" w:type="dxa"/>
            <w:gridSpan w:val="2"/>
            <w:tcBorders>
              <w:top w:val="single" w:sz="34" w:space="0" w:color="FFFFFF"/>
              <w:left w:val="nil"/>
              <w:bottom w:val="single" w:sz="4" w:space="0" w:color="FFFFFF"/>
              <w:right w:val="nil"/>
            </w:tcBorders>
            <w:shd w:val="clear" w:color="auto" w:fill="C5D9F0"/>
          </w:tcPr>
          <w:p>
            <w:pPr>
              <w:pStyle w:val="TableParagraph"/>
              <w:spacing w:line="22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506" w:hRule="atLeast"/>
        </w:trPr>
        <w:tc>
          <w:tcPr>
            <w:tcW w:w="10198" w:type="dxa"/>
            <w:gridSpan w:val="2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C5D9F0"/>
          </w:tcPr>
          <w:p>
            <w:pPr>
              <w:pStyle w:val="TableParagraph"/>
              <w:spacing w:line="25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изследвания вариант се наблюдава леко увеличен риск от холинов дефицит. Препоръчва се прием на холин.</w:t>
            </w:r>
          </w:p>
        </w:tc>
      </w:tr>
    </w:tbl>
    <w:p>
      <w:pPr>
        <w:spacing w:after="0" w:line="254" w:lineRule="exact"/>
        <w:rPr>
          <w:sz w:val="22"/>
        </w:rPr>
        <w:sectPr>
          <w:pgSz w:w="11910" w:h="16840"/>
          <w:pgMar w:header="269" w:footer="932" w:top="1300" w:bottom="1120" w:left="620" w:right="420"/>
        </w:sectPr>
      </w:pP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265" w:type="dxa"/>
        <w:tblBorders>
          <w:top w:val="single" w:sz="24" w:space="0" w:color="5C4676"/>
          <w:left w:val="single" w:sz="24" w:space="0" w:color="5C4676"/>
          <w:bottom w:val="single" w:sz="24" w:space="0" w:color="5C4676"/>
          <w:right w:val="single" w:sz="24" w:space="0" w:color="5C4676"/>
          <w:insideH w:val="single" w:sz="24" w:space="0" w:color="5C4676"/>
          <w:insideV w:val="single" w:sz="24" w:space="0" w:color="5C467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"/>
        <w:gridCol w:w="9530"/>
        <w:gridCol w:w="360"/>
      </w:tblGrid>
      <w:tr>
        <w:trPr>
          <w:trHeight w:val="740" w:hRule="atLeast"/>
        </w:trPr>
        <w:tc>
          <w:tcPr>
            <w:tcW w:w="277" w:type="dxa"/>
            <w:tcBorders>
              <w:righ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530" w:type="dxa"/>
            <w:tcBorders>
              <w:left w:val="nil"/>
              <w:right w:val="nil"/>
            </w:tcBorders>
            <w:shd w:val="clear" w:color="auto" w:fill="CCC0D9"/>
          </w:tcPr>
          <w:p>
            <w:pPr>
              <w:pStyle w:val="TableParagraph"/>
              <w:spacing w:before="138"/>
              <w:ind w:left="112"/>
              <w:rPr>
                <w:sz w:val="24"/>
              </w:rPr>
            </w:pPr>
            <w:r>
              <w:rPr>
                <w:sz w:val="24"/>
              </w:rPr>
              <w:t>Интерпретация на резултата</w:t>
            </w:r>
          </w:p>
          <w:p>
            <w:pPr>
              <w:pStyle w:val="TableParagraph"/>
              <w:spacing w:line="305" w:lineRule="exact" w:before="2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Хистаминов интолеранс</w:t>
            </w:r>
          </w:p>
        </w:tc>
        <w:tc>
          <w:tcPr>
            <w:tcW w:w="360" w:type="dxa"/>
            <w:tcBorders>
              <w:left w:val="nil"/>
            </w:tcBorders>
            <w:shd w:val="clear" w:color="auto" w:fill="8063A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6"/>
        <w:rPr>
          <w:sz w:val="24"/>
        </w:rPr>
      </w:pPr>
    </w:p>
    <w:tbl>
      <w:tblPr>
        <w:tblW w:w="0" w:type="auto"/>
        <w:jc w:val="left"/>
        <w:tblInd w:w="26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3148"/>
        <w:gridCol w:w="2481"/>
        <w:gridCol w:w="2853"/>
      </w:tblGrid>
      <w:tr>
        <w:trPr>
          <w:trHeight w:val="252" w:hRule="atLeast"/>
        </w:trPr>
        <w:tc>
          <w:tcPr>
            <w:tcW w:w="10146" w:type="dxa"/>
            <w:gridSpan w:val="4"/>
            <w:tcBorders>
              <w:top w:val="nil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7" w:lineRule="exact" w:before="15"/>
              <w:ind w:left="3219" w:right="32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Диамино оксидаза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DAO/AOC1</w:t>
            </w:r>
          </w:p>
        </w:tc>
      </w:tr>
      <w:tr>
        <w:trPr>
          <w:trHeight w:val="1625" w:hRule="atLeast"/>
        </w:trPr>
        <w:tc>
          <w:tcPr>
            <w:tcW w:w="1664" w:type="dxa"/>
            <w:tcBorders>
              <w:left w:val="nil"/>
              <w:right w:val="single" w:sz="12" w:space="0" w:color="FFFFFF"/>
            </w:tcBorders>
            <w:shd w:val="clear" w:color="auto" w:fill="D9DBDC"/>
          </w:tcPr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 Narrow"/>
                <w:sz w:val="22"/>
              </w:rPr>
            </w:pPr>
          </w:p>
          <w:p>
            <w:pPr>
              <w:pStyle w:val="TableParagraph"/>
              <w:spacing w:before="192"/>
              <w:ind w:left="112"/>
              <w:rPr>
                <w:sz w:val="20"/>
              </w:rPr>
            </w:pPr>
            <w:r>
              <w:rPr>
                <w:sz w:val="20"/>
              </w:rPr>
              <w:t>Информация</w:t>
            </w:r>
          </w:p>
        </w:tc>
        <w:tc>
          <w:tcPr>
            <w:tcW w:w="8482" w:type="dxa"/>
            <w:gridSpan w:val="3"/>
            <w:tcBorders>
              <w:left w:val="single" w:sz="12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8"/>
              <w:ind w:left="104" w:right="108"/>
              <w:jc w:val="both"/>
              <w:rPr>
                <w:sz w:val="20"/>
              </w:rPr>
            </w:pPr>
            <w:r>
              <w:rPr>
                <w:sz w:val="20"/>
              </w:rPr>
              <w:t>DAO/AOC1 (диамино оксидаза) е ензим, участващ в метаболизиране на екстрацелуларните хистамини и други съединения (путресцин, спермин, спермидин и др.) в храносмилателния тракт. Ензимът метаболизира хистамините до имидазолова киселина. Изследваните генетични варианти се асоциират с намалена DAO ензимна активност и ниски серумни нива на DAO. Намалените нива на ензима могат да бъдат асоциирани със засилен растеж на чревни бактерии, подувания и болки в корема, алергии, главоболие и чувствителности към различни храни и</w:t>
            </w:r>
          </w:p>
          <w:p>
            <w:pPr>
              <w:pStyle w:val="TableParagraph"/>
              <w:spacing w:line="217" w:lineRule="exact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хистаминова непоносимост (HIT).</w:t>
            </w:r>
          </w:p>
        </w:tc>
      </w:tr>
      <w:tr>
        <w:trPr>
          <w:trHeight w:val="473" w:hRule="atLeast"/>
        </w:trPr>
        <w:tc>
          <w:tcPr>
            <w:tcW w:w="1664" w:type="dxa"/>
            <w:tcBorders>
              <w:left w:val="nil"/>
              <w:right w:val="single" w:sz="12" w:space="0" w:color="FFFFFF"/>
            </w:tcBorders>
            <w:shd w:val="clear" w:color="auto" w:fill="D9DBDC"/>
          </w:tcPr>
          <w:p>
            <w:pPr>
              <w:pStyle w:val="TableParagraph"/>
              <w:spacing w:before="5"/>
              <w:ind w:left="112"/>
              <w:rPr>
                <w:sz w:val="20"/>
              </w:rPr>
            </w:pPr>
            <w:r>
              <w:rPr>
                <w:sz w:val="20"/>
              </w:rPr>
              <w:t>Резултат за:</w:t>
            </w:r>
          </w:p>
          <w:p>
            <w:pPr>
              <w:pStyle w:val="TableParagraph"/>
              <w:spacing w:line="217" w:lineRule="exact"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DAO</w:t>
            </w:r>
          </w:p>
        </w:tc>
        <w:tc>
          <w:tcPr>
            <w:tcW w:w="3148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F0F0F1"/>
          </w:tcPr>
          <w:p>
            <w:pPr>
              <w:pStyle w:val="TableParagraph"/>
              <w:spacing w:before="120"/>
              <w:ind w:left="882"/>
              <w:rPr>
                <w:b/>
                <w:sz w:val="20"/>
              </w:rPr>
            </w:pPr>
            <w:r>
              <w:rPr>
                <w:b/>
                <w:sz w:val="20"/>
              </w:rPr>
              <w:t>c.-691G&gt;T: G/G</w:t>
            </w:r>
          </w:p>
        </w:tc>
        <w:tc>
          <w:tcPr>
            <w:tcW w:w="248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F0F0F1"/>
          </w:tcPr>
          <w:p>
            <w:pPr>
              <w:pStyle w:val="TableParagraph"/>
              <w:spacing w:before="120"/>
              <w:ind w:left="660"/>
              <w:rPr>
                <w:b/>
                <w:sz w:val="20"/>
              </w:rPr>
            </w:pPr>
            <w:r>
              <w:rPr>
                <w:b/>
                <w:sz w:val="20"/>
              </w:rPr>
              <w:t>c.47C&gt;T: С/T</w:t>
            </w:r>
          </w:p>
        </w:tc>
        <w:tc>
          <w:tcPr>
            <w:tcW w:w="2853" w:type="dxa"/>
            <w:tcBorders>
              <w:left w:val="single" w:sz="12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120"/>
              <w:ind w:left="774"/>
              <w:rPr>
                <w:b/>
                <w:sz w:val="20"/>
              </w:rPr>
            </w:pPr>
            <w:r>
              <w:rPr>
                <w:b/>
                <w:sz w:val="20"/>
              </w:rPr>
              <w:t>c.995C&gt;T: C/C</w:t>
            </w:r>
          </w:p>
        </w:tc>
      </w:tr>
      <w:tr>
        <w:trPr>
          <w:trHeight w:val="530" w:hRule="atLeast"/>
        </w:trPr>
        <w:tc>
          <w:tcPr>
            <w:tcW w:w="1664" w:type="dxa"/>
            <w:tcBorders>
              <w:left w:val="nil"/>
              <w:bottom w:val="single" w:sz="52" w:space="0" w:color="FFFFFF"/>
              <w:right w:val="single" w:sz="12" w:space="0" w:color="FFFFFF"/>
            </w:tcBorders>
            <w:shd w:val="clear" w:color="auto" w:fill="D9DBDC"/>
          </w:tcPr>
          <w:p>
            <w:pPr>
              <w:pStyle w:val="TableParagraph"/>
              <w:spacing w:before="147"/>
              <w:ind w:left="112"/>
              <w:rPr>
                <w:sz w:val="20"/>
              </w:rPr>
            </w:pPr>
            <w:r>
              <w:rPr>
                <w:sz w:val="20"/>
              </w:rPr>
              <w:t>Коментари</w:t>
            </w:r>
          </w:p>
        </w:tc>
        <w:tc>
          <w:tcPr>
            <w:tcW w:w="8482" w:type="dxa"/>
            <w:gridSpan w:val="3"/>
            <w:tcBorders>
              <w:left w:val="single" w:sz="12" w:space="0" w:color="FFFFFF"/>
              <w:bottom w:val="single" w:sz="52" w:space="0" w:color="FFFFFF"/>
              <w:right w:val="nil"/>
            </w:tcBorders>
            <w:shd w:val="clear" w:color="auto" w:fill="F0F0F1"/>
          </w:tcPr>
          <w:p>
            <w:pPr>
              <w:pStyle w:val="TableParagraph"/>
              <w:spacing w:before="32"/>
              <w:ind w:left="1749" w:hanging="1645"/>
              <w:rPr>
                <w:b/>
                <w:sz w:val="20"/>
              </w:rPr>
            </w:pPr>
            <w:r>
              <w:rPr>
                <w:b/>
                <w:sz w:val="20"/>
              </w:rPr>
              <w:t>По един от изследваните маркери се отчита хетерозиготен генотип, което се свързва с леко увеличен риск от развитие на хистаминов интолеранс.</w:t>
            </w:r>
          </w:p>
        </w:tc>
      </w:tr>
      <w:tr>
        <w:trPr>
          <w:trHeight w:val="252" w:hRule="atLeast"/>
        </w:trPr>
        <w:tc>
          <w:tcPr>
            <w:tcW w:w="10146" w:type="dxa"/>
            <w:gridSpan w:val="4"/>
            <w:tcBorders>
              <w:top w:val="single" w:sz="52" w:space="0" w:color="FFFFFF"/>
              <w:left w:val="nil"/>
              <w:right w:val="nil"/>
            </w:tcBorders>
            <w:shd w:val="clear" w:color="auto" w:fill="D9DBDC"/>
          </w:tcPr>
          <w:p>
            <w:pPr>
              <w:pStyle w:val="TableParagraph"/>
              <w:spacing w:line="217" w:lineRule="exact" w:before="15"/>
              <w:ind w:left="3219" w:right="32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Хистамин N-метилтрансфераза (HNMT)</w:t>
            </w:r>
          </w:p>
        </w:tc>
      </w:tr>
      <w:tr>
        <w:trPr>
          <w:trHeight w:val="936" w:hRule="atLeast"/>
        </w:trPr>
        <w:tc>
          <w:tcPr>
            <w:tcW w:w="166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before="9"/>
              <w:ind w:left="0"/>
              <w:rPr>
                <w:rFonts w:ascii="Arial Narrow"/>
                <w:sz w:val="30"/>
              </w:rPr>
            </w:pP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Информация:</w:t>
            </w:r>
          </w:p>
        </w:tc>
        <w:tc>
          <w:tcPr>
            <w:tcW w:w="8482" w:type="dxa"/>
            <w:gridSpan w:val="3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 w:before="8"/>
              <w:ind w:left="113" w:right="108"/>
              <w:jc w:val="both"/>
              <w:rPr>
                <w:sz w:val="20"/>
              </w:rPr>
            </w:pPr>
            <w:r>
              <w:rPr>
                <w:sz w:val="20"/>
              </w:rPr>
              <w:t>HNMT (хистамин N-метилтрансфераза) е цитоплазмен ензим, участващ в метаболизма на хистамини, чрез метилирането им до N-метилхистамини (при използването на S- аденозилметионин, SAM). Това е основният път на хистаминова биотрансформация в мозък и бронхи. Генетични варианти в гена се асоциират с астма и хистаминова непоносимост (HIT).</w:t>
            </w:r>
          </w:p>
        </w:tc>
      </w:tr>
      <w:tr>
        <w:trPr>
          <w:trHeight w:val="703" w:hRule="atLeast"/>
        </w:trPr>
        <w:tc>
          <w:tcPr>
            <w:tcW w:w="1664" w:type="dxa"/>
            <w:tcBorders>
              <w:left w:val="nil"/>
            </w:tcBorders>
            <w:shd w:val="clear" w:color="auto" w:fill="D9DBDC"/>
          </w:tcPr>
          <w:p>
            <w:pPr>
              <w:pStyle w:val="TableParagraph"/>
              <w:spacing w:line="230" w:lineRule="atLeast" w:before="5"/>
              <w:ind w:left="112" w:right="96"/>
              <w:rPr>
                <w:b/>
                <w:sz w:val="20"/>
              </w:rPr>
            </w:pPr>
            <w:r>
              <w:rPr>
                <w:sz w:val="20"/>
              </w:rPr>
              <w:t>Резултат за: </w:t>
            </w:r>
            <w:r>
              <w:rPr>
                <w:b/>
                <w:sz w:val="20"/>
              </w:rPr>
              <w:t>HNMT c.314C&gt;T</w:t>
            </w:r>
          </w:p>
        </w:tc>
        <w:tc>
          <w:tcPr>
            <w:tcW w:w="8482" w:type="dxa"/>
            <w:gridSpan w:val="3"/>
            <w:tcBorders>
              <w:right w:val="nil"/>
            </w:tcBorders>
            <w:shd w:val="clear" w:color="auto" w:fill="F0F0F1"/>
          </w:tcPr>
          <w:p>
            <w:pPr>
              <w:pStyle w:val="TableParagraph"/>
              <w:spacing w:before="6"/>
              <w:ind w:left="0"/>
              <w:rPr>
                <w:rFonts w:ascii="Arial Narrow"/>
                <w:sz w:val="20"/>
              </w:rPr>
            </w:pPr>
          </w:p>
          <w:p>
            <w:pPr>
              <w:pStyle w:val="TableParagraph"/>
              <w:ind w:left="4037" w:right="40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C/C</w:t>
            </w:r>
          </w:p>
        </w:tc>
      </w:tr>
      <w:tr>
        <w:trPr>
          <w:trHeight w:val="482" w:hRule="atLeast"/>
        </w:trPr>
        <w:tc>
          <w:tcPr>
            <w:tcW w:w="1664" w:type="dxa"/>
            <w:tcBorders>
              <w:left w:val="nil"/>
              <w:bottom w:val="nil"/>
            </w:tcBorders>
            <w:shd w:val="clear" w:color="auto" w:fill="D9DBDC"/>
          </w:tcPr>
          <w:p>
            <w:pPr>
              <w:pStyle w:val="TableParagraph"/>
              <w:spacing w:before="123"/>
              <w:ind w:left="112"/>
              <w:rPr>
                <w:sz w:val="20"/>
              </w:rPr>
            </w:pPr>
            <w:r>
              <w:rPr>
                <w:sz w:val="20"/>
              </w:rPr>
              <w:t>Коментари</w:t>
            </w:r>
          </w:p>
        </w:tc>
        <w:tc>
          <w:tcPr>
            <w:tcW w:w="8482" w:type="dxa"/>
            <w:gridSpan w:val="3"/>
            <w:tcBorders>
              <w:bottom w:val="nil"/>
              <w:right w:val="nil"/>
            </w:tcBorders>
            <w:shd w:val="clear" w:color="auto" w:fill="F0F0F1"/>
          </w:tcPr>
          <w:p>
            <w:pPr>
              <w:pStyle w:val="TableParagraph"/>
              <w:spacing w:line="230" w:lineRule="atLeast" w:before="8"/>
              <w:ind w:left="1592" w:hanging="1319"/>
              <w:rPr>
                <w:b/>
                <w:sz w:val="20"/>
              </w:rPr>
            </w:pPr>
            <w:r>
              <w:rPr>
                <w:b/>
                <w:sz w:val="20"/>
              </w:rPr>
              <w:t>По изследвания вариант се отчита нормален генотип C/C, което се свързва с нормална ензимна активност и нормално разграждане на хистамин.</w:t>
            </w:r>
          </w:p>
        </w:tc>
      </w:tr>
    </w:tbl>
    <w:p>
      <w:pPr>
        <w:pStyle w:val="BodyText"/>
        <w:spacing w:before="5" w:after="1"/>
        <w:rPr>
          <w:sz w:val="15"/>
        </w:rPr>
      </w:pPr>
    </w:p>
    <w:tbl>
      <w:tblPr>
        <w:tblCellSpacing w:w="4" w:type="dxa"/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8"/>
      </w:tblGrid>
      <w:tr>
        <w:trPr>
          <w:trHeight w:val="244" w:hRule="atLeast"/>
        </w:trPr>
        <w:tc>
          <w:tcPr>
            <w:tcW w:w="10198" w:type="dxa"/>
            <w:tcBorders>
              <w:bottom w:val="nil"/>
            </w:tcBorders>
            <w:shd w:val="clear" w:color="auto" w:fill="C5D9F0"/>
          </w:tcPr>
          <w:p>
            <w:pPr>
              <w:pStyle w:val="TableParagraph"/>
              <w:spacing w:line="23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Извод:</w:t>
            </w:r>
          </w:p>
        </w:tc>
      </w:tr>
      <w:tr>
        <w:trPr>
          <w:trHeight w:val="409" w:hRule="atLeast"/>
        </w:trPr>
        <w:tc>
          <w:tcPr>
            <w:tcW w:w="10198" w:type="dxa"/>
            <w:tcBorders>
              <w:top w:val="nil"/>
            </w:tcBorders>
            <w:shd w:val="clear" w:color="auto" w:fill="C5D9F0"/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  <w:r>
              <w:rPr>
                <w:b/>
                <w:sz w:val="22"/>
              </w:rPr>
              <w:t>На базата на изследваните варианти се наблюдава леко увеличен риск от хистаминов интолеранс.</w:t>
            </w:r>
          </w:p>
        </w:tc>
      </w:tr>
    </w:tbl>
    <w:p>
      <w:pPr>
        <w:pStyle w:val="BodyText"/>
        <w:spacing w:before="5"/>
        <w:rPr>
          <w:sz w:val="15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31"/>
      </w:tblGrid>
      <w:tr>
        <w:trPr>
          <w:trHeight w:val="360" w:hRule="atLeast"/>
        </w:trPr>
        <w:tc>
          <w:tcPr>
            <w:tcW w:w="9331" w:type="dxa"/>
          </w:tcPr>
          <w:p>
            <w:pPr>
              <w:pStyle w:val="TableParagraph"/>
              <w:tabs>
                <w:tab w:pos="9204" w:val="left" w:leader="none"/>
              </w:tabs>
              <w:spacing w:line="266" w:lineRule="exact"/>
              <w:ind w:left="130"/>
              <w:rPr>
                <w:b/>
                <w:sz w:val="24"/>
              </w:rPr>
            </w:pPr>
            <w:r>
              <w:rPr>
                <w:spacing w:val="9"/>
                <w:sz w:val="24"/>
                <w:shd w:fill="CCC0D9" w:color="auto" w:val="clear"/>
              </w:rPr>
              <w:t> </w:t>
            </w:r>
            <w:r>
              <w:rPr>
                <w:b/>
                <w:sz w:val="24"/>
                <w:shd w:fill="CCC0D9" w:color="auto" w:val="clear"/>
              </w:rPr>
              <w:t>Храни с високо съдържание на хистамин или хистамин</w:t>
            </w:r>
            <w:r>
              <w:rPr>
                <w:b/>
                <w:spacing w:val="-26"/>
                <w:sz w:val="24"/>
                <w:shd w:fill="CCC0D9" w:color="auto" w:val="clear"/>
              </w:rPr>
              <w:t> </w:t>
            </w:r>
            <w:r>
              <w:rPr>
                <w:b/>
                <w:sz w:val="24"/>
                <w:shd w:fill="CCC0D9" w:color="auto" w:val="clear"/>
              </w:rPr>
              <w:t>либератори:</w:t>
              <w:tab/>
            </w:r>
          </w:p>
        </w:tc>
      </w:tr>
      <w:tr>
        <w:trPr>
          <w:trHeight w:val="908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691" w:val="left" w:leader="none"/>
              </w:tabs>
              <w:spacing w:line="240" w:lineRule="auto" w:before="94" w:after="0"/>
              <w:ind w:left="200" w:right="198" w:firstLine="0"/>
              <w:jc w:val="both"/>
              <w:rPr>
                <w:sz w:val="20"/>
              </w:rPr>
            </w:pPr>
            <w:r>
              <w:rPr>
                <w:sz w:val="20"/>
              </w:rPr>
              <w:t>Замразено месо, месни консерви, сушени, мариновани, пушени или други предварително приготвени меса: колбаси, шунка, бекон, кайма, карантии, вътрешности (особено черния дроб). Съдържанието на хистамин има тенденция да нараства със степента на раздробяване на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месата.</w:t>
            </w:r>
          </w:p>
        </w:tc>
      </w:tr>
      <w:tr>
        <w:trPr>
          <w:trHeight w:val="847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14" w:val="left" w:leader="none"/>
              </w:tabs>
              <w:spacing w:line="240" w:lineRule="auto" w:before="109" w:after="0"/>
              <w:ind w:left="200" w:right="205" w:firstLine="0"/>
              <w:jc w:val="both"/>
              <w:rPr>
                <w:sz w:val="20"/>
              </w:rPr>
            </w:pPr>
            <w:r>
              <w:rPr>
                <w:sz w:val="20"/>
              </w:rPr>
              <w:t>Рибни консерви, осолени, сушени, пушени или мариновани риби и морски дарове. Някои видове риби (по-специално семейство Scombroidae): риба тон, скумрия, херинга, сардини, аншоа, скариди, миди</w:t>
            </w:r>
          </w:p>
        </w:tc>
      </w:tr>
      <w:tr>
        <w:trPr>
          <w:trHeight w:val="299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610" w:val="left" w:leader="none"/>
                <w:tab w:pos="611" w:val="left" w:leader="none"/>
              </w:tabs>
              <w:spacing w:line="240" w:lineRule="auto" w:before="32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Пикантни или консервирани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храни</w:t>
            </w:r>
          </w:p>
        </w:tc>
      </w:tr>
      <w:tr>
        <w:trPr>
          <w:trHeight w:val="290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10" w:val="left" w:leader="none"/>
                <w:tab w:pos="611" w:val="left" w:leader="none"/>
              </w:tabs>
              <w:spacing w:line="240" w:lineRule="auto" w:before="21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Яйца</w:t>
            </w:r>
          </w:p>
        </w:tc>
      </w:tr>
      <w:tr>
        <w:trPr>
          <w:trHeight w:val="522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17" w:val="left" w:leader="none"/>
                <w:tab w:pos="619" w:val="left" w:leader="none"/>
              </w:tabs>
              <w:spacing w:line="240" w:lineRule="auto" w:before="23" w:after="0"/>
              <w:ind w:left="200" w:right="200" w:firstLine="0"/>
              <w:jc w:val="left"/>
              <w:rPr>
                <w:sz w:val="20"/>
              </w:rPr>
            </w:pPr>
            <w:r>
              <w:rPr>
                <w:sz w:val="20"/>
              </w:rPr>
              <w:t>Зрели сирена: твърдо или полутвърдо бяло сирене, топено сирене, синьо сирене, фондю, Гауда и др.</w:t>
            </w:r>
          </w:p>
        </w:tc>
      </w:tr>
      <w:tr>
        <w:trPr>
          <w:trHeight w:val="290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08" w:val="left" w:leader="none"/>
                <w:tab w:pos="609" w:val="left" w:leader="none"/>
              </w:tabs>
              <w:spacing w:line="240" w:lineRule="auto" w:before="24" w:after="0"/>
              <w:ind w:left="608" w:right="0" w:hanging="409"/>
              <w:jc w:val="left"/>
              <w:rPr>
                <w:sz w:val="20"/>
              </w:rPr>
            </w:pPr>
            <w:r>
              <w:rPr>
                <w:sz w:val="20"/>
              </w:rPr>
              <w:t>Зърнени и бобови култури</w:t>
            </w:r>
          </w:p>
        </w:tc>
      </w:tr>
      <w:tr>
        <w:trPr>
          <w:trHeight w:val="287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610" w:val="left" w:leader="none"/>
                <w:tab w:pos="611" w:val="left" w:leader="none"/>
              </w:tabs>
              <w:spacing w:line="240" w:lineRule="auto" w:before="21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Орехи, кашу и др.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Ядки</w:t>
            </w:r>
          </w:p>
        </w:tc>
      </w:tr>
      <w:tr>
        <w:trPr>
          <w:trHeight w:val="288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10" w:val="left" w:leader="none"/>
                <w:tab w:pos="611" w:val="left" w:leader="none"/>
              </w:tabs>
              <w:spacing w:line="240" w:lineRule="auto" w:before="21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Шоколадови бонбони и други продукти на основата на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какао</w:t>
            </w:r>
          </w:p>
        </w:tc>
      </w:tr>
      <w:tr>
        <w:trPr>
          <w:trHeight w:val="287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10" w:val="left" w:leader="none"/>
                <w:tab w:pos="611" w:val="left" w:leader="none"/>
              </w:tabs>
              <w:spacing w:line="240" w:lineRule="auto" w:before="21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Цитрусови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плодове</w:t>
            </w:r>
          </w:p>
        </w:tc>
      </w:tr>
      <w:tr>
        <w:trPr>
          <w:trHeight w:val="286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610" w:val="left" w:leader="none"/>
                <w:tab w:pos="611" w:val="left" w:leader="none"/>
              </w:tabs>
              <w:spacing w:line="240" w:lineRule="auto" w:before="21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Продукти с консерванти и изкуствени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оцветители</w:t>
            </w:r>
          </w:p>
        </w:tc>
      </w:tr>
      <w:tr>
        <w:trPr>
          <w:trHeight w:val="542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668" w:val="left" w:leader="none"/>
                <w:tab w:pos="669" w:val="left" w:leader="none"/>
              </w:tabs>
              <w:spacing w:line="240" w:lineRule="auto" w:before="21" w:after="0"/>
              <w:ind w:left="200" w:right="206" w:firstLine="0"/>
              <w:jc w:val="left"/>
              <w:rPr>
                <w:sz w:val="20"/>
              </w:rPr>
            </w:pPr>
            <w:r>
              <w:rPr>
                <w:sz w:val="20"/>
              </w:rPr>
              <w:t>Кисело зеле, спанак, домати (включително кетчуп, доматен сок и т.н.), патладжан, авокадо, банани, маслини, мариновани зеленчуци,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гъби</w:t>
            </w:r>
          </w:p>
        </w:tc>
      </w:tr>
      <w:tr>
        <w:trPr>
          <w:trHeight w:val="265" w:hRule="atLeast"/>
        </w:trPr>
        <w:tc>
          <w:tcPr>
            <w:tcW w:w="9331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610" w:val="left" w:leader="none"/>
                <w:tab w:pos="611" w:val="left" w:leader="none"/>
              </w:tabs>
              <w:spacing w:line="225" w:lineRule="exact" w:before="20" w:after="0"/>
              <w:ind w:left="610" w:right="0" w:hanging="411"/>
              <w:jc w:val="left"/>
              <w:rPr>
                <w:sz w:val="20"/>
              </w:rPr>
            </w:pPr>
            <w:r>
              <w:rPr>
                <w:sz w:val="20"/>
              </w:rPr>
              <w:t>Алкохол, особено червено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вино</w:t>
            </w:r>
          </w:p>
        </w:tc>
      </w:tr>
    </w:tbl>
    <w:sectPr>
      <w:pgSz w:w="11910" w:h="16840"/>
      <w:pgMar w:header="269" w:footer="932" w:top="1300" w:bottom="1120" w:left="62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Arial Narrow">
    <w:altName w:val="Arial Narrow"/>
    <w:charset w:val="CC"/>
    <w:family w:val="swiss"/>
    <w:pitch w:val="variable"/>
  </w:font>
  <w:font w:name="Calibri">
    <w:altName w:val="Calibri"/>
    <w:charset w:val="CC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37.200001pt;margin-top:779.76001pt;width:489pt;height:.5pt;mso-position-horizontal-relative:page;mso-position-vertical-relative:page;z-index:-253440000" coordorigin="744,15595" coordsize="9780,10">
          <v:line style="position:absolute" from="744,15600" to="5634,15600" stroked="true" strokeweight=".47998pt" strokecolor="#000000">
            <v:stroke dashstyle="solid"/>
          </v:line>
          <v:rect style="position:absolute;left:5633;top:15595;width:10;height:10" filled="true" fillcolor="#000000" stroked="false">
            <v:fill type="solid"/>
          </v:rect>
          <v:line style="position:absolute" from="5643,15600" to="10524,15600" stroked="true" strokeweight=".47998pt" strokecolor="#000000">
            <v:stroke dashstyle="solid"/>
          </v:lin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99998pt;margin-top:794.839966pt;width:225.7pt;height:13.05pt;mso-position-horizontal-relative:page;mso-position-vertical-relative:page;z-index:-253438976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  <w:color w:val="3C464D"/>
                  </w:rPr>
                  <w:t>ул. “Ами Буе” 84, София 1612, тел. 0897 017 270</w:t>
                </w:r>
              </w:p>
            </w:txbxContent>
          </v:textbox>
          <w10:wrap type="none"/>
        </v:shape>
      </w:pict>
    </w:r>
    <w:r>
      <w:rPr/>
      <w:pict>
        <v:shape style="position:absolute;margin-left:491.619995pt;margin-top:794.839966pt;width:30.25pt;height:13.05pt;mso-position-horizontal-relative:page;mso-position-vertical-relative:page;z-index:-253437952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 w:hAnsi="Calibri"/>
                    <w:color w:val="3C464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" w:hAnsi="Calibri"/>
                    <w:color w:val="3C464D"/>
                  </w:rPr>
                  <w:t> от 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37.200001pt;margin-top:781.320007pt;width:489pt;height:.5pt;mso-position-horizontal-relative:page;mso-position-vertical-relative:page;z-index:-253431808" coordorigin="744,15626" coordsize="9780,10">
          <v:line style="position:absolute" from="744,15631" to="5634,15631" stroked="true" strokeweight=".47998pt" strokecolor="#000000">
            <v:stroke dashstyle="solid"/>
          </v:line>
          <v:rect style="position:absolute;left:5633;top:15626;width:10;height:10" filled="true" fillcolor="#000000" stroked="false">
            <v:fill type="solid"/>
          </v:rect>
          <v:line style="position:absolute" from="5643,15631" to="10524,15631" stroked="true" strokeweight=".47998pt" strokecolor="#000000">
            <v:stroke dashstyle="solid"/>
          </v:line>
          <w10:wrap type="none"/>
        </v:group>
      </w:pict>
    </w:r>
    <w:r>
      <w:rPr/>
      <w:pict>
        <v:shape style="position:absolute;margin-left:41.599998pt;margin-top:793.762085pt;width:230.3pt;height:14.25pt;mso-position-horizontal-relative:page;mso-position-vertical-relative:page;z-index:-25343078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color w:val="3C464D"/>
                  </w:rPr>
                  <w:t>ул. “Ами Буе” 84, София 1612, тел. 0897 017 270</w:t>
                </w:r>
              </w:p>
            </w:txbxContent>
          </v:textbox>
          <w10:wrap type="none"/>
        </v:shape>
      </w:pict>
    </w:r>
    <w:r>
      <w:rPr/>
      <w:pict>
        <v:shape style="position:absolute;margin-left:491.019989pt;margin-top:793.762085pt;width:30.9pt;height:14.25pt;mso-position-horizontal-relative:page;mso-position-vertical-relative:page;z-index:-25342976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60"/>
                  <w:rPr>
                    <w:rFonts w:ascii="Times New Roman" w:hAnsi="Times New Roman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 w:hAnsi="Times New Roman"/>
                    <w:color w:val="3C464D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Times New Roman" w:hAnsi="Times New Roman"/>
                    <w:color w:val="3C464D"/>
                  </w:rPr>
                  <w:t> от 9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49879552">
          <wp:simplePos x="0" y="0"/>
          <wp:positionH relativeFrom="page">
            <wp:posOffset>357504</wp:posOffset>
          </wp:positionH>
          <wp:positionV relativeFrom="page">
            <wp:posOffset>170713</wp:posOffset>
          </wp:positionV>
          <wp:extent cx="1965960" cy="482447"/>
          <wp:effectExtent l="0" t="0" r="0" b="0"/>
          <wp:wrapNone/>
          <wp:docPr id="5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65960" cy="48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249880576">
          <wp:simplePos x="0" y="0"/>
          <wp:positionH relativeFrom="page">
            <wp:posOffset>2479675</wp:posOffset>
          </wp:positionH>
          <wp:positionV relativeFrom="page">
            <wp:posOffset>170713</wp:posOffset>
          </wp:positionV>
          <wp:extent cx="1778000" cy="446887"/>
          <wp:effectExtent l="0" t="0" r="0" b="0"/>
          <wp:wrapNone/>
          <wp:docPr id="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78000" cy="446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0.52pt;margin-top:64.919983pt;width:545.050pt;height:.5pt;mso-position-horizontal-relative:page;mso-position-vertical-relative:page;z-index:-253434880" coordorigin="410,1298" coordsize="10901,10">
          <v:line style="position:absolute" from="410,1303" to="3769,1303" stroked="true" strokeweight=".48pt" strokecolor="#000000">
            <v:stroke dashstyle="solid"/>
          </v:line>
          <v:rect style="position:absolute;left:3754;top:1298;width:10;height:10" filled="true" fillcolor="#000000" stroked="false">
            <v:fill type="solid"/>
          </v:rect>
          <v:line style="position:absolute" from="3764,1303" to="6815,1303" stroked="true" strokeweight=".48pt" strokecolor="#000000">
            <v:stroke dashstyle="solid"/>
          </v:line>
          <v:rect style="position:absolute;left:6800;top:1298;width:10;height:10" filled="true" fillcolor="#000000" stroked="false">
            <v:fill type="solid"/>
          </v:rect>
          <v:line style="position:absolute" from="6810,1303" to="11311,1303" stroked="true" strokeweight=".48pt" strokecolor="#000000">
            <v:stroke dashstyle="solid"/>
          </v:line>
          <w10:wrap type="none"/>
        </v:group>
      </w:pict>
    </w:r>
    <w:r>
      <w:rPr/>
      <w:pict>
        <v:shape style="position:absolute;margin-left:350.549988pt;margin-top:26.259964pt;width:117.5pt;height:12pt;mso-position-horizontal-relative:page;mso-position-vertical-relative:page;z-index:-253433856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Дата на издаване на резултата</w:t>
                </w:r>
              </w:p>
            </w:txbxContent>
          </v:textbox>
          <w10:wrap type="none"/>
        </v:shape>
      </w:pict>
    </w:r>
    <w:r>
      <w:rPr/>
      <w:pict>
        <v:shape style="position:absolute;margin-left:493.619995pt;margin-top:26.482092pt;width:49.45pt;height:14.6pt;mso-position-horizontal-relative:page;mso-position-vertical-relative:page;z-index:-253432832" type="#_x0000_t202" filled="false" stroked="false">
          <v:textbox inset="0,0,0,0">
            <w:txbxContent>
              <w:p>
                <w:pPr>
                  <w:pStyle w:val="BodyText"/>
                  <w:spacing w:before="7"/>
                  <w:ind w:left="20"/>
                  <w:rPr>
                    <w:rFonts w:ascii="Calibri"/>
                  </w:rPr>
                </w:pPr>
                <w:r>
                  <w:rPr>
                    <w:rFonts w:ascii="Times New Roman"/>
                  </w:rPr>
                  <w:t>3</w:t>
                </w:r>
                <w:r>
                  <w:rPr>
                    <w:rFonts w:ascii="Calibri"/>
                  </w:rPr>
                  <w:t>/28/2025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200" w:hanging="469"/>
      </w:pPr>
      <w:rPr>
        <w:rFonts w:hint="default" w:ascii="Symbol" w:hAnsi="Symbol" w:eastAsia="Symbol" w:cs="Symbol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13" w:hanging="46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026" w:hanging="46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39" w:hanging="46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52" w:hanging="46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765" w:hanging="46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78" w:hanging="46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591" w:hanging="46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04" w:hanging="469"/>
      </w:pPr>
      <w:rPr>
        <w:rFonts w:hint="default"/>
        <w:lang w:val="en-US" w:eastAsia="en-US" w:bidi="en-US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08" w:hanging="409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73" w:hanging="40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46" w:hanging="40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19" w:hanging="40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092" w:hanging="40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65" w:hanging="40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38" w:hanging="40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1" w:hanging="40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4" w:hanging="409"/>
      </w:pPr>
      <w:rPr>
        <w:rFonts w:hint="default"/>
        <w:lang w:val="en-US" w:eastAsia="en-US" w:bidi="en-US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00" w:hanging="419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13" w:hanging="41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026" w:hanging="41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39" w:hanging="41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52" w:hanging="41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765" w:hanging="41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78" w:hanging="41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591" w:hanging="41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04" w:hanging="419"/>
      </w:pPr>
      <w:rPr>
        <w:rFonts w:hint="default"/>
        <w:lang w:val="en-US" w:eastAsia="en-US" w:bidi="en-US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10" w:hanging="41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91" w:hanging="41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362" w:hanging="41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33" w:hanging="41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104" w:hanging="41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975" w:hanging="41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46" w:hanging="41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17" w:hanging="41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88" w:hanging="411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00" w:hanging="414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13" w:hanging="41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026" w:hanging="41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39" w:hanging="41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52" w:hanging="41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765" w:hanging="41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78" w:hanging="41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591" w:hanging="41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04" w:hanging="414"/>
      </w:pPr>
      <w:rPr>
        <w:rFonts w:hint="default"/>
        <w:lang w:val="en-US" w:eastAsia="en-US" w:bidi="en-US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00" w:hanging="491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13" w:hanging="49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026" w:hanging="49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39" w:hanging="49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52" w:hanging="49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765" w:hanging="49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78" w:hanging="49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591" w:hanging="49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504" w:hanging="491"/>
      </w:pPr>
      <w:rPr>
        <w:rFonts w:hint="default"/>
        <w:lang w:val="en-US" w:eastAsia="en-US" w:bidi="en-U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Times New Roman" w:hAnsi="Times New Roman" w:eastAsia="Times New Roman" w:cs="Times New Roman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G2-Trombo</dc:creator>
  <dcterms:created xsi:type="dcterms:W3CDTF">2026-01-20T09:56:52Z</dcterms:created>
  <dcterms:modified xsi:type="dcterms:W3CDTF">2026-01-20T09:56:52Z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2026-01-20T00:00:00Z</vt:filetime>
  </property>
</Properties>
</file>