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CyberRiskGuardian</w:t>
      </w:r>
      <w:r>
        <w:t xml:space="preserve"> </w:t>
      </w:r>
      <w:r>
        <w:t xml:space="preserve">in</w:t>
      </w:r>
      <w:r>
        <w:t xml:space="preserve"> </w:t>
      </w:r>
      <w:r>
        <w:t xml:space="preserve">the</w:t>
      </w:r>
      <w:r>
        <w:t xml:space="preserve"> </w:t>
      </w:r>
      <w:r>
        <w:t xml:space="preserve">Classroom</w:t>
      </w:r>
    </w:p>
    <w:p>
      <w:pPr>
        <w:pStyle w:val="Subtitle"/>
      </w:pPr>
      <w:r>
        <w:t xml:space="preserve">Instructor</w:t>
      </w:r>
      <w:r>
        <w:t xml:space="preserve"> </w:t>
      </w:r>
      <w:r>
        <w:t xml:space="preserve">Guide</w:t>
      </w:r>
      <w:r>
        <w:t xml:space="preserve"> </w:t>
      </w:r>
      <w:r>
        <w:t xml:space="preserve">—</w:t>
      </w:r>
      <w:r>
        <w:t xml:space="preserve"> </w:t>
      </w:r>
      <w:r>
        <w:t xml:space="preserve">Education</w:t>
      </w:r>
      <w:r>
        <w:t xml:space="preserve"> </w:t>
      </w:r>
      <w:r>
        <w:t xml:space="preserve">Package</w:t>
      </w:r>
      <w:r>
        <w:t xml:space="preserve"> </w:t>
      </w:r>
      <w:r>
        <w:t xml:space="preserve">1.0</w:t>
      </w:r>
    </w:p>
    <w:p>
      <w:pPr>
        <w:pStyle w:val="Author"/>
      </w:pPr>
      <w:r>
        <w:t xml:space="preserve">Marc-André</w:t>
      </w:r>
      <w:r>
        <w:t xml:space="preserve"> </w:t>
      </w:r>
      <w:r>
        <w:t xml:space="preserve">Léger,</w:t>
      </w:r>
      <w:r>
        <w:t xml:space="preserve"> </w:t>
      </w:r>
      <w:r>
        <w:t xml:space="preserve">PhD</w:t>
      </w:r>
    </w:p>
    <w:p>
      <w:pPr>
        <w:pStyle w:val="Date"/>
      </w:pPr>
      <w:r>
        <w:t xml:space="preserve">October</w:t>
      </w:r>
      <w:r>
        <w:t xml:space="preserve"> </w:t>
      </w:r>
      <w:r>
        <w:t xml:space="preserve">2026</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22" w:name="about-this-guide"/>
    <w:p>
      <w:pPr>
        <w:pStyle w:val="Heading1"/>
      </w:pPr>
      <w:r>
        <w:rPr>
          <w:rStyle w:val="SectionNumber"/>
        </w:rPr>
        <w:t xml:space="preserve">1</w:t>
      </w:r>
      <w:r>
        <w:tab/>
      </w:r>
      <w:r>
        <w:t xml:space="preserve">About this guide</w:t>
      </w:r>
    </w:p>
    <w:p>
      <w:pPr>
        <w:pStyle w:val="FirstParagraph"/>
      </w:pPr>
      <w:r>
        <w:t xml:space="preserve">This guide helps instructors, teaching assistants and program coordinators bring CyberRiskGuardian (CRG) into a course on cybersecurity risk management, governance, IT audit or business technology management. It explains what the method teaches, which version of the tool to use, how to fit it into a single workshop or a full term, how to run the labs, and how to assess the work fairly when students are allowed to use generative AI.</w:t>
      </w:r>
    </w:p>
    <w:p>
      <w:pPr>
        <w:pStyle w:val="BodyText"/>
      </w:pPr>
      <w:r>
        <w:t xml:space="preserve">The package was built from the material that ships with CyberRiskGuardian (the method specifications, the governance textbook, the MediBec worked example and the desktop application’s teaching features) and from the author’s own course,</w:t>
      </w:r>
      <w:r>
        <w:t xml:space="preserve"> </w:t>
      </w:r>
      <w:r>
        <w:rPr>
          <w:iCs/>
          <w:i/>
        </w:rPr>
        <w:t xml:space="preserve">BTM 440 Business Information Systems Risks, Security and Audit</w:t>
      </w:r>
      <w:r>
        <w:t xml:space="preserve"> </w:t>
      </w:r>
      <w:r>
        <w:t xml:space="preserve">(Concordia University, Fall 2026), where CRG has been used for the team risk-assessment assignment.</w:t>
      </w:r>
    </w:p>
    <w:bookmarkStart w:id="20" w:name="what-is-in-the-package"/>
    <w:p>
      <w:pPr>
        <w:pStyle w:val="Heading2"/>
      </w:pPr>
      <w:r>
        <w:rPr>
          <w:rStyle w:val="SectionNumber"/>
        </w:rPr>
        <w:t xml:space="preserve">1.1</w:t>
      </w:r>
      <w:r>
        <w:tab/>
      </w:r>
      <w:r>
        <w:t xml:space="preserve">What is in the package</w:t>
      </w:r>
    </w:p>
    <w:tbl>
      <w:tblPr>
        <w:tblStyle w:val="Table"/>
        <w:tblW w:type="dxa" w:w="9600"/>
        <w:tblLook w:firstRow="1" w:lastRow="0" w:firstColumn="0" w:lastColumn="0" w:noHBand="0" w:noVBand="0" w:val="0020"/>
        <w:jc w:val="start"/>
      </w:tblPr>
      <w:tblGrid>
        <w:gridCol w:w="5881"/>
        <w:gridCol w:w="1659"/>
        <w:gridCol w:w="2060"/>
      </w:tblGrid>
      <w:tr>
        <w:trPr>
          <w:tblHeader w:val="true"/>
        </w:trPr>
        <w:tc>
          <w:tcPr>
            <w:tcW w:type="dxa" w:w="5881"/>
            <w:shd w:val="clear" w:color="auto" w:fill="123A5C"/>
          </w:tcPr>
          <w:p>
            <w:pPr>
              <w:pStyle w:val="Compact"/>
              <w:spacing w:after="40" w:before="20"/>
              <w:jc w:val="left"/>
            </w:pPr>
            <w:r>
              <w:rPr>
                <w:b/>
                <w:color w:val="FFFFFF"/>
              </w:rPr>
              <w:t xml:space="preserve">Component</w:t>
            </w:r>
          </w:p>
        </w:tc>
        <w:tc>
          <w:tcPr>
            <w:tcW w:type="dxa" w:w="1659"/>
            <w:shd w:val="clear" w:color="auto" w:fill="123A5C"/>
          </w:tcPr>
          <w:p>
            <w:pPr>
              <w:pStyle w:val="Compact"/>
              <w:spacing w:after="40" w:before="20"/>
              <w:jc w:val="left"/>
            </w:pPr>
            <w:r>
              <w:rPr>
                <w:b/>
                <w:color w:val="FFFFFF"/>
              </w:rPr>
              <w:t xml:space="preserve">Audience</w:t>
            </w:r>
          </w:p>
        </w:tc>
        <w:tc>
          <w:tcPr>
            <w:tcW w:type="dxa" w:w="2060"/>
            <w:shd w:val="clear" w:color="auto" w:fill="123A5C"/>
          </w:tcPr>
          <w:p>
            <w:pPr>
              <w:pStyle w:val="Compact"/>
              <w:spacing w:after="40" w:before="20"/>
              <w:jc w:val="left"/>
            </w:pPr>
            <w:r>
              <w:rPr>
                <w:b/>
                <w:color w:val="FFFFFF"/>
              </w:rPr>
              <w:t xml:space="preserve">Edition</w:t>
            </w:r>
          </w:p>
        </w:tc>
      </w:tr>
      <w:tr>
        <w:tc>
          <w:tcPr>
            <w:tcW w:type="dxa" w:w="5881"/>
          </w:tcPr>
          <w:p>
            <w:pPr>
              <w:pStyle w:val="Compact"/>
              <w:spacing w:after="40" w:before="20"/>
              <w:jc w:val="left"/>
            </w:pPr>
            <w:r>
              <w:rPr>
                <w:bCs/>
                <w:b/>
              </w:rPr>
              <w:t xml:space="preserve">Instructor Guide</w:t>
            </w:r>
            <w:r>
              <w:t xml:space="preserve"> </w:t>
            </w:r>
            <w:r>
              <w:t xml:space="preserve">(this document)</w:t>
            </w:r>
          </w:p>
        </w:tc>
        <w:tc>
          <w:tcPr>
            <w:tcW w:type="dxa" w:w="1659"/>
          </w:tcPr>
          <w:p>
            <w:pPr>
              <w:pStyle w:val="Compact"/>
              <w:spacing w:after="40" w:before="20"/>
              <w:jc w:val="left"/>
            </w:pPr>
            <w:r>
              <w:t xml:space="preserve">Instructors, TAs, coordinators</w:t>
            </w:r>
          </w:p>
        </w:tc>
        <w:tc>
          <w:tcPr>
            <w:tcW w:type="dxa" w:w="2060"/>
          </w:tcPr>
          <w:p>
            <w:pPr>
              <w:pStyle w:val="Compact"/>
              <w:spacing w:after="40" w:before="20"/>
              <w:jc w:val="left"/>
            </w:pPr>
            <w:r>
              <w:t xml:space="preserve">Community (free)</w:t>
            </w:r>
          </w:p>
        </w:tc>
      </w:tr>
      <w:tr>
        <w:tc>
          <w:tcPr>
            <w:tcW w:type="dxa" w:w="5881"/>
          </w:tcPr>
          <w:p>
            <w:pPr>
              <w:pStyle w:val="Compact"/>
              <w:spacing w:after="40" w:before="20"/>
              <w:jc w:val="left"/>
            </w:pPr>
            <w:r>
              <w:rPr>
                <w:bCs/>
                <w:b/>
              </w:rPr>
              <w:t xml:space="preserve">Student Lab Workbook</w:t>
            </w:r>
            <w:r>
              <w:t xml:space="preserve"> </w:t>
            </w:r>
            <w:r>
              <w:t xml:space="preserve">— twelve labs on the MediBec case, with self-check answers</w:t>
            </w:r>
          </w:p>
        </w:tc>
        <w:tc>
          <w:tcPr>
            <w:tcW w:type="dxa" w:w="1659"/>
          </w:tcPr>
          <w:p>
            <w:pPr>
              <w:pStyle w:val="Compact"/>
              <w:spacing w:after="40" w:before="20"/>
              <w:jc w:val="left"/>
            </w:pPr>
            <w:r>
              <w:t xml:space="preserve">Students</w:t>
            </w:r>
          </w:p>
        </w:tc>
        <w:tc>
          <w:tcPr>
            <w:tcW w:type="dxa" w:w="2060"/>
          </w:tcPr>
          <w:p>
            <w:pPr>
              <w:pStyle w:val="Compact"/>
              <w:spacing w:after="40" w:before="20"/>
              <w:jc w:val="left"/>
            </w:pPr>
            <w:r>
              <w:t xml:space="preserve">Community (free)</w:t>
            </w:r>
          </w:p>
        </w:tc>
      </w:tr>
      <w:tr>
        <w:tc>
          <w:tcPr>
            <w:tcW w:type="dxa" w:w="5881"/>
          </w:tcPr>
          <w:p>
            <w:pPr>
              <w:pStyle w:val="Compact"/>
              <w:spacing w:after="40" w:before="20"/>
              <w:jc w:val="left"/>
            </w:pPr>
            <w:r>
              <w:rPr>
                <w:bCs/>
                <w:b/>
              </w:rPr>
              <w:t xml:space="preserve">Assessment Kit</w:t>
            </w:r>
            <w:r>
              <w:t xml:space="preserve"> </w:t>
            </w:r>
            <w:r>
              <w:t xml:space="preserve">— assignment briefs, 0–10 rubrics, self-checks, peer-review form, AI acknowledgement</w:t>
            </w:r>
          </w:p>
        </w:tc>
        <w:tc>
          <w:tcPr>
            <w:tcW w:type="dxa" w:w="1659"/>
          </w:tcPr>
          <w:p>
            <w:pPr>
              <w:pStyle w:val="Compact"/>
              <w:spacing w:after="40" w:before="20"/>
              <w:jc w:val="left"/>
            </w:pPr>
            <w:r>
              <w:t xml:space="preserve">Students and instructors</w:t>
            </w:r>
          </w:p>
        </w:tc>
        <w:tc>
          <w:tcPr>
            <w:tcW w:type="dxa" w:w="2060"/>
          </w:tcPr>
          <w:p>
            <w:pPr>
              <w:pStyle w:val="Compact"/>
              <w:spacing w:after="40" w:before="20"/>
              <w:jc w:val="left"/>
            </w:pPr>
            <w:r>
              <w:t xml:space="preserve">Community (free)</w:t>
            </w:r>
          </w:p>
        </w:tc>
      </w:tr>
      <w:tr>
        <w:tc>
          <w:tcPr>
            <w:tcW w:type="dxa" w:w="5881"/>
          </w:tcPr>
          <w:p>
            <w:pPr>
              <w:pStyle w:val="Compact"/>
              <w:spacing w:after="40" w:before="20"/>
              <w:jc w:val="left"/>
            </w:pPr>
            <w:r>
              <w:rPr>
                <w:bCs/>
                <w:b/>
              </w:rPr>
              <w:t xml:space="preserve">Case Library</w:t>
            </w:r>
            <w:r>
              <w:t xml:space="preserve"> </w:t>
            </w:r>
            <w:r>
              <w:t xml:space="preserve">— five fictional business cases with a guide to choosing one</w:t>
            </w:r>
          </w:p>
        </w:tc>
        <w:tc>
          <w:tcPr>
            <w:tcW w:type="dxa" w:w="1659"/>
          </w:tcPr>
          <w:p>
            <w:pPr>
              <w:pStyle w:val="Compact"/>
              <w:spacing w:after="40" w:before="20"/>
              <w:jc w:val="left"/>
            </w:pPr>
            <w:r>
              <w:t xml:space="preserve">Students and instructors</w:t>
            </w:r>
          </w:p>
        </w:tc>
        <w:tc>
          <w:tcPr>
            <w:tcW w:type="dxa" w:w="2060"/>
          </w:tcPr>
          <w:p>
            <w:pPr>
              <w:pStyle w:val="Compact"/>
              <w:spacing w:after="40" w:before="20"/>
              <w:jc w:val="left"/>
            </w:pPr>
            <w:r>
              <w:t xml:space="preserve">Community (free)</w:t>
            </w:r>
          </w:p>
        </w:tc>
      </w:tr>
      <w:tr>
        <w:tc>
          <w:tcPr>
            <w:tcW w:type="dxa" w:w="5881"/>
          </w:tcPr>
          <w:p>
            <w:pPr>
              <w:pStyle w:val="Compact"/>
              <w:spacing w:after="40" w:before="20"/>
              <w:jc w:val="left"/>
            </w:pPr>
            <w:r>
              <w:rPr>
                <w:bCs/>
                <w:b/>
              </w:rPr>
              <w:t xml:space="preserve">Introductory slide deck</w:t>
            </w:r>
            <w:r>
              <w:t xml:space="preserve"> </w:t>
            </w:r>
            <w:r>
              <w:t xml:space="preserve">— the CRG method in one class</w:t>
            </w:r>
          </w:p>
        </w:tc>
        <w:tc>
          <w:tcPr>
            <w:tcW w:type="dxa" w:w="1659"/>
          </w:tcPr>
          <w:p>
            <w:pPr>
              <w:pStyle w:val="Compact"/>
              <w:spacing w:after="40" w:before="20"/>
              <w:jc w:val="left"/>
            </w:pPr>
            <w:r>
              <w:t xml:space="preserve">Instructors</w:t>
            </w:r>
          </w:p>
        </w:tc>
        <w:tc>
          <w:tcPr>
            <w:tcW w:type="dxa" w:w="2060"/>
          </w:tcPr>
          <w:p>
            <w:pPr>
              <w:pStyle w:val="Compact"/>
              <w:spacing w:after="40" w:before="20"/>
              <w:jc w:val="left"/>
            </w:pPr>
            <w:r>
              <w:t xml:space="preserve">Community (free)</w:t>
            </w:r>
          </w:p>
        </w:tc>
      </w:tr>
      <w:tr>
        <w:tc>
          <w:tcPr>
            <w:tcW w:type="dxa" w:w="5881"/>
          </w:tcPr>
          <w:p>
            <w:pPr>
              <w:pStyle w:val="Compact"/>
              <w:spacing w:after="40" w:before="20"/>
              <w:jc w:val="left"/>
            </w:pPr>
            <w:r>
              <w:rPr>
                <w:bCs/>
                <w:b/>
              </w:rPr>
              <w:t xml:space="preserve">Excel model v2-6</w:t>
            </w:r>
            <w:r>
              <w:t xml:space="preserve"> </w:t>
            </w:r>
            <w:r>
              <w:t xml:space="preserve">— the blank CyberRiskGuardian Excel model (</w:t>
            </w:r>
            <w:r>
              <w:rPr>
                <w:rStyle w:val="VerbatimChar"/>
              </w:rPr>
              <w:t xml:space="preserve">templates/</w:t>
            </w:r>
            <w:r>
              <w:t xml:space="preserve">)</w:t>
            </w:r>
          </w:p>
        </w:tc>
        <w:tc>
          <w:tcPr>
            <w:tcW w:type="dxa" w:w="1659"/>
          </w:tcPr>
          <w:p>
            <w:pPr>
              <w:pStyle w:val="Compact"/>
              <w:spacing w:after="40" w:before="20"/>
              <w:jc w:val="left"/>
            </w:pPr>
            <w:r>
              <w:t xml:space="preserve">Students and instructors</w:t>
            </w:r>
          </w:p>
        </w:tc>
        <w:tc>
          <w:tcPr>
            <w:tcW w:type="dxa" w:w="2060"/>
          </w:tcPr>
          <w:p>
            <w:pPr>
              <w:pStyle w:val="Compact"/>
              <w:spacing w:after="40" w:before="20"/>
              <w:jc w:val="left"/>
            </w:pPr>
            <w:r>
              <w:t xml:space="preserve">Community (free)</w:t>
            </w:r>
          </w:p>
        </w:tc>
      </w:tr>
      <w:tr>
        <w:tc>
          <w:tcPr>
            <w:tcW w:type="dxa" w:w="5881"/>
          </w:tcPr>
          <w:p>
            <w:pPr>
              <w:pStyle w:val="Compact"/>
              <w:spacing w:after="40" w:before="20"/>
              <w:jc w:val="left"/>
            </w:pPr>
            <w:r>
              <w:rPr>
                <w:bCs/>
                <w:b/>
              </w:rPr>
              <w:t xml:space="preserve">Chapter slide decks</w:t>
            </w:r>
            <w:r>
              <w:t xml:space="preserve"> </w:t>
            </w:r>
            <w:r>
              <w:t xml:space="preserve">— 21 decks for the textbook, one per chapter (GitHub release assets)</w:t>
            </w:r>
          </w:p>
        </w:tc>
        <w:tc>
          <w:tcPr>
            <w:tcW w:type="dxa" w:w="1659"/>
          </w:tcPr>
          <w:p>
            <w:pPr>
              <w:pStyle w:val="Compact"/>
              <w:spacing w:after="40" w:before="20"/>
              <w:jc w:val="left"/>
            </w:pPr>
            <w:r>
              <w:t xml:space="preserve">Instructors</w:t>
            </w:r>
          </w:p>
        </w:tc>
        <w:tc>
          <w:tcPr>
            <w:tcW w:type="dxa" w:w="2060"/>
          </w:tcPr>
          <w:p>
            <w:pPr>
              <w:pStyle w:val="Compact"/>
              <w:spacing w:after="40" w:before="20"/>
              <w:jc w:val="left"/>
            </w:pPr>
            <w:r>
              <w:t xml:space="preserve">Community (free)</w:t>
            </w:r>
          </w:p>
        </w:tc>
      </w:tr>
      <w:tr>
        <w:tc>
          <w:tcPr>
            <w:tcW w:type="dxa" w:w="5881"/>
          </w:tcPr>
          <w:p>
            <w:pPr>
              <w:pStyle w:val="Compact"/>
              <w:spacing w:after="40" w:before="20"/>
              <w:jc w:val="left"/>
            </w:pPr>
            <w:r>
              <w:rPr>
                <w:bCs/>
                <w:b/>
              </w:rPr>
              <w:t xml:space="preserve">Educator Edition</w:t>
            </w:r>
            <w:r>
              <w:t xml:space="preserve"> </w:t>
            </w:r>
            <w:r>
              <w:t xml:space="preserve">— lab answer keys, graded quiz bank, rubric calibration and feedback bank, case teaching notes, the final-exam case and its blueprint, and the textbook’s Instructor Resource Guide</w:t>
            </w:r>
          </w:p>
        </w:tc>
        <w:tc>
          <w:tcPr>
            <w:tcW w:type="dxa" w:w="1659"/>
          </w:tcPr>
          <w:p>
            <w:pPr>
              <w:pStyle w:val="Compact"/>
              <w:spacing w:after="40" w:before="20"/>
              <w:jc w:val="left"/>
            </w:pPr>
            <w:r>
              <w:t xml:space="preserve">Instructors only</w:t>
            </w:r>
          </w:p>
        </w:tc>
        <w:tc>
          <w:tcPr>
            <w:tcW w:type="dxa" w:w="2060"/>
          </w:tcPr>
          <w:p>
            <w:pPr>
              <w:pStyle w:val="Compact"/>
              <w:spacing w:after="40" w:before="20"/>
              <w:jc w:val="left"/>
            </w:pPr>
            <w:r>
              <w:t xml:space="preserve">Educational edition (Educational Licence)</w:t>
            </w:r>
          </w:p>
        </w:tc>
      </w:tr>
    </w:tbl>
    <w:p>
      <w:pPr>
        <w:pStyle w:val="BodyText"/>
      </w:pPr>
      <w:r>
        <w:t xml:space="preserve">Everything except the Educator Edition is published with the Community Edition under CC BY-NC 4.0, in English and French. The Educator Edition is kept out of the public repository so that answer keys and the exam case stay useful from one term to the next.</w:t>
      </w:r>
    </w:p>
    <w:bookmarkEnd w:id="20"/>
    <w:bookmarkStart w:id="21" w:name="X8b5e4a5a627736315c13ec44aa4b7a5be2439b3"/>
    <w:p>
      <w:pPr>
        <w:pStyle w:val="Heading2"/>
      </w:pPr>
      <w:r>
        <w:rPr>
          <w:rStyle w:val="SectionNumber"/>
        </w:rPr>
        <w:t xml:space="preserve">1.2</w:t>
      </w:r>
      <w:r>
        <w:tab/>
      </w:r>
      <w:r>
        <w:t xml:space="preserve">Who may use it, and when a licence is needed</w:t>
      </w:r>
    </w:p>
    <w:p>
      <w:pPr>
        <w:numPr>
          <w:ilvl w:val="0"/>
          <w:numId w:val="1001"/>
        </w:numPr>
        <w:pStyle w:val="Compact"/>
      </w:pPr>
      <w:r>
        <w:rPr>
          <w:bCs/>
          <w:b/>
        </w:rPr>
        <w:t xml:space="preserve">Students</w:t>
      </w:r>
      <w:r>
        <w:t xml:space="preserve"> </w:t>
      </w:r>
      <w:r>
        <w:t xml:space="preserve">may use CyberRiskGuardian and this package free of charge for their own coursework, including work handed in for a grade.</w:t>
      </w:r>
    </w:p>
    <w:p>
      <w:pPr>
        <w:numPr>
          <w:ilvl w:val="0"/>
          <w:numId w:val="1001"/>
        </w:numPr>
        <w:pStyle w:val="Compact"/>
      </w:pPr>
      <w:r>
        <w:rPr>
          <w:bCs/>
          <w:b/>
        </w:rPr>
        <w:t xml:space="preserve">Instructors</w:t>
      </w:r>
      <w:r>
        <w:t xml:space="preserve"> </w:t>
      </w:r>
      <w:r>
        <w:t xml:space="preserve">may read, adapt and reuse the free materials for non-commercial teaching, with attribution.</w:t>
      </w:r>
    </w:p>
    <w:p>
      <w:pPr>
        <w:numPr>
          <w:ilvl w:val="0"/>
          <w:numId w:val="1001"/>
        </w:numPr>
        <w:pStyle w:val="Compact"/>
      </w:pPr>
      <w:r>
        <w:rPr>
          <w:bCs/>
          <w:b/>
        </w:rPr>
        <w:t xml:space="preserve">Colleges, CEGEPs and universities, as institutions,</w:t>
      </w:r>
      <w:r>
        <w:t xml:space="preserve"> </w:t>
      </w:r>
      <w:r>
        <w:t xml:space="preserve">need the CyberRiskGuardian</w:t>
      </w:r>
      <w:r>
        <w:t xml:space="preserve"> </w:t>
      </w:r>
      <w:r>
        <w:rPr>
          <w:bCs/>
          <w:b/>
        </w:rPr>
        <w:t xml:space="preserve">Educational Licence</w:t>
      </w:r>
      <w:r>
        <w:t xml:space="preserve"> </w:t>
      </w:r>
      <w:r>
        <w:t xml:space="preserve">to deliver a course built on CRG. It is offered at a significantly reduced price and includes installation, customization and the Educator Edition.</w:t>
      </w:r>
    </w:p>
    <w:p>
      <w:pPr>
        <w:numPr>
          <w:ilvl w:val="0"/>
          <w:numId w:val="1001"/>
        </w:numPr>
        <w:pStyle w:val="Compact"/>
      </w:pPr>
      <w:r>
        <w:rPr>
          <w:bCs/>
          <w:b/>
        </w:rPr>
        <w:t xml:space="preserve">Non-profit organizations</w:t>
      </w:r>
      <w:r>
        <w:t xml:space="preserve"> </w:t>
      </w:r>
      <w:r>
        <w:t xml:space="preserve">may use CRG free of charge to assess their own risk.</w:t>
      </w:r>
    </w:p>
    <w:p>
      <w:pPr>
        <w:pStyle w:val="FirstParagraph"/>
      </w:pPr>
      <w:r>
        <w:t xml:space="preserve">Licence enquiries:</w:t>
      </w:r>
      <w:r>
        <w:t xml:space="preserve"> </w:t>
      </w:r>
      <w:r>
        <w:rPr>
          <w:bCs/>
          <w:b/>
        </w:rPr>
        <w:t xml:space="preserve">sales@cyberriskguardian.ca</w:t>
      </w:r>
      <w:r>
        <w:t xml:space="preserve"> </w:t>
      </w:r>
      <w:r>
        <w:t xml:space="preserve">· product site:</w:t>
      </w:r>
      <w:r>
        <w:t xml:space="preserve"> </w:t>
      </w:r>
      <w:r>
        <w:rPr>
          <w:bCs/>
          <w:b/>
        </w:rPr>
        <w:t xml:space="preserve">cyberriskguardian.ca</w:t>
      </w:r>
      <w:r>
        <w:t xml:space="preserve">. The CC BY-NC 4.0 legal code shipped in the repository governs where this summary and the licence differ. This is not legal advice.</w:t>
      </w:r>
    </w:p>
    <w:bookmarkEnd w:id="21"/>
    <w:bookmarkEnd w:id="22"/>
    <w:bookmarkStart w:id="23" w:name="cyberriskguardian-in-one-page"/>
    <w:p>
      <w:pPr>
        <w:pStyle w:val="Heading1"/>
      </w:pPr>
      <w:r>
        <w:rPr>
          <w:rStyle w:val="SectionNumber"/>
        </w:rPr>
        <w:t xml:space="preserve">2</w:t>
      </w:r>
      <w:r>
        <w:tab/>
      </w:r>
      <w:r>
        <w:t xml:space="preserve">CyberRiskGuardian in one page</w:t>
      </w:r>
    </w:p>
    <w:p>
      <w:pPr>
        <w:pStyle w:val="FirstParagraph"/>
      </w:pPr>
      <w:r>
        <w:t xml:space="preserve">CyberRiskGuardian is a scenario-driven method for assessing cybersecurity risk, supported by an AI assistant (the Claude plugin and project), a desktop application and an Excel model. It is a</w:t>
      </w:r>
      <w:r>
        <w:t xml:space="preserve"> </w:t>
      </w:r>
      <w:r>
        <w:rPr>
          <w:bCs/>
          <w:b/>
        </w:rPr>
        <w:t xml:space="preserve">decision-support tool</w:t>
      </w:r>
      <w:r>
        <w:t xml:space="preserve">: it structures the analysis and speeds it up, while the analyst stays accountable for every estimate and management stays accountable for every risk decision.</w:t>
      </w:r>
    </w:p>
    <w:p>
      <w:pPr>
        <w:pStyle w:val="BodyText"/>
      </w:pPr>
      <w:r>
        <w:rPr>
          <w:bCs/>
          <w:b/>
        </w:rPr>
        <w:t xml:space="preserve">The workflow.</w:t>
      </w:r>
      <w:r>
        <w:t xml:space="preserve"> </w:t>
      </w:r>
      <w:r>
        <w:t xml:space="preserve">Organizational context → crown jewels → risk appetite → 25–40 candidate scenarios (20 in the labs) → the 10 most material → six parameters and CVSS for each → estimated and tolerated risk → treatment portfolio → residual risk against tolerance → recommendations, budget and KRIs. The textbook (ch06) numbers these as the 19 CRG steps, followed by the management report and an independent quality review.</w:t>
      </w:r>
    </w:p>
    <w:p>
      <w:pPr>
        <w:pStyle w:val="BodyText"/>
      </w:pPr>
      <w:r>
        <w:rPr>
          <w:bCs/>
          <w:b/>
        </w:rPr>
        <w:t xml:space="preserve">A scenario is a causal chain, never a threat name.</w:t>
      </w:r>
      <w:r>
        <w:t xml:space="preserve"> </w:t>
      </w:r>
      <w:r>
        <w:rPr>
          <w:iCs/>
          <w:i/>
        </w:rPr>
        <w:t xml:space="preserve">Threat source or event → vulnerability or weakness → affected asset or process → cybersecurity event → organizational consequence.</w:t>
      </w:r>
      <w:r>
        <w:t xml:space="preserve"> </w:t>
      </w:r>
      <w:r>
        <w:t xml:space="preserve">“</w:t>
      </w:r>
      <w:r>
        <w:t xml:space="preserve">Ransomware</w:t>
      </w:r>
      <w:r>
        <w:t xml:space="preserve">”</w:t>
      </w:r>
      <w:r>
        <w:t xml:space="preserve"> </w:t>
      </w:r>
      <w:r>
        <w:t xml:space="preserve">is a threat;</w:t>
      </w:r>
      <w:r>
        <w:t xml:space="preserve"> </w:t>
      </w:r>
      <w:r>
        <w:t xml:space="preserve">“</w:t>
      </w:r>
      <w:r>
        <w:t xml:space="preserve">a ransomware affiliate uses stolen VPN credentials and the absence of MFA on remote access to encrypt the clinical scheduling servers, stopping appointments at all sites for several days</w:t>
      </w:r>
      <w:r>
        <w:t xml:space="preserve">”</w:t>
      </w:r>
      <w:r>
        <w:t xml:space="preserve"> </w:t>
      </w:r>
      <w:r>
        <w:t xml:space="preserve">is a scenario.</w:t>
      </w:r>
    </w:p>
    <w:p>
      <w:pPr>
        <w:pStyle w:val="BodyText"/>
      </w:pPr>
      <w:r>
        <w:rPr>
          <w:bCs/>
          <w:b/>
        </w:rPr>
        <w:t xml:space="preserve">Six parameters, each on a 0–1 scale.</w:t>
      </w:r>
    </w:p>
    <w:tbl>
      <w:tblPr>
        <w:tblStyle w:val="Table"/>
        <w:tblW w:type="dxa" w:w="9600"/>
        <w:tblLook w:firstRow="1" w:lastRow="0" w:firstColumn="0" w:lastColumn="0" w:noHBand="0" w:noVBand="0" w:val="0020"/>
        <w:jc w:val="start"/>
      </w:tblPr>
      <w:tblGrid>
        <w:gridCol w:w="815"/>
        <w:gridCol w:w="3155"/>
        <w:gridCol w:w="5630"/>
      </w:tblGrid>
      <w:tr>
        <w:trPr>
          <w:tblHeader w:val="true"/>
        </w:trPr>
        <w:tc>
          <w:tcPr>
            <w:tcW w:type="dxa" w:w="815"/>
            <w:shd w:val="clear" w:color="auto" w:fill="123A5C"/>
          </w:tcPr>
          <w:p>
            <w:pPr>
              <w:pStyle w:val="Compact"/>
              <w:spacing w:after="40" w:before="20"/>
              <w:jc w:val="left"/>
            </w:pPr>
            <w:r>
              <w:rPr>
                <w:b/>
                <w:color w:val="FFFFFF"/>
              </w:rPr>
              <w:t xml:space="preserve">Symbol</w:t>
            </w:r>
          </w:p>
        </w:tc>
        <w:tc>
          <w:tcPr>
            <w:tcW w:type="dxa" w:w="3155"/>
            <w:shd w:val="clear" w:color="auto" w:fill="123A5C"/>
          </w:tcPr>
          <w:p>
            <w:pPr>
              <w:pStyle w:val="Compact"/>
              <w:spacing w:after="40" w:before="20"/>
              <w:jc w:val="left"/>
            </w:pPr>
            <w:r>
              <w:rPr>
                <w:b/>
                <w:color w:val="FFFFFF"/>
              </w:rPr>
              <w:t xml:space="preserve">Parameter</w:t>
            </w:r>
          </w:p>
        </w:tc>
        <w:tc>
          <w:tcPr>
            <w:tcW w:type="dxa" w:w="5630"/>
            <w:shd w:val="clear" w:color="auto" w:fill="123A5C"/>
          </w:tcPr>
          <w:p>
            <w:pPr>
              <w:pStyle w:val="Compact"/>
              <w:spacing w:after="40" w:before="20"/>
              <w:jc w:val="left"/>
            </w:pPr>
            <w:r>
              <w:rPr>
                <w:b/>
                <w:color w:val="FFFFFF"/>
              </w:rPr>
              <w:t xml:space="preserve">Question it answers</w:t>
            </w:r>
          </w:p>
        </w:tc>
      </w:tr>
      <w:tr>
        <w:tc>
          <w:tcPr>
            <w:tcW w:type="dxa" w:w="815"/>
          </w:tcPr>
          <w:p>
            <w:pPr>
              <w:pStyle w:val="Compact"/>
              <w:spacing w:after="40" w:before="20"/>
              <w:jc w:val="left"/>
            </w:pPr>
            <w:r>
              <w:t xml:space="preserve">Pb(A)</w:t>
            </w:r>
          </w:p>
        </w:tc>
        <w:tc>
          <w:tcPr>
            <w:tcW w:type="dxa" w:w="3155"/>
          </w:tcPr>
          <w:p>
            <w:pPr>
              <w:pStyle w:val="Compact"/>
              <w:spacing w:after="40" w:before="20"/>
              <w:jc w:val="left"/>
            </w:pPr>
            <w:r>
              <w:t xml:space="preserve">Probability that the threat is present</w:t>
            </w:r>
          </w:p>
        </w:tc>
        <w:tc>
          <w:tcPr>
            <w:tcW w:type="dxa" w:w="5630"/>
          </w:tcPr>
          <w:p>
            <w:pPr>
              <w:pStyle w:val="Compact"/>
              <w:spacing w:after="40" w:before="20"/>
              <w:jc w:val="left"/>
            </w:pPr>
            <w:r>
              <w:t xml:space="preserve">Will this threat source act against us in the next 12 months?</w:t>
            </w:r>
          </w:p>
        </w:tc>
      </w:tr>
      <w:tr>
        <w:tc>
          <w:tcPr>
            <w:tcW w:type="dxa" w:w="815"/>
          </w:tcPr>
          <w:p>
            <w:pPr>
              <w:pStyle w:val="Compact"/>
              <w:spacing w:after="40" w:before="20"/>
              <w:jc w:val="left"/>
            </w:pPr>
            <w:r>
              <w:t xml:space="preserve">Pb(ψ,A)</w:t>
            </w:r>
          </w:p>
        </w:tc>
        <w:tc>
          <w:tcPr>
            <w:tcW w:type="dxa" w:w="3155"/>
          </w:tcPr>
          <w:p>
            <w:pPr>
              <w:pStyle w:val="Compact"/>
              <w:spacing w:after="40" w:before="20"/>
              <w:jc w:val="left"/>
            </w:pPr>
            <w:r>
              <w:t xml:space="preserve">Probability of exploitation</w:t>
            </w:r>
          </w:p>
        </w:tc>
        <w:tc>
          <w:tcPr>
            <w:tcW w:type="dxa" w:w="5630"/>
          </w:tcPr>
          <w:p>
            <w:pPr>
              <w:pStyle w:val="Compact"/>
              <w:spacing w:after="40" w:before="20"/>
              <w:jc w:val="left"/>
            </w:pPr>
            <w:r>
              <w:t xml:space="preserve">If it acts, will it get through our weakness?</w:t>
            </w:r>
          </w:p>
        </w:tc>
      </w:tr>
      <w:tr>
        <w:tc>
          <w:tcPr>
            <w:tcW w:type="dxa" w:w="815"/>
          </w:tcPr>
          <w:p>
            <w:pPr>
              <w:pStyle w:val="Compact"/>
              <w:spacing w:after="40" w:before="20"/>
              <w:jc w:val="left"/>
            </w:pPr>
            <w:r>
              <w:t xml:space="preserve">δe(ψ,A)</w:t>
            </w:r>
          </w:p>
        </w:tc>
        <w:tc>
          <w:tcPr>
            <w:tcW w:type="dxa" w:w="3155"/>
          </w:tcPr>
          <w:p>
            <w:pPr>
              <w:pStyle w:val="Compact"/>
              <w:spacing w:after="40" w:before="20"/>
              <w:jc w:val="left"/>
            </w:pPr>
            <w:r>
              <w:t xml:space="preserve">Expected damage</w:t>
            </w:r>
          </w:p>
        </w:tc>
        <w:tc>
          <w:tcPr>
            <w:tcW w:type="dxa" w:w="5630"/>
          </w:tcPr>
          <w:p>
            <w:pPr>
              <w:pStyle w:val="Compact"/>
              <w:spacing w:after="40" w:before="20"/>
              <w:jc w:val="left"/>
            </w:pPr>
            <w:r>
              <w:t xml:space="preserve">How much harm, reasonably expected?</w:t>
            </w:r>
          </w:p>
        </w:tc>
      </w:tr>
      <w:tr>
        <w:tc>
          <w:tcPr>
            <w:tcW w:type="dxa" w:w="815"/>
          </w:tcPr>
          <w:p>
            <w:pPr>
              <w:pStyle w:val="Compact"/>
              <w:spacing w:after="40" w:before="20"/>
              <w:jc w:val="left"/>
            </w:pPr>
            <w:r>
              <w:t xml:space="preserve">δm(ψ,A)</w:t>
            </w:r>
          </w:p>
        </w:tc>
        <w:tc>
          <w:tcPr>
            <w:tcW w:type="dxa" w:w="3155"/>
          </w:tcPr>
          <w:p>
            <w:pPr>
              <w:pStyle w:val="Compact"/>
              <w:spacing w:after="40" w:before="20"/>
              <w:jc w:val="left"/>
            </w:pPr>
            <w:r>
              <w:t xml:space="preserve">Maximum damage</w:t>
            </w:r>
          </w:p>
        </w:tc>
        <w:tc>
          <w:tcPr>
            <w:tcW w:type="dxa" w:w="5630"/>
          </w:tcPr>
          <w:p>
            <w:pPr>
              <w:pStyle w:val="Compact"/>
              <w:spacing w:after="40" w:before="20"/>
              <w:jc w:val="left"/>
            </w:pPr>
            <w:r>
              <w:t xml:space="preserve">How much harm, plausibly at worst?</w:t>
            </w:r>
          </w:p>
        </w:tc>
      </w:tr>
      <w:tr>
        <w:tc>
          <w:tcPr>
            <w:tcW w:type="dxa" w:w="815"/>
          </w:tcPr>
          <w:p>
            <w:pPr>
              <w:pStyle w:val="Compact"/>
              <w:spacing w:after="40" w:before="20"/>
              <w:jc w:val="left"/>
            </w:pPr>
            <w:r>
              <w:t xml:space="preserve">θ(ψ,A)</w:t>
            </w:r>
          </w:p>
        </w:tc>
        <w:tc>
          <w:tcPr>
            <w:tcW w:type="dxa" w:w="3155"/>
          </w:tcPr>
          <w:p>
            <w:pPr>
              <w:pStyle w:val="Compact"/>
              <w:spacing w:after="40" w:before="20"/>
              <w:jc w:val="left"/>
            </w:pPr>
            <w:r>
              <w:t xml:space="preserve">Organizational resilience</w:t>
            </w:r>
          </w:p>
        </w:tc>
        <w:tc>
          <w:tcPr>
            <w:tcW w:type="dxa" w:w="5630"/>
          </w:tcPr>
          <w:p>
            <w:pPr>
              <w:pStyle w:val="Compact"/>
              <w:spacing w:after="40" w:before="20"/>
              <w:jc w:val="left"/>
            </w:pPr>
            <w:r>
              <w:t xml:space="preserve">How well can we prevent, detect, contain, respond, recover and keep operating?</w:t>
            </w:r>
          </w:p>
        </w:tc>
      </w:tr>
      <w:tr>
        <w:tc>
          <w:tcPr>
            <w:tcW w:type="dxa" w:w="815"/>
          </w:tcPr>
          <w:p>
            <w:pPr>
              <w:pStyle w:val="Compact"/>
              <w:spacing w:after="40" w:before="20"/>
              <w:jc w:val="left"/>
            </w:pPr>
            <w:r>
              <w:t xml:space="preserve">μ(E)</w:t>
            </w:r>
          </w:p>
        </w:tc>
        <w:tc>
          <w:tcPr>
            <w:tcW w:type="dxa" w:w="3155"/>
          </w:tcPr>
          <w:p>
            <w:pPr>
              <w:pStyle w:val="Compact"/>
              <w:spacing w:after="40" w:before="20"/>
              <w:jc w:val="left"/>
            </w:pPr>
            <w:r>
              <w:t xml:space="preserve">Organizational criticality (expected utility)</w:t>
            </w:r>
          </w:p>
        </w:tc>
        <w:tc>
          <w:tcPr>
            <w:tcW w:type="dxa" w:w="5630"/>
          </w:tcPr>
          <w:p>
            <w:pPr>
              <w:pStyle w:val="Compact"/>
              <w:spacing w:after="40" w:before="20"/>
              <w:jc w:val="left"/>
            </w:pPr>
            <w:r>
              <w:t xml:space="preserve">How important is the affected service to the mission?</w:t>
            </w:r>
          </w:p>
        </w:tc>
      </w:tr>
    </w:tbl>
    <w:p>
      <w:pPr>
        <w:pStyle w:val="BodyText"/>
      </w:pPr>
      <w:r>
        <w:rPr>
          <w:bCs/>
          <w:b/>
        </w:rPr>
        <w:t xml:space="preserve">The formulas</w:t>
      </w:r>
      <w:r>
        <w:t xml:space="preserve"> </w:t>
      </w:r>
      <w:r>
        <w:t xml:space="preserve">(Excel Guide v1.0c, section 11 — authoritative, never changed silently):</w:t>
      </w:r>
    </w:p>
    <w:p>
      <w:pPr>
        <w:pStyle w:val="SourceCode"/>
      </w:pPr>
      <w:r>
        <w:rPr>
          <w:rStyle w:val="VerbatimChar"/>
        </w:rPr>
        <w:t xml:space="preserve">Estimated risk  Re = Pb(A) × Pb(ψ,A) × CVSS × ((δe + δm) / 2) × μ(E) ÷ θ × Factor</w:t>
      </w:r>
      <w:r>
        <w:br/>
      </w:r>
      <w:r>
        <w:rPr>
          <w:rStyle w:val="VerbatimChar"/>
        </w:rPr>
        <w:t xml:space="preserve">Tolerated risk  Rt = Pb(A) × Pb(ψ,A) × CVSS × Appetite × μ(E) ÷ θ × Factor</w:t>
      </w:r>
      <w:r>
        <w:br/>
      </w:r>
      <w:r>
        <w:rPr>
          <w:rStyle w:val="VerbatimChar"/>
        </w:rPr>
        <w:t xml:space="preserve">Mitigated risk     = Re × Probability reduction × Impact reduction</w:t>
      </w:r>
      <w:r>
        <w:br/>
      </w:r>
      <w:r>
        <w:rPr>
          <w:rStyle w:val="VerbatimChar"/>
        </w:rPr>
        <w:t xml:space="preserve">Residual risk      = Re − Mitigated risk</w:t>
      </w:r>
      <w:r>
        <w:br/>
      </w:r>
      <w:r>
        <w:rPr>
          <w:rStyle w:val="VerbatimChar"/>
        </w:rPr>
        <w:t xml:space="preserve">Ratio              = Residual ÷ Tolerated</w:t>
      </w:r>
    </w:p>
    <w:p>
      <w:pPr>
        <w:pStyle w:val="FirstParagraph"/>
      </w:pPr>
      <w:r>
        <w:t xml:space="preserve">A ratio below 0.90 is read as</w:t>
      </w:r>
      <w:r>
        <w:t xml:space="preserve"> </w:t>
      </w:r>
      <w:r>
        <w:rPr>
          <w:bCs/>
          <w:b/>
        </w:rPr>
        <w:t xml:space="preserve">below tolerance</w:t>
      </w:r>
      <w:r>
        <w:t xml:space="preserve">, 0.90 to 1.10 as</w:t>
      </w:r>
      <w:r>
        <w:t xml:space="preserve"> </w:t>
      </w:r>
      <w:r>
        <w:rPr>
          <w:bCs/>
          <w:b/>
        </w:rPr>
        <w:t xml:space="preserve">approximately at tolerance</w:t>
      </w:r>
      <w:r>
        <w:t xml:space="preserve">, above 1.10 as</w:t>
      </w:r>
      <w:r>
        <w:t xml:space="preserve"> </w:t>
      </w:r>
      <w:r>
        <w:rPr>
          <w:bCs/>
          <w:b/>
        </w:rPr>
        <w:t xml:space="preserve">above tolerance</w:t>
      </w:r>
      <w:r>
        <w:t xml:space="preserve">. The factor (usually 1,000) scales the scores; it never changes a ratio.</w:t>
      </w:r>
    </w:p>
    <w:p>
      <w:pPr>
        <w:pStyle w:val="BodyText"/>
      </w:pPr>
      <w:r>
        <w:rPr>
          <w:bCs/>
          <w:b/>
        </w:rPr>
        <w:t xml:space="preserve">Three markers on every deliverable</w:t>
      </w:r>
      <w:r>
        <w:t xml:space="preserve"> </w:t>
      </w:r>
      <w:r>
        <w:t xml:space="preserve">keep the evidence honest:</w:t>
      </w:r>
    </w:p>
    <w:tbl>
      <w:tblPr>
        <w:tblStyle w:val="Table"/>
        <w:tblW w:type="dxa" w:w="9600"/>
        <w:tblLook w:firstRow="1" w:lastRow="0" w:firstColumn="0" w:lastColumn="0" w:noHBand="0" w:noVBand="0" w:val="0020"/>
        <w:jc w:val="start"/>
      </w:tblPr>
      <w:tblGrid>
        <w:gridCol w:w="5307"/>
        <w:gridCol w:w="4293"/>
      </w:tblGrid>
      <w:tr>
        <w:trPr>
          <w:tblHeader w:val="true"/>
        </w:trPr>
        <w:tc>
          <w:tcPr>
            <w:tcW w:type="dxa" w:w="5307"/>
            <w:shd w:val="clear" w:color="auto" w:fill="123A5C"/>
          </w:tcPr>
          <w:p>
            <w:pPr>
              <w:pStyle w:val="Compact"/>
              <w:spacing w:after="40" w:before="20"/>
              <w:jc w:val="left"/>
            </w:pPr>
            <w:r>
              <w:rPr>
                <w:b/>
                <w:color w:val="FFFFFF"/>
              </w:rPr>
              <w:t xml:space="preserve">Marker</w:t>
            </w:r>
          </w:p>
        </w:tc>
        <w:tc>
          <w:tcPr>
            <w:tcW w:type="dxa" w:w="4293"/>
            <w:shd w:val="clear" w:color="auto" w:fill="123A5C"/>
          </w:tcPr>
          <w:p>
            <w:pPr>
              <w:pStyle w:val="Compact"/>
              <w:spacing w:after="40" w:before="20"/>
              <w:jc w:val="left"/>
            </w:pPr>
            <w:r>
              <w:rPr>
                <w:b/>
                <w:color w:val="FFFFFF"/>
              </w:rPr>
              <w:t xml:space="preserve">Meaning</w:t>
            </w:r>
          </w:p>
        </w:tc>
      </w:tr>
      <w:tr>
        <w:tc>
          <w:tcPr>
            <w:tcW w:type="dxa" w:w="5307"/>
          </w:tcPr>
          <w:p>
            <w:pPr>
              <w:pStyle w:val="Compact"/>
              <w:spacing w:after="40" w:before="20"/>
              <w:jc w:val="left"/>
            </w:pPr>
            <w:r>
              <w:rPr>
                <w:bCs/>
                <w:b/>
              </w:rPr>
              <w:t xml:space="preserve">Analytical estimate — validation required</w:t>
            </w:r>
          </w:p>
        </w:tc>
        <w:tc>
          <w:tcPr>
            <w:tcW w:type="dxa" w:w="4293"/>
          </w:tcPr>
          <w:p>
            <w:pPr>
              <w:pStyle w:val="Compact"/>
              <w:spacing w:after="40" w:before="20"/>
              <w:jc w:val="left"/>
            </w:pPr>
            <w:r>
              <w:t xml:space="preserve">A value the analyst (or the AI) estimated</w:t>
            </w:r>
          </w:p>
        </w:tc>
      </w:tr>
      <w:tr>
        <w:tc>
          <w:tcPr>
            <w:tcW w:type="dxa" w:w="5307"/>
          </w:tcPr>
          <w:p>
            <w:pPr>
              <w:pStyle w:val="Compact"/>
              <w:spacing w:after="40" w:before="20"/>
              <w:jc w:val="left"/>
            </w:pPr>
            <w:r>
              <w:rPr>
                <w:bCs/>
                <w:b/>
              </w:rPr>
              <w:t xml:space="preserve">Information gap — organizational validation required</w:t>
            </w:r>
          </w:p>
        </w:tc>
        <w:tc>
          <w:tcPr>
            <w:tcW w:type="dxa" w:w="4293"/>
          </w:tcPr>
          <w:p>
            <w:pPr>
              <w:pStyle w:val="Compact"/>
              <w:spacing w:after="40" w:before="20"/>
              <w:jc w:val="left"/>
            </w:pPr>
            <w:r>
              <w:t xml:space="preserve">A fact nobody has supplied</w:t>
            </w:r>
          </w:p>
        </w:tc>
      </w:tr>
      <w:tr>
        <w:tc>
          <w:tcPr>
            <w:tcW w:type="dxa" w:w="5307"/>
          </w:tcPr>
          <w:p>
            <w:pPr>
              <w:pStyle w:val="Compact"/>
              <w:spacing w:after="40" w:before="20"/>
              <w:jc w:val="left"/>
            </w:pPr>
            <w:r>
              <w:rPr>
                <w:bCs/>
                <w:b/>
              </w:rPr>
              <w:t xml:space="preserve">Management decision required</w:t>
            </w:r>
          </w:p>
        </w:tc>
        <w:tc>
          <w:tcPr>
            <w:tcW w:type="dxa" w:w="4293"/>
          </w:tcPr>
          <w:p>
            <w:pPr>
              <w:pStyle w:val="Compact"/>
              <w:spacing w:after="40" w:before="20"/>
              <w:jc w:val="left"/>
            </w:pPr>
            <w:r>
              <w:t xml:space="preserve">A choice only management can make</w:t>
            </w:r>
          </w:p>
        </w:tc>
      </w:tr>
    </w:tbl>
    <w:p>
      <w:pPr>
        <w:pStyle w:val="BodyText"/>
      </w:pPr>
      <w:r>
        <w:t xml:space="preserve">These markers are the single most useful habit the method teaches. A student who uses them correctly has understood the difference between evidence, inference and judgement.</w:t>
      </w:r>
    </w:p>
    <w:bookmarkEnd w:id="23"/>
    <w:bookmarkStart w:id="24" w:name="learning-outcomes"/>
    <w:p>
      <w:pPr>
        <w:pStyle w:val="Heading1"/>
      </w:pPr>
      <w:r>
        <w:rPr>
          <w:rStyle w:val="SectionNumber"/>
        </w:rPr>
        <w:t xml:space="preserve">3</w:t>
      </w:r>
      <w:r>
        <w:tab/>
      </w:r>
      <w:r>
        <w:t xml:space="preserve">Learning outcomes</w:t>
      </w:r>
    </w:p>
    <w:p>
      <w:pPr>
        <w:pStyle w:val="FirstParagraph"/>
      </w:pPr>
      <w:r>
        <w:t xml:space="preserve">CRG supports learning outcomes that most risk, security and audit courses already have. The table maps them to the labs and assessments in this package. Adapt the wording to your program’s competency framework.</w:t>
      </w:r>
    </w:p>
    <w:tbl>
      <w:tblPr>
        <w:tblStyle w:val="Table"/>
        <w:tblW w:type="dxa" w:w="9600"/>
        <w:tblLook w:firstRow="1" w:lastRow="0" w:firstColumn="0" w:lastColumn="0" w:noHBand="0" w:noVBand="0" w:val="0020"/>
        <w:jc w:val="start"/>
      </w:tblPr>
      <w:tblGrid>
        <w:gridCol w:w="605"/>
        <w:gridCol w:w="6779"/>
        <w:gridCol w:w="605"/>
        <w:gridCol w:w="1611"/>
      </w:tblGrid>
      <w:tr>
        <w:trPr>
          <w:tblHeader w:val="true"/>
        </w:trPr>
        <w:tc>
          <w:tcPr>
            <w:tcW w:type="dxa" w:w="605"/>
            <w:shd w:val="clear" w:color="auto" w:fill="123A5C"/>
          </w:tcPr>
          <w:p>
            <w:pPr>
              <w:pStyle w:val="Compact"/>
              <w:spacing w:after="40" w:before="20"/>
              <w:jc w:val="left"/>
            </w:pPr>
            <w:r>
              <w:rPr>
                <w:b/>
                <w:color w:val="FFFFFF"/>
              </w:rPr>
              <w:t xml:space="preserve">#</w:t>
            </w:r>
          </w:p>
        </w:tc>
        <w:tc>
          <w:tcPr>
            <w:tcW w:type="dxa" w:w="6779"/>
            <w:shd w:val="clear" w:color="auto" w:fill="123A5C"/>
          </w:tcPr>
          <w:p>
            <w:pPr>
              <w:pStyle w:val="Compact"/>
              <w:spacing w:after="40" w:before="20"/>
              <w:jc w:val="left"/>
            </w:pPr>
            <w:r>
              <w:rPr>
                <w:b/>
                <w:color w:val="FFFFFF"/>
              </w:rPr>
              <w:t xml:space="preserve">By the end of the course, students will be able to…</w:t>
            </w:r>
          </w:p>
        </w:tc>
        <w:tc>
          <w:tcPr>
            <w:tcW w:type="dxa" w:w="605"/>
            <w:shd w:val="clear" w:color="auto" w:fill="123A5C"/>
          </w:tcPr>
          <w:p>
            <w:pPr>
              <w:pStyle w:val="Compact"/>
              <w:spacing w:after="40" w:before="20"/>
              <w:jc w:val="left"/>
            </w:pPr>
            <w:r>
              <w:rPr>
                <w:b/>
                <w:color w:val="FFFFFF"/>
              </w:rPr>
              <w:t xml:space="preserve">Labs</w:t>
            </w:r>
          </w:p>
        </w:tc>
        <w:tc>
          <w:tcPr>
            <w:tcW w:type="dxa" w:w="1611"/>
            <w:shd w:val="clear" w:color="auto" w:fill="123A5C"/>
          </w:tcPr>
          <w:p>
            <w:pPr>
              <w:pStyle w:val="Compact"/>
              <w:spacing w:after="40" w:before="20"/>
              <w:jc w:val="left"/>
            </w:pPr>
            <w:r>
              <w:rPr>
                <w:b/>
                <w:color w:val="FFFFFF"/>
              </w:rPr>
              <w:t xml:space="preserve">Assessment</w:t>
            </w:r>
          </w:p>
        </w:tc>
      </w:tr>
      <w:tr>
        <w:tc>
          <w:tcPr>
            <w:tcW w:type="dxa" w:w="605"/>
          </w:tcPr>
          <w:p>
            <w:pPr>
              <w:pStyle w:val="Compact"/>
              <w:spacing w:after="40" w:before="20"/>
              <w:jc w:val="left"/>
            </w:pPr>
            <w:r>
              <w:t xml:space="preserve">LO1</w:t>
            </w:r>
          </w:p>
        </w:tc>
        <w:tc>
          <w:tcPr>
            <w:tcW w:type="dxa" w:w="6779"/>
          </w:tcPr>
          <w:p>
            <w:pPr>
              <w:pStyle w:val="Compact"/>
              <w:spacing w:after="40" w:before="20"/>
              <w:jc w:val="left"/>
            </w:pPr>
            <w:r>
              <w:t xml:space="preserve">Describe an organization’s context, critical processes and crown-jewel assets from case evidence, separating facts from assumptions</w:t>
            </w:r>
          </w:p>
        </w:tc>
        <w:tc>
          <w:tcPr>
            <w:tcW w:type="dxa" w:w="605"/>
          </w:tcPr>
          <w:p>
            <w:pPr>
              <w:pStyle w:val="Compact"/>
              <w:spacing w:after="40" w:before="20"/>
              <w:jc w:val="left"/>
            </w:pPr>
            <w:r>
              <w:t xml:space="preserve">1</w:t>
            </w:r>
          </w:p>
        </w:tc>
        <w:tc>
          <w:tcPr>
            <w:tcW w:type="dxa" w:w="1611"/>
          </w:tcPr>
          <w:p>
            <w:pPr>
              <w:pStyle w:val="Compact"/>
              <w:spacing w:after="40" w:before="20"/>
              <w:jc w:val="left"/>
            </w:pPr>
            <w:r>
              <w:t xml:space="preserve">A1 (context), exam</w:t>
            </w:r>
          </w:p>
        </w:tc>
      </w:tr>
      <w:tr>
        <w:tc>
          <w:tcPr>
            <w:tcW w:type="dxa" w:w="605"/>
          </w:tcPr>
          <w:p>
            <w:pPr>
              <w:pStyle w:val="Compact"/>
              <w:spacing w:after="40" w:before="20"/>
              <w:jc w:val="left"/>
            </w:pPr>
            <w:r>
              <w:t xml:space="preserve">LO2</w:t>
            </w:r>
          </w:p>
        </w:tc>
        <w:tc>
          <w:tcPr>
            <w:tcW w:type="dxa" w:w="6779"/>
          </w:tcPr>
          <w:p>
            <w:pPr>
              <w:pStyle w:val="Compact"/>
              <w:spacing w:after="40" w:before="20"/>
              <w:jc w:val="left"/>
            </w:pPr>
            <w:r>
              <w:t xml:space="preserve">Estimate and justify a cybersecurity risk appetite and explain how it differs from tolerance and from a risk score</w:t>
            </w:r>
          </w:p>
        </w:tc>
        <w:tc>
          <w:tcPr>
            <w:tcW w:type="dxa" w:w="605"/>
          </w:tcPr>
          <w:p>
            <w:pPr>
              <w:pStyle w:val="Compact"/>
              <w:spacing w:after="40" w:before="20"/>
              <w:jc w:val="left"/>
            </w:pPr>
            <w:r>
              <w:t xml:space="preserve">2</w:t>
            </w:r>
          </w:p>
        </w:tc>
        <w:tc>
          <w:tcPr>
            <w:tcW w:type="dxa" w:w="1611"/>
          </w:tcPr>
          <w:p>
            <w:pPr>
              <w:pStyle w:val="Compact"/>
              <w:spacing w:after="40" w:before="20"/>
              <w:jc w:val="left"/>
            </w:pPr>
            <w:r>
              <w:t xml:space="preserve">A1, quiz</w:t>
            </w:r>
          </w:p>
        </w:tc>
      </w:tr>
      <w:tr>
        <w:tc>
          <w:tcPr>
            <w:tcW w:type="dxa" w:w="605"/>
          </w:tcPr>
          <w:p>
            <w:pPr>
              <w:pStyle w:val="Compact"/>
              <w:spacing w:after="40" w:before="20"/>
              <w:jc w:val="left"/>
            </w:pPr>
            <w:r>
              <w:t xml:space="preserve">LO3</w:t>
            </w:r>
          </w:p>
        </w:tc>
        <w:tc>
          <w:tcPr>
            <w:tcW w:type="dxa" w:w="6779"/>
          </w:tcPr>
          <w:p>
            <w:pPr>
              <w:pStyle w:val="Compact"/>
              <w:spacing w:after="40" w:before="20"/>
              <w:jc w:val="left"/>
            </w:pPr>
            <w:r>
              <w:t xml:space="preserve">Write plausible cybersecurity risk scenarios as complete causal chains and select a material portfolio</w:t>
            </w:r>
          </w:p>
        </w:tc>
        <w:tc>
          <w:tcPr>
            <w:tcW w:type="dxa" w:w="605"/>
          </w:tcPr>
          <w:p>
            <w:pPr>
              <w:pStyle w:val="Compact"/>
              <w:spacing w:after="40" w:before="20"/>
              <w:jc w:val="left"/>
            </w:pPr>
            <w:r>
              <w:t xml:space="preserve">3</w:t>
            </w:r>
          </w:p>
        </w:tc>
        <w:tc>
          <w:tcPr>
            <w:tcW w:type="dxa" w:w="1611"/>
          </w:tcPr>
          <w:p>
            <w:pPr>
              <w:pStyle w:val="Compact"/>
              <w:spacing w:after="40" w:before="20"/>
              <w:jc w:val="left"/>
            </w:pPr>
            <w:r>
              <w:t xml:space="preserve">A1 (S1), exam</w:t>
            </w:r>
          </w:p>
        </w:tc>
      </w:tr>
      <w:tr>
        <w:tc>
          <w:tcPr>
            <w:tcW w:type="dxa" w:w="605"/>
          </w:tcPr>
          <w:p>
            <w:pPr>
              <w:pStyle w:val="Compact"/>
              <w:spacing w:after="40" w:before="20"/>
              <w:jc w:val="left"/>
            </w:pPr>
            <w:r>
              <w:t xml:space="preserve">LO4</w:t>
            </w:r>
          </w:p>
        </w:tc>
        <w:tc>
          <w:tcPr>
            <w:tcW w:type="dxa" w:w="6779"/>
          </w:tcPr>
          <w:p>
            <w:pPr>
              <w:pStyle w:val="Compact"/>
              <w:spacing w:after="40" w:before="20"/>
              <w:jc w:val="left"/>
            </w:pPr>
            <w:r>
              <w:t xml:space="preserve">Estimate the six CRG parameters with rationale, evidence and confidence, and score a representative vulnerability with CVSS v4.0</w:t>
            </w:r>
          </w:p>
        </w:tc>
        <w:tc>
          <w:tcPr>
            <w:tcW w:type="dxa" w:w="605"/>
          </w:tcPr>
          <w:p>
            <w:pPr>
              <w:pStyle w:val="Compact"/>
              <w:spacing w:after="40" w:before="20"/>
              <w:jc w:val="left"/>
            </w:pPr>
            <w:r>
              <w:t xml:space="preserve">4, 5</w:t>
            </w:r>
          </w:p>
        </w:tc>
        <w:tc>
          <w:tcPr>
            <w:tcW w:type="dxa" w:w="1611"/>
          </w:tcPr>
          <w:p>
            <w:pPr>
              <w:pStyle w:val="Compact"/>
              <w:spacing w:after="40" w:before="20"/>
              <w:jc w:val="left"/>
            </w:pPr>
            <w:r>
              <w:t xml:space="preserve">A1</w:t>
            </w:r>
          </w:p>
        </w:tc>
      </w:tr>
      <w:tr>
        <w:tc>
          <w:tcPr>
            <w:tcW w:type="dxa" w:w="605"/>
          </w:tcPr>
          <w:p>
            <w:pPr>
              <w:pStyle w:val="Compact"/>
              <w:spacing w:after="40" w:before="20"/>
              <w:jc w:val="left"/>
            </w:pPr>
            <w:r>
              <w:t xml:space="preserve">LO5</w:t>
            </w:r>
          </w:p>
        </w:tc>
        <w:tc>
          <w:tcPr>
            <w:tcW w:type="dxa" w:w="6779"/>
          </w:tcPr>
          <w:p>
            <w:pPr>
              <w:pStyle w:val="Compact"/>
              <w:spacing w:after="40" w:before="20"/>
              <w:jc w:val="left"/>
            </w:pPr>
            <w:r>
              <w:t xml:space="preserve">Calculate estimated, tolerated, mitigated and residual risk and interpret the result against tolerance</w:t>
            </w:r>
          </w:p>
        </w:tc>
        <w:tc>
          <w:tcPr>
            <w:tcW w:type="dxa" w:w="605"/>
          </w:tcPr>
          <w:p>
            <w:pPr>
              <w:pStyle w:val="Compact"/>
              <w:spacing w:after="40" w:before="20"/>
              <w:jc w:val="left"/>
            </w:pPr>
            <w:r>
              <w:t xml:space="preserve">6</w:t>
            </w:r>
          </w:p>
        </w:tc>
        <w:tc>
          <w:tcPr>
            <w:tcW w:type="dxa" w:w="1611"/>
          </w:tcPr>
          <w:p>
            <w:pPr>
              <w:pStyle w:val="Compact"/>
              <w:spacing w:after="40" w:before="20"/>
              <w:jc w:val="left"/>
            </w:pPr>
            <w:r>
              <w:t xml:space="preserve">A1, quiz</w:t>
            </w:r>
          </w:p>
        </w:tc>
      </w:tr>
      <w:tr>
        <w:tc>
          <w:tcPr>
            <w:tcW w:type="dxa" w:w="605"/>
          </w:tcPr>
          <w:p>
            <w:pPr>
              <w:pStyle w:val="Compact"/>
              <w:spacing w:after="40" w:before="20"/>
              <w:jc w:val="left"/>
            </w:pPr>
            <w:r>
              <w:t xml:space="preserve">LO6</w:t>
            </w:r>
          </w:p>
        </w:tc>
        <w:tc>
          <w:tcPr>
            <w:tcW w:type="dxa" w:w="6779"/>
          </w:tcPr>
          <w:p>
            <w:pPr>
              <w:pStyle w:val="Compact"/>
              <w:spacing w:after="40" w:before="20"/>
              <w:jc w:val="left"/>
            </w:pPr>
            <w:r>
              <w:t xml:space="preserve">Design a cost-effective, non-duplicated treatment portfolio tied to the causal chain</w:t>
            </w:r>
          </w:p>
        </w:tc>
        <w:tc>
          <w:tcPr>
            <w:tcW w:type="dxa" w:w="605"/>
          </w:tcPr>
          <w:p>
            <w:pPr>
              <w:pStyle w:val="Compact"/>
              <w:spacing w:after="40" w:before="20"/>
              <w:jc w:val="left"/>
            </w:pPr>
            <w:r>
              <w:t xml:space="preserve">7</w:t>
            </w:r>
          </w:p>
        </w:tc>
        <w:tc>
          <w:tcPr>
            <w:tcW w:type="dxa" w:w="1611"/>
          </w:tcPr>
          <w:p>
            <w:pPr>
              <w:pStyle w:val="Compact"/>
              <w:spacing w:after="40" w:before="20"/>
              <w:jc w:val="left"/>
            </w:pPr>
            <w:r>
              <w:t xml:space="preserve">A1 recommendation</w:t>
            </w:r>
          </w:p>
        </w:tc>
      </w:tr>
      <w:tr>
        <w:tc>
          <w:tcPr>
            <w:tcW w:type="dxa" w:w="605"/>
          </w:tcPr>
          <w:p>
            <w:pPr>
              <w:pStyle w:val="Compact"/>
              <w:spacing w:after="40" w:before="20"/>
              <w:jc w:val="left"/>
            </w:pPr>
            <w:r>
              <w:t xml:space="preserve">LO7</w:t>
            </w:r>
          </w:p>
        </w:tc>
        <w:tc>
          <w:tcPr>
            <w:tcW w:type="dxa" w:w="6779"/>
          </w:tcPr>
          <w:p>
            <w:pPr>
              <w:pStyle w:val="Compact"/>
              <w:spacing w:after="40" w:before="20"/>
              <w:jc w:val="left"/>
            </w:pPr>
            <w:r>
              <w:t xml:space="preserve">Test how conclusions change under different assumptions</w:t>
            </w:r>
          </w:p>
        </w:tc>
        <w:tc>
          <w:tcPr>
            <w:tcW w:type="dxa" w:w="605"/>
          </w:tcPr>
          <w:p>
            <w:pPr>
              <w:pStyle w:val="Compact"/>
              <w:spacing w:after="40" w:before="20"/>
              <w:jc w:val="left"/>
            </w:pPr>
            <w:r>
              <w:t xml:space="preserve">8</w:t>
            </w:r>
          </w:p>
        </w:tc>
        <w:tc>
          <w:tcPr>
            <w:tcW w:type="dxa" w:w="1611"/>
          </w:tcPr>
          <w:p>
            <w:pPr>
              <w:pStyle w:val="Compact"/>
              <w:spacing w:after="40" w:before="20"/>
              <w:jc w:val="left"/>
            </w:pPr>
            <w:r>
              <w:t xml:space="preserve">A1, exam</w:t>
            </w:r>
          </w:p>
        </w:tc>
      </w:tr>
      <w:tr>
        <w:tc>
          <w:tcPr>
            <w:tcW w:type="dxa" w:w="605"/>
          </w:tcPr>
          <w:p>
            <w:pPr>
              <w:pStyle w:val="Compact"/>
              <w:spacing w:after="40" w:before="20"/>
              <w:jc w:val="left"/>
            </w:pPr>
            <w:r>
              <w:t xml:space="preserve">LO8</w:t>
            </w:r>
          </w:p>
        </w:tc>
        <w:tc>
          <w:tcPr>
            <w:tcW w:type="dxa" w:w="6779"/>
          </w:tcPr>
          <w:p>
            <w:pPr>
              <w:pStyle w:val="Compact"/>
              <w:spacing w:after="40" w:before="20"/>
              <w:jc w:val="left"/>
            </w:pPr>
            <w:r>
              <w:t xml:space="preserve">Define key risk indicators with owners, sources and thresholds</w:t>
            </w:r>
          </w:p>
        </w:tc>
        <w:tc>
          <w:tcPr>
            <w:tcW w:type="dxa" w:w="605"/>
          </w:tcPr>
          <w:p>
            <w:pPr>
              <w:pStyle w:val="Compact"/>
              <w:spacing w:after="40" w:before="20"/>
              <w:jc w:val="left"/>
            </w:pPr>
            <w:r>
              <w:t xml:space="preserve">9</w:t>
            </w:r>
          </w:p>
        </w:tc>
        <w:tc>
          <w:tcPr>
            <w:tcW w:type="dxa" w:w="1611"/>
          </w:tcPr>
          <w:p>
            <w:pPr>
              <w:pStyle w:val="Compact"/>
              <w:spacing w:after="40" w:before="20"/>
              <w:jc w:val="left"/>
            </w:pPr>
            <w:r>
              <w:t xml:space="preserve">A1, A2</w:t>
            </w:r>
          </w:p>
        </w:tc>
      </w:tr>
      <w:tr>
        <w:tc>
          <w:tcPr>
            <w:tcW w:type="dxa" w:w="605"/>
          </w:tcPr>
          <w:p>
            <w:pPr>
              <w:pStyle w:val="Compact"/>
              <w:spacing w:after="40" w:before="20"/>
              <w:jc w:val="left"/>
            </w:pPr>
            <w:r>
              <w:t xml:space="preserve">LO9</w:t>
            </w:r>
          </w:p>
        </w:tc>
        <w:tc>
          <w:tcPr>
            <w:tcW w:type="dxa" w:w="6779"/>
          </w:tcPr>
          <w:p>
            <w:pPr>
              <w:pStyle w:val="Compact"/>
              <w:spacing w:after="40" w:before="20"/>
              <w:jc w:val="left"/>
            </w:pPr>
            <w:r>
              <w:t xml:space="preserve">Communicate risk to senior management in a decision-oriented memorandum</w:t>
            </w:r>
          </w:p>
        </w:tc>
        <w:tc>
          <w:tcPr>
            <w:tcW w:type="dxa" w:w="605"/>
          </w:tcPr>
          <w:p>
            <w:pPr>
              <w:pStyle w:val="Compact"/>
              <w:spacing w:after="40" w:before="20"/>
              <w:jc w:val="left"/>
            </w:pPr>
            <w:r>
              <w:t xml:space="preserve">10</w:t>
            </w:r>
          </w:p>
        </w:tc>
        <w:tc>
          <w:tcPr>
            <w:tcW w:type="dxa" w:w="1611"/>
          </w:tcPr>
          <w:p>
            <w:pPr>
              <w:pStyle w:val="Compact"/>
              <w:spacing w:after="40" w:before="20"/>
              <w:jc w:val="left"/>
            </w:pPr>
            <w:r>
              <w:t xml:space="preserve">A1 memo, exam</w:t>
            </w:r>
          </w:p>
        </w:tc>
      </w:tr>
      <w:tr>
        <w:tc>
          <w:tcPr>
            <w:tcW w:type="dxa" w:w="605"/>
          </w:tcPr>
          <w:p>
            <w:pPr>
              <w:pStyle w:val="Compact"/>
              <w:spacing w:after="40" w:before="20"/>
              <w:jc w:val="left"/>
            </w:pPr>
            <w:r>
              <w:t xml:space="preserve">LO10</w:t>
            </w:r>
          </w:p>
        </w:tc>
        <w:tc>
          <w:tcPr>
            <w:tcW w:type="dxa" w:w="6779"/>
          </w:tcPr>
          <w:p>
            <w:pPr>
              <w:pStyle w:val="Compact"/>
              <w:spacing w:after="40" w:before="20"/>
              <w:jc w:val="left"/>
            </w:pPr>
            <w:r>
              <w:t xml:space="preserve">Use generative AI responsibly: verify its output, label estimates, protect data and disclose its use</w:t>
            </w:r>
          </w:p>
        </w:tc>
        <w:tc>
          <w:tcPr>
            <w:tcW w:type="dxa" w:w="605"/>
          </w:tcPr>
          <w:p>
            <w:pPr>
              <w:pStyle w:val="Compact"/>
              <w:spacing w:after="40" w:before="20"/>
              <w:jc w:val="left"/>
            </w:pPr>
            <w:r>
              <w:t xml:space="preserve">All</w:t>
            </w:r>
          </w:p>
        </w:tc>
        <w:tc>
          <w:tcPr>
            <w:tcW w:type="dxa" w:w="1611"/>
          </w:tcPr>
          <w:p>
            <w:pPr>
              <w:pStyle w:val="Compact"/>
              <w:spacing w:after="40" w:before="20"/>
              <w:jc w:val="left"/>
            </w:pPr>
            <w:r>
              <w:t xml:space="preserve">All (professionalism criterion)</w:t>
            </w:r>
          </w:p>
        </w:tc>
      </w:tr>
      <w:tr>
        <w:tc>
          <w:tcPr>
            <w:tcW w:type="dxa" w:w="605"/>
          </w:tcPr>
          <w:p>
            <w:pPr>
              <w:pStyle w:val="Compact"/>
              <w:spacing w:after="40" w:before="20"/>
              <w:jc w:val="left"/>
            </w:pPr>
            <w:r>
              <w:t xml:space="preserve">LO11</w:t>
            </w:r>
          </w:p>
        </w:tc>
        <w:tc>
          <w:tcPr>
            <w:tcW w:type="dxa" w:w="6779"/>
          </w:tcPr>
          <w:p>
            <w:pPr>
              <w:pStyle w:val="Compact"/>
              <w:spacing w:after="40" w:before="20"/>
              <w:jc w:val="left"/>
            </w:pPr>
            <w:r>
              <w:t xml:space="preserve">Translate risk results into a security policy and a risk-based audit plan</w:t>
            </w:r>
          </w:p>
        </w:tc>
        <w:tc>
          <w:tcPr>
            <w:tcW w:type="dxa" w:w="605"/>
          </w:tcPr>
          <w:p>
            <w:pPr>
              <w:pStyle w:val="Compact"/>
              <w:spacing w:after="40" w:before="20"/>
              <w:jc w:val="left"/>
            </w:pPr>
            <w:r>
              <w:t xml:space="preserve">12</w:t>
            </w:r>
          </w:p>
        </w:tc>
        <w:tc>
          <w:tcPr>
            <w:tcW w:type="dxa" w:w="1611"/>
          </w:tcPr>
          <w:p>
            <w:pPr>
              <w:pStyle w:val="Compact"/>
              <w:spacing w:after="40" w:before="20"/>
              <w:jc w:val="left"/>
            </w:pPr>
            <w:r>
              <w:t xml:space="preserve">A2, A3</w:t>
            </w:r>
          </w:p>
        </w:tc>
      </w:tr>
    </w:tbl>
    <w:bookmarkEnd w:id="24"/>
    <w:bookmarkStart w:id="27" w:name="choosing-a-tool-track"/>
    <w:p>
      <w:pPr>
        <w:pStyle w:val="Heading1"/>
      </w:pPr>
      <w:r>
        <w:rPr>
          <w:rStyle w:val="SectionNumber"/>
        </w:rPr>
        <w:t xml:space="preserve">4</w:t>
      </w:r>
      <w:r>
        <w:tab/>
      </w:r>
      <w:r>
        <w:t xml:space="preserve">Choosing a tool track</w:t>
      </w:r>
    </w:p>
    <w:p>
      <w:pPr>
        <w:pStyle w:val="FirstParagraph"/>
      </w:pPr>
      <w:r>
        <w:t xml:space="preserve">The method is the same in every track; only the interface changes. Pick one track per course and say so in the outline, so that teams are graded on the same footing.</w:t>
      </w:r>
    </w:p>
    <w:tbl>
      <w:tblPr>
        <w:tblStyle w:val="Table"/>
        <w:tblW w:type="dxa" w:w="9600"/>
        <w:tblLook w:firstRow="1" w:lastRow="0" w:firstColumn="0" w:lastColumn="0" w:noHBand="0" w:noVBand="0" w:val="0020"/>
        <w:jc w:val="start"/>
      </w:tblPr>
      <w:tblGrid>
        <w:gridCol w:w="764"/>
        <w:gridCol w:w="2813"/>
        <w:gridCol w:w="3227"/>
        <w:gridCol w:w="2796"/>
      </w:tblGrid>
      <w:tr>
        <w:trPr>
          <w:tblHeader w:val="true"/>
        </w:trPr>
        <w:tc>
          <w:tcPr>
            <w:tcW w:type="dxa" w:w="764"/>
            <w:shd w:val="clear" w:color="auto" w:fill="123A5C"/>
          </w:tcPr>
          <w:p>
            <w:pPr>
              <w:pStyle w:val="Compact"/>
              <w:spacing w:after="40" w:before="20"/>
              <w:jc w:val="left"/>
            </w:pPr>
            <w:r>
              <w:rPr>
                <w:b/>
                <w:color w:val="FFFFFF"/>
              </w:rPr>
              <w:t xml:space="preserve">Track</w:t>
            </w:r>
          </w:p>
        </w:tc>
        <w:tc>
          <w:tcPr>
            <w:tcW w:type="dxa" w:w="2813"/>
            <w:shd w:val="clear" w:color="auto" w:fill="123A5C"/>
          </w:tcPr>
          <w:p>
            <w:pPr>
              <w:pStyle w:val="Compact"/>
              <w:spacing w:after="40" w:before="20"/>
              <w:jc w:val="left"/>
            </w:pPr>
            <w:r>
              <w:rPr>
                <w:b/>
                <w:color w:val="FFFFFF"/>
              </w:rPr>
              <w:t xml:space="preserve">What students use</w:t>
            </w:r>
          </w:p>
        </w:tc>
        <w:tc>
          <w:tcPr>
            <w:tcW w:type="dxa" w:w="3227"/>
            <w:shd w:val="clear" w:color="auto" w:fill="123A5C"/>
          </w:tcPr>
          <w:p>
            <w:pPr>
              <w:pStyle w:val="Compact"/>
              <w:spacing w:after="40" w:before="20"/>
              <w:jc w:val="left"/>
            </w:pPr>
            <w:r>
              <w:rPr>
                <w:b/>
                <w:color w:val="FFFFFF"/>
              </w:rPr>
              <w:t xml:space="preserve">Strengths</w:t>
            </w:r>
          </w:p>
        </w:tc>
        <w:tc>
          <w:tcPr>
            <w:tcW w:type="dxa" w:w="2796"/>
            <w:shd w:val="clear" w:color="auto" w:fill="123A5C"/>
          </w:tcPr>
          <w:p>
            <w:pPr>
              <w:pStyle w:val="Compact"/>
              <w:spacing w:after="40" w:before="20"/>
              <w:jc w:val="left"/>
            </w:pPr>
            <w:r>
              <w:rPr>
                <w:b/>
                <w:color w:val="FFFFFF"/>
              </w:rPr>
              <w:t xml:space="preserve">Watch for</w:t>
            </w:r>
          </w:p>
        </w:tc>
      </w:tr>
      <w:tr>
        <w:tc>
          <w:tcPr>
            <w:tcW w:type="dxa" w:w="764"/>
          </w:tcPr>
          <w:p>
            <w:pPr>
              <w:pStyle w:val="Compact"/>
              <w:spacing w:after="40" w:before="20"/>
              <w:jc w:val="left"/>
            </w:pPr>
            <w:r>
              <w:rPr>
                <w:bCs/>
                <w:b/>
              </w:rPr>
              <w:t xml:space="preserve">A. Claude (plugin or project)</w:t>
            </w:r>
          </w:p>
        </w:tc>
        <w:tc>
          <w:tcPr>
            <w:tcW w:type="dxa" w:w="2813"/>
          </w:tcPr>
          <w:p>
            <w:pPr>
              <w:pStyle w:val="Compact"/>
              <w:spacing w:after="40" w:before="20"/>
              <w:jc w:val="left"/>
            </w:pPr>
            <w:r>
              <w:t xml:space="preserve">The free CyberRiskGuardian Core plugin in Claude Code or Claude Cowork, or a Claude project carrying the CRG instructions</w:t>
            </w:r>
          </w:p>
        </w:tc>
        <w:tc>
          <w:tcPr>
            <w:tcW w:type="dxa" w:w="3227"/>
          </w:tcPr>
          <w:p>
            <w:pPr>
              <w:pStyle w:val="Compact"/>
              <w:spacing w:after="40" w:before="20"/>
              <w:jc w:val="left"/>
            </w:pPr>
            <w:r>
              <w:t xml:space="preserve">Fast scenario drafting, interview-style context intake, built-in label checks,</w:t>
            </w:r>
            <w:r>
              <w:t xml:space="preserve"> </w:t>
            </w:r>
            <w:r>
              <w:rPr>
                <w:rStyle w:val="VerbatimChar"/>
              </w:rPr>
              <w:t xml:space="preserve">/crg-quick-scan</w:t>
            </w:r>
            <w:r>
              <w:t xml:space="preserve"> </w:t>
            </w:r>
            <w:r>
              <w:t xml:space="preserve">and</w:t>
            </w:r>
            <w:r>
              <w:t xml:space="preserve"> </w:t>
            </w:r>
            <w:r>
              <w:rPr>
                <w:rStyle w:val="VerbatimChar"/>
              </w:rPr>
              <w:t xml:space="preserve">/crg-assess</w:t>
            </w:r>
            <w:r>
              <w:t xml:space="preserve"> </w:t>
            </w:r>
            <w:r>
              <w:t xml:space="preserve">commands, verified calculator</w:t>
            </w:r>
          </w:p>
        </w:tc>
        <w:tc>
          <w:tcPr>
            <w:tcW w:type="dxa" w:w="2796"/>
          </w:tcPr>
          <w:p>
            <w:pPr>
              <w:pStyle w:val="Compact"/>
              <w:spacing w:after="40" w:before="20"/>
              <w:jc w:val="left"/>
            </w:pPr>
            <w:r>
              <w:t xml:space="preserve">Students must verify AI output; institutional AI policy and data-protection rules apply</w:t>
            </w:r>
          </w:p>
        </w:tc>
      </w:tr>
      <w:tr>
        <w:tc>
          <w:tcPr>
            <w:tcW w:type="dxa" w:w="764"/>
          </w:tcPr>
          <w:p>
            <w:pPr>
              <w:pStyle w:val="Compact"/>
              <w:spacing w:after="40" w:before="20"/>
              <w:jc w:val="left"/>
            </w:pPr>
            <w:r>
              <w:rPr>
                <w:bCs/>
                <w:b/>
              </w:rPr>
              <w:t xml:space="preserve">B. Desktop application</w:t>
            </w:r>
          </w:p>
        </w:tc>
        <w:tc>
          <w:tcPr>
            <w:tcW w:type="dxa" w:w="2813"/>
          </w:tcPr>
          <w:p>
            <w:pPr>
              <w:pStyle w:val="Compact"/>
              <w:spacing w:after="40" w:before="20"/>
              <w:jc w:val="left"/>
            </w:pPr>
            <w:r>
              <w:t xml:space="preserve">CyberRiskGuardian Desktop (current release; 1.8.0 at the time of writing), served locally in a browser</w:t>
            </w:r>
          </w:p>
        </w:tc>
        <w:tc>
          <w:tcPr>
            <w:tcW w:type="dxa" w:w="3227"/>
          </w:tcPr>
          <w:p>
            <w:pPr>
              <w:pStyle w:val="Compact"/>
              <w:spacing w:after="40" w:before="20"/>
              <w:jc w:val="left"/>
            </w:pPr>
            <w:r>
              <w:t xml:space="preserve">Everything on one screen; classroom workspaces; engine self-check;</w:t>
            </w:r>
            <w:r>
              <w:t xml:space="preserve"> </w:t>
            </w:r>
            <w:r>
              <w:rPr>
                <w:iCs/>
                <w:i/>
              </w:rPr>
              <w:t xml:space="preserve">Start over</w:t>
            </w:r>
            <w:r>
              <w:t xml:space="preserve"> </w:t>
            </w:r>
            <w:r>
              <w:t xml:space="preserve">for teaching cases; simulation data for SIEM/SOAR exercises; EN/FR interface; no data leaves the computer unless the student sends it</w:t>
            </w:r>
          </w:p>
        </w:tc>
        <w:tc>
          <w:tcPr>
            <w:tcW w:type="dxa" w:w="2796"/>
          </w:tcPr>
          <w:p>
            <w:pPr>
              <w:pStyle w:val="Compact"/>
              <w:spacing w:after="40" w:before="20"/>
              <w:jc w:val="left"/>
            </w:pPr>
            <w:r>
              <w:t xml:space="preserve">Requires Python 3 to serve the folder; keep the same port so workspaces are found</w:t>
            </w:r>
          </w:p>
        </w:tc>
      </w:tr>
      <w:tr>
        <w:tc>
          <w:tcPr>
            <w:tcW w:type="dxa" w:w="764"/>
          </w:tcPr>
          <w:p>
            <w:pPr>
              <w:pStyle w:val="Compact"/>
              <w:spacing w:after="40" w:before="20"/>
              <w:jc w:val="left"/>
            </w:pPr>
            <w:r>
              <w:rPr>
                <w:bCs/>
                <w:b/>
              </w:rPr>
              <w:t xml:space="preserve">C. Excel model</w:t>
            </w:r>
          </w:p>
        </w:tc>
        <w:tc>
          <w:tcPr>
            <w:tcW w:type="dxa" w:w="2813"/>
          </w:tcPr>
          <w:p>
            <w:pPr>
              <w:pStyle w:val="Compact"/>
              <w:spacing w:after="40" w:before="20"/>
              <w:jc w:val="left"/>
            </w:pPr>
            <w:r>
              <w:t xml:space="preserve">The free CyberRiskGuardian Excel model (Analyse sheet, S1–S10, M1–M10), in</w:t>
            </w:r>
            <w:r>
              <w:t xml:space="preserve"> </w:t>
            </w:r>
            <w:r>
              <w:rPr>
                <w:rStyle w:val="VerbatimChar"/>
              </w:rPr>
              <w:t xml:space="preserve">templates/</w:t>
            </w:r>
          </w:p>
        </w:tc>
        <w:tc>
          <w:tcPr>
            <w:tcW w:type="dxa" w:w="3227"/>
          </w:tcPr>
          <w:p>
            <w:pPr>
              <w:pStyle w:val="Compact"/>
              <w:spacing w:after="40" w:before="20"/>
              <w:jc w:val="left"/>
            </w:pPr>
            <w:r>
              <w:t xml:space="preserve">Transparent formulas, familiar to business students, works offline</w:t>
            </w:r>
          </w:p>
        </w:tc>
        <w:tc>
          <w:tcPr>
            <w:tcW w:type="dxa" w:w="2796"/>
          </w:tcPr>
          <w:p>
            <w:pPr>
              <w:pStyle w:val="Compact"/>
              <w:spacing w:after="40" w:before="20"/>
              <w:jc w:val="left"/>
            </w:pPr>
            <w:r>
              <w:t xml:space="preserve">Manual calculation mode (press F9); validated inputs and a Checks column; CVSS blank and required; the appetite placeholder 0.5 must be replaced</w:t>
            </w:r>
          </w:p>
        </w:tc>
      </w:tr>
    </w:tbl>
    <w:p>
      <w:pPr>
        <w:pStyle w:val="BodyText"/>
      </w:pPr>
      <w:r>
        <w:t xml:space="preserve">A</w:t>
      </w:r>
      <w:r>
        <w:t xml:space="preserve"> </w:t>
      </w:r>
      <w:r>
        <w:rPr>
          <w:bCs/>
          <w:b/>
        </w:rPr>
        <w:t xml:space="preserve">hybrid</w:t>
      </w:r>
      <w:r>
        <w:t xml:space="preserve"> </w:t>
      </w:r>
      <w:r>
        <w:t xml:space="preserve">works well in practice: students draft context and scenarios with Claude (Track A), then quantify and treat in the desktop application or the workbook (Track B or C), where every number is recomputed by the verified engine.</w:t>
      </w:r>
    </w:p>
    <w:bookmarkStart w:id="25" w:name="minimum-set-up-per-track"/>
    <w:p>
      <w:pPr>
        <w:pStyle w:val="Heading2"/>
      </w:pPr>
      <w:r>
        <w:rPr>
          <w:rStyle w:val="SectionNumber"/>
        </w:rPr>
        <w:t xml:space="preserve">4.1</w:t>
      </w:r>
      <w:r>
        <w:tab/>
      </w:r>
      <w:r>
        <w:t xml:space="preserve">Minimum set-up per track</w:t>
      </w:r>
    </w:p>
    <w:p>
      <w:pPr>
        <w:pStyle w:val="FirstParagraph"/>
      </w:pPr>
      <w:r>
        <w:rPr>
          <w:bCs/>
          <w:b/>
        </w:rPr>
        <w:t xml:space="preserve">Track A — Claude.</w:t>
      </w:r>
    </w:p>
    <w:p>
      <w:pPr>
        <w:pStyle w:val="SourceCode"/>
      </w:pPr>
      <w:r>
        <w:rPr>
          <w:rStyle w:val="VerbatimChar"/>
        </w:rPr>
        <w:t xml:space="preserve">/plugin install cyberriskguardian --marketplace ITriskMgr/CyberRiskGuardian</w:t>
      </w:r>
      <w:r>
        <w:br/>
      </w:r>
      <w:r>
        <w:rPr>
          <w:rStyle w:val="VerbatimChar"/>
        </w:rPr>
        <w:t xml:space="preserve">/plugin install crg-governance-textbook --marketplace ITriskMgr/CyberRiskGuardian</w:t>
      </w:r>
      <w:r>
        <w:br/>
      </w:r>
      <w:r>
        <w:rPr>
          <w:rStyle w:val="VerbatimChar"/>
        </w:rPr>
        <w:t xml:space="preserve">pip install cvss "mcp&gt;=1.2"</w:t>
      </w:r>
    </w:p>
    <w:p>
      <w:pPr>
        <w:pStyle w:val="FirstParagraph"/>
      </w:pPr>
      <w:r>
        <w:t xml:space="preserve">Restart Claude and approve the</w:t>
      </w:r>
      <w:r>
        <w:t xml:space="preserve"> </w:t>
      </w:r>
      <w:r>
        <w:rPr>
          <w:rStyle w:val="VerbatimChar"/>
        </w:rPr>
        <w:t xml:space="preserve">crg-calculator</w:t>
      </w:r>
      <w:r>
        <w:t xml:space="preserve"> </w:t>
      </w:r>
      <w:r>
        <w:t xml:space="preserve">server when prompted. In claude.ai, the skills work too; calculations use the bundled</w:t>
      </w:r>
      <w:r>
        <w:t xml:space="preserve"> </w:t>
      </w:r>
      <w:r>
        <w:rPr>
          <w:rStyle w:val="VerbatimChar"/>
        </w:rPr>
        <w:t xml:space="preserve">crg_calc.py</w:t>
      </w:r>
      <w:r>
        <w:t xml:space="preserve"> </w:t>
      </w:r>
      <w:r>
        <w:t xml:space="preserve">script.</w:t>
      </w:r>
    </w:p>
    <w:p>
      <w:pPr>
        <w:pStyle w:val="BodyText"/>
      </w:pPr>
      <w:r>
        <w:rPr>
          <w:bCs/>
          <w:b/>
        </w:rPr>
        <w:t xml:space="preserve">Track B — Desktop application.</w:t>
      </w:r>
      <w:r>
        <w:t xml:space="preserve"> </w:t>
      </w:r>
      <w:r>
        <w:t xml:space="preserve">Unzip the release, then double-click</w:t>
      </w:r>
      <w:r>
        <w:t xml:space="preserve"> </w:t>
      </w:r>
      <w:r>
        <w:rPr>
          <w:rStyle w:val="VerbatimChar"/>
        </w:rPr>
        <w:t xml:space="preserve">start.command</w:t>
      </w:r>
      <w:r>
        <w:t xml:space="preserve"> </w:t>
      </w:r>
      <w:r>
        <w:t xml:space="preserve">(macOS, Linux) or</w:t>
      </w:r>
      <w:r>
        <w:t xml:space="preserve"> </w:t>
      </w:r>
      <w:r>
        <w:rPr>
          <w:rStyle w:val="VerbatimChar"/>
        </w:rPr>
        <w:t xml:space="preserve">start.bat</w:t>
      </w:r>
      <w:r>
        <w:t xml:space="preserve"> </w:t>
      </w:r>
      <w:r>
        <w:t xml:space="preserve">(Windows). The application must be served over</w:t>
      </w:r>
      <w:r>
        <w:t xml:space="preserve"> </w:t>
      </w:r>
      <w:r>
        <w:rPr>
          <w:rStyle w:val="VerbatimChar"/>
        </w:rPr>
        <w:t xml:space="preserve">http://localhost:8099</w:t>
      </w:r>
      <w:r>
        <w:t xml:space="preserve">; double-clicking</w:t>
      </w:r>
      <w:r>
        <w:t xml:space="preserve"> </w:t>
      </w:r>
      <w:r>
        <w:rPr>
          <w:rStyle w:val="VerbatimChar"/>
        </w:rPr>
        <w:t xml:space="preserve">index.html</w:t>
      </w:r>
      <w:r>
        <w:t xml:space="preserve"> </w:t>
      </w:r>
      <w:r>
        <w:t xml:space="preserve">does not work. Install it as an app from Chrome or Edge for offline use.</w:t>
      </w:r>
    </w:p>
    <w:p>
      <w:pPr>
        <w:pStyle w:val="BodyText"/>
      </w:pPr>
      <w:r>
        <w:rPr>
          <w:bCs/>
          <w:b/>
        </w:rPr>
        <w:t xml:space="preserve">Track C — Excel.</w:t>
      </w:r>
      <w:r>
        <w:t xml:space="preserve"> </w:t>
      </w:r>
      <w:r>
        <w:t xml:space="preserve">The blank model ships free with this package:</w:t>
      </w:r>
      <w:r>
        <w:t xml:space="preserve"> </w:t>
      </w:r>
      <w:r>
        <w:rPr>
          <w:rStyle w:val="VerbatimChar"/>
        </w:rPr>
        <w:t xml:space="preserve">templates/CyberRiskGuardian_Excel_Model_Blank_v2-6.xlsx</w:t>
      </w:r>
      <w:r>
        <w:t xml:space="preserve">. Post it on your learning platform. It follows the 8-step procedure of the textbook’s chapter 6, printed on the Analyse sheet. Remind students that:</w:t>
      </w:r>
    </w:p>
    <w:p>
      <w:pPr>
        <w:numPr>
          <w:ilvl w:val="0"/>
          <w:numId w:val="1002"/>
        </w:numPr>
        <w:pStyle w:val="Compact"/>
      </w:pPr>
      <w:r>
        <w:t xml:space="preserve">it opens in manual calculation mode (Formulas → Calculate Now, F9);</w:t>
      </w:r>
    </w:p>
    <w:p>
      <w:pPr>
        <w:numPr>
          <w:ilvl w:val="0"/>
          <w:numId w:val="1002"/>
        </w:numPr>
        <w:pStyle w:val="Compact"/>
      </w:pPr>
      <w:r>
        <w:t xml:space="preserve">the appetite in E14 is a placeholder (0.5) that must be replaced with the case’s approved or estimated value, strictly between 0 and 1;</w:t>
      </w:r>
    </w:p>
    <w:p>
      <w:pPr>
        <w:numPr>
          <w:ilvl w:val="0"/>
          <w:numId w:val="1002"/>
        </w:numPr>
        <w:pStyle w:val="Compact"/>
      </w:pPr>
      <w:r>
        <w:t xml:space="preserve">the factor in E15 is 1,000 and stays unchanged;</w:t>
      </w:r>
    </w:p>
    <w:p>
      <w:pPr>
        <w:numPr>
          <w:ilvl w:val="0"/>
          <w:numId w:val="1002"/>
        </w:numPr>
        <w:pStyle w:val="Compact"/>
      </w:pPr>
      <w:r>
        <w:t xml:space="preserve">the CVSS scores (G3:G12) start blank and are required, with the vector string next to each score (H3:H12); the Checks column (AC) flags a missing or malformed vector, an invalid input and a reduction error;</w:t>
      </w:r>
    </w:p>
    <w:p>
      <w:pPr>
        <w:numPr>
          <w:ilvl w:val="0"/>
          <w:numId w:val="1002"/>
        </w:numPr>
        <w:pStyle w:val="Compact"/>
      </w:pPr>
      <w:r>
        <w:t xml:space="preserve">on the M sheets, the reductions of the selected measures combine with the product rule 1 − ∏(1 − rᵢ), so a package can never exceed 1;</w:t>
      </w:r>
    </w:p>
    <w:p>
      <w:pPr>
        <w:numPr>
          <w:ilvl w:val="0"/>
          <w:numId w:val="1002"/>
        </w:numPr>
        <w:pStyle w:val="Compact"/>
      </w:pPr>
      <w:r>
        <w:t xml:space="preserve">the budget block (Y14:AC25) compares current spending plus the recommended portfolio with the appetite-consistent target and shows the gap and the implied appetite;</w:t>
      </w:r>
    </w:p>
    <w:p>
      <w:pPr>
        <w:numPr>
          <w:ilvl w:val="0"/>
          <w:numId w:val="1002"/>
        </w:numPr>
        <w:pStyle w:val="Compact"/>
      </w:pPr>
      <w:r>
        <w:t xml:space="preserve">columns AD and AE record the share of loss covered by a transfer and its approver, for information only.</w:t>
      </w:r>
    </w:p>
    <w:bookmarkEnd w:id="25"/>
    <w:bookmarkStart w:id="26" w:name="the-check-every-student-does-first"/>
    <w:p>
      <w:pPr>
        <w:pStyle w:val="Heading2"/>
      </w:pPr>
      <w:r>
        <w:rPr>
          <w:rStyle w:val="SectionNumber"/>
        </w:rPr>
        <w:t xml:space="preserve">4.2</w:t>
      </w:r>
      <w:r>
        <w:tab/>
      </w:r>
      <w:r>
        <w:t xml:space="preserve">The check every student does first</w:t>
      </w:r>
    </w:p>
    <w:p>
      <w:pPr>
        <w:pStyle w:val="FirstParagraph"/>
      </w:pPr>
      <w:r>
        <w:t xml:space="preserve">Whatever the track, the first thing a student does is confirm that the calculation engine agrees with the reference implementation:</w:t>
      </w:r>
    </w:p>
    <w:p>
      <w:pPr>
        <w:numPr>
          <w:ilvl w:val="0"/>
          <w:numId w:val="1003"/>
        </w:numPr>
        <w:pStyle w:val="Compact"/>
      </w:pPr>
      <w:r>
        <w:t xml:space="preserve">Desktop: the sidebar footer must read</w:t>
      </w:r>
      <w:r>
        <w:t xml:space="preserve"> </w:t>
      </w:r>
      <w:r>
        <w:rPr>
          <w:bCs/>
          <w:b/>
        </w:rPr>
        <w:t xml:space="preserve">engine verified · 84,305 / 41,023</w:t>
      </w:r>
      <w:r>
        <w:t xml:space="preserve">.</w:t>
      </w:r>
    </w:p>
    <w:p>
      <w:pPr>
        <w:numPr>
          <w:ilvl w:val="0"/>
          <w:numId w:val="1003"/>
        </w:numPr>
        <w:pStyle w:val="Compact"/>
      </w:pPr>
      <w:r>
        <w:t xml:space="preserve">Claude or command line:</w:t>
      </w:r>
      <w:r>
        <w:t xml:space="preserve"> </w:t>
      </w:r>
      <w:r>
        <w:rPr>
          <w:rStyle w:val="VerbatimChar"/>
        </w:rPr>
        <w:t xml:space="preserve">python3 crg_calc.py medibec30.json</w:t>
      </w:r>
      <w:r>
        <w:t xml:space="preserve"> </w:t>
      </w:r>
      <w:r>
        <w:t xml:space="preserve">must report</w:t>
      </w:r>
      <w:r>
        <w:t xml:space="preserve"> </w:t>
      </w:r>
      <w:r>
        <w:rPr>
          <w:bCs/>
          <w:b/>
        </w:rPr>
        <w:t xml:space="preserve">total estimated 84,305</w:t>
      </w:r>
      <w:r>
        <w:t xml:space="preserve"> </w:t>
      </w:r>
      <w:r>
        <w:t xml:space="preserve">and</w:t>
      </w:r>
      <w:r>
        <w:t xml:space="preserve"> </w:t>
      </w:r>
      <w:r>
        <w:rPr>
          <w:bCs/>
          <w:b/>
        </w:rPr>
        <w:t xml:space="preserve">residual 41,023</w:t>
      </w:r>
      <w:r>
        <w:t xml:space="preserve">.</w:t>
      </w:r>
    </w:p>
    <w:p>
      <w:pPr>
        <w:numPr>
          <w:ilvl w:val="0"/>
          <w:numId w:val="1003"/>
        </w:numPr>
        <w:pStyle w:val="Compact"/>
      </w:pPr>
      <w:r>
        <w:t xml:space="preserve">Excel: enter the textbook’s chapter 6 worked example in S1 (CVSS 9.3, vector</w:t>
      </w:r>
      <w:r>
        <w:t xml:space="preserve"> </w:t>
      </w:r>
      <w:r>
        <w:rPr>
          <w:rStyle w:val="VerbatimChar"/>
        </w:rPr>
        <w:t xml:space="preserve">CVSS:4.0/AV:L/AC:L/AT:N/PR:N/UI:P/VC:H/VI:H/VA:H/SC:H/SI:H/SA:H</w:t>
      </w:r>
      <w:r>
        <w:t xml:space="preserve">) and confirm estimated risk 3,554.46 and residual 1,937.18 after Calculate Now.</w:t>
      </w:r>
    </w:p>
    <w:p>
      <w:pPr>
        <w:pStyle w:val="FirstParagraph"/>
      </w:pPr>
      <w:r>
        <w:t xml:space="preserve">If it does not, nothing produced on that installation should be trusted. Make this check part of Lab 0 and ask for a screenshot.</w:t>
      </w:r>
    </w:p>
    <w:bookmarkEnd w:id="26"/>
    <w:bookmarkEnd w:id="27"/>
    <w:bookmarkStart w:id="28" w:name="using-the-textbook"/>
    <w:p>
      <w:pPr>
        <w:pStyle w:val="Heading1"/>
      </w:pPr>
      <w:r>
        <w:rPr>
          <w:rStyle w:val="SectionNumber"/>
        </w:rPr>
        <w:t xml:space="preserve">5</w:t>
      </w:r>
      <w:r>
        <w:tab/>
      </w:r>
      <w:r>
        <w:t xml:space="preserve">Using the textbook</w:t>
      </w:r>
    </w:p>
    <w:p>
      <w:pPr>
        <w:pStyle w:val="FirstParagraph"/>
      </w:pPr>
      <w:r>
        <w:t xml:space="preserve">The package pairs with the textbook</w:t>
      </w:r>
      <w:r>
        <w:t xml:space="preserve"> </w:t>
      </w:r>
      <w:r>
        <w:rPr>
          <w:iCs/>
          <w:i/>
        </w:rPr>
        <w:t xml:space="preserve">Introduction to Cybersecurity Governance for Business Technology Management</w:t>
      </w:r>
      <w:r>
        <w:t xml:space="preserve"> </w:t>
      </w:r>
      <w:r>
        <w:t xml:space="preserve">(Léger, 3rd ed., v2.51, October 2026), which is free as the</w:t>
      </w:r>
      <w:r>
        <w:t xml:space="preserve"> </w:t>
      </w:r>
      <w:r>
        <w:rPr>
          <w:rStyle w:val="VerbatimChar"/>
        </w:rPr>
        <w:t xml:space="preserve">crg-governance-textbook</w:t>
      </w:r>
      <w:r>
        <w:t xml:space="preserve"> </w:t>
      </w:r>
      <w:r>
        <w:t xml:space="preserve">plugin and whose appendix</w:t>
      </w:r>
      <w:r>
        <w:t xml:space="preserve"> </w:t>
      </w:r>
      <w:r>
        <w:t xml:space="preserve">“</w:t>
      </w:r>
      <w:r>
        <w:t xml:space="preserve">Using CyberRiskGuardian with this book</w:t>
      </w:r>
      <w:r>
        <w:t xml:space="preserve">”</w:t>
      </w:r>
      <w:r>
        <w:t xml:space="preserve"> </w:t>
      </w:r>
      <w:r>
        <w:t xml:space="preserve">maps all 21 chapters to CRG activities. The labs draw on these chapters:</w:t>
      </w:r>
    </w:p>
    <w:tbl>
      <w:tblPr>
        <w:tblStyle w:val="Table"/>
        <w:tblW w:type="dxa" w:w="9600"/>
        <w:tblLook w:firstRow="1" w:lastRow="0" w:firstColumn="0" w:lastColumn="0" w:noHBand="0" w:noVBand="0" w:val="0020"/>
        <w:jc w:val="start"/>
      </w:tblPr>
      <w:tblGrid>
        <w:gridCol w:w="3722"/>
        <w:gridCol w:w="5878"/>
      </w:tblGrid>
      <w:tr>
        <w:trPr>
          <w:tblHeader w:val="true"/>
        </w:trPr>
        <w:tc>
          <w:tcPr>
            <w:tcW w:type="dxa" w:w="3722"/>
            <w:shd w:val="clear" w:color="auto" w:fill="123A5C"/>
          </w:tcPr>
          <w:p>
            <w:pPr>
              <w:pStyle w:val="Compact"/>
              <w:spacing w:after="40" w:before="20"/>
              <w:jc w:val="left"/>
            </w:pPr>
            <w:r>
              <w:rPr>
                <w:b/>
                <w:color w:val="FFFFFF"/>
              </w:rPr>
              <w:t xml:space="preserve">Labs and activities</w:t>
            </w:r>
          </w:p>
        </w:tc>
        <w:tc>
          <w:tcPr>
            <w:tcW w:type="dxa" w:w="5878"/>
            <w:shd w:val="clear" w:color="auto" w:fill="123A5C"/>
          </w:tcPr>
          <w:p>
            <w:pPr>
              <w:pStyle w:val="Compact"/>
              <w:spacing w:after="40" w:before="20"/>
              <w:jc w:val="left"/>
            </w:pPr>
            <w:r>
              <w:rPr>
                <w:b/>
                <w:color w:val="FFFFFF"/>
              </w:rPr>
              <w:t xml:space="preserve">Textbook chapters</w:t>
            </w:r>
          </w:p>
        </w:tc>
      </w:tr>
      <w:tr>
        <w:tc>
          <w:tcPr>
            <w:tcW w:type="dxa" w:w="3722"/>
          </w:tcPr>
          <w:p>
            <w:pPr>
              <w:pStyle w:val="Compact"/>
              <w:spacing w:after="40" w:before="20"/>
              <w:jc w:val="left"/>
            </w:pPr>
            <w:r>
              <w:t xml:space="preserve">Lab 0 (engine check) and Lab 1 (context, crown jewels)</w:t>
            </w:r>
          </w:p>
        </w:tc>
        <w:tc>
          <w:tcPr>
            <w:tcW w:type="dxa" w:w="5878"/>
          </w:tcPr>
          <w:p>
            <w:pPr>
              <w:pStyle w:val="Compact"/>
              <w:spacing w:after="40" w:before="20"/>
              <w:jc w:val="left"/>
            </w:pPr>
            <w:r>
              <w:t xml:space="preserve">Chapter 6 (workflow, steps 1–3); Chapter 5 (context first)</w:t>
            </w:r>
          </w:p>
        </w:tc>
      </w:tr>
      <w:tr>
        <w:tc>
          <w:tcPr>
            <w:tcW w:type="dxa" w:w="3722"/>
          </w:tcPr>
          <w:p>
            <w:pPr>
              <w:pStyle w:val="Compact"/>
              <w:spacing w:after="40" w:before="20"/>
              <w:jc w:val="left"/>
            </w:pPr>
            <w:r>
              <w:t xml:space="preserve">Lab 2 (risk appetite)</w:t>
            </w:r>
          </w:p>
        </w:tc>
        <w:tc>
          <w:tcPr>
            <w:tcW w:type="dxa" w:w="5878"/>
          </w:tcPr>
          <w:p>
            <w:pPr>
              <w:pStyle w:val="Compact"/>
              <w:spacing w:after="40" w:before="20"/>
              <w:jc w:val="left"/>
            </w:pPr>
            <w:r>
              <w:t xml:space="preserve">Chapter 4 (appetite and tolerance, the tolerance bands, the budget benchmark)</w:t>
            </w:r>
          </w:p>
        </w:tc>
      </w:tr>
      <w:tr>
        <w:tc>
          <w:tcPr>
            <w:tcW w:type="dxa" w:w="3722"/>
          </w:tcPr>
          <w:p>
            <w:pPr>
              <w:pStyle w:val="Compact"/>
              <w:spacing w:after="40" w:before="20"/>
              <w:jc w:val="left"/>
            </w:pPr>
            <w:r>
              <w:t xml:space="preserve">Lab 3 (candidates, screening, selection)</w:t>
            </w:r>
          </w:p>
        </w:tc>
        <w:tc>
          <w:tcPr>
            <w:tcW w:type="dxa" w:w="5878"/>
          </w:tcPr>
          <w:p>
            <w:pPr>
              <w:pStyle w:val="Compact"/>
              <w:spacing w:after="40" w:before="20"/>
              <w:jc w:val="left"/>
            </w:pPr>
            <w:r>
              <w:t xml:space="preserve">Chapter 5 (25–40 candidates, five generation strategies, twelve screening criteria, coverage)</w:t>
            </w:r>
          </w:p>
        </w:tc>
      </w:tr>
      <w:tr>
        <w:tc>
          <w:tcPr>
            <w:tcW w:type="dxa" w:w="3722"/>
          </w:tcPr>
          <w:p>
            <w:pPr>
              <w:pStyle w:val="Compact"/>
              <w:spacing w:after="40" w:before="20"/>
              <w:jc w:val="left"/>
            </w:pPr>
            <w:r>
              <w:t xml:space="preserve">Labs 4–8 (parameters, CVSS v4.0, risk indices, treatment, sensitivity)</w:t>
            </w:r>
          </w:p>
        </w:tc>
        <w:tc>
          <w:tcPr>
            <w:tcW w:type="dxa" w:w="5878"/>
          </w:tcPr>
          <w:p>
            <w:pPr>
              <w:pStyle w:val="Compact"/>
              <w:spacing w:after="40" w:before="20"/>
              <w:jc w:val="left"/>
            </w:pPr>
            <w:r>
              <w:t xml:space="preserve">Chapter 6 (the risk index, CVSS by equivalency, the workbook procedure, the MediBec worked example)</w:t>
            </w:r>
          </w:p>
        </w:tc>
      </w:tr>
      <w:tr>
        <w:tc>
          <w:tcPr>
            <w:tcW w:type="dxa" w:w="3722"/>
          </w:tcPr>
          <w:p>
            <w:pPr>
              <w:pStyle w:val="Compact"/>
              <w:spacing w:after="40" w:before="20"/>
              <w:jc w:val="left"/>
            </w:pPr>
            <w:r>
              <w:t xml:space="preserve">Lab 9 (KRIs)</w:t>
            </w:r>
          </w:p>
        </w:tc>
        <w:tc>
          <w:tcPr>
            <w:tcW w:type="dxa" w:w="5878"/>
          </w:tcPr>
          <w:p>
            <w:pPr>
              <w:pStyle w:val="Compact"/>
              <w:spacing w:after="40" w:before="20"/>
              <w:jc w:val="left"/>
            </w:pPr>
            <w:r>
              <w:t xml:space="preserve">Chapter 6 (KRIs for monitoring); Chapter 14 (metrics and baselines)</w:t>
            </w:r>
          </w:p>
        </w:tc>
      </w:tr>
      <w:tr>
        <w:tc>
          <w:tcPr>
            <w:tcW w:type="dxa" w:w="3722"/>
          </w:tcPr>
          <w:p>
            <w:pPr>
              <w:pStyle w:val="Compact"/>
              <w:spacing w:after="40" w:before="20"/>
              <w:jc w:val="left"/>
            </w:pPr>
            <w:r>
              <w:t xml:space="preserve">Lab 10 (management memo, budget)</w:t>
            </w:r>
          </w:p>
        </w:tc>
        <w:tc>
          <w:tcPr>
            <w:tcW w:type="dxa" w:w="5878"/>
          </w:tcPr>
          <w:p>
            <w:pPr>
              <w:pStyle w:val="Compact"/>
              <w:spacing w:after="40" w:before="20"/>
              <w:jc w:val="left"/>
            </w:pPr>
            <w:r>
              <w:t xml:space="preserve">Chapter 6 (management report, budget calibration); Chapter 4; Chapter 17 (investment governance, insurance as transfer)</w:t>
            </w:r>
          </w:p>
        </w:tc>
      </w:tr>
      <w:tr>
        <w:tc>
          <w:tcPr>
            <w:tcW w:type="dxa" w:w="3722"/>
          </w:tcPr>
          <w:p>
            <w:pPr>
              <w:pStyle w:val="Compact"/>
              <w:spacing w:after="40" w:before="20"/>
              <w:jc w:val="left"/>
            </w:pPr>
            <w:r>
              <w:t xml:space="preserve">Lab 12 (from risk to policy and audit)</w:t>
            </w:r>
          </w:p>
        </w:tc>
        <w:tc>
          <w:tcPr>
            <w:tcW w:type="dxa" w:w="5878"/>
          </w:tcPr>
          <w:p>
            <w:pPr>
              <w:pStyle w:val="Compact"/>
              <w:spacing w:after="40" w:before="20"/>
              <w:jc w:val="left"/>
            </w:pPr>
            <w:r>
              <w:t xml:space="preserve">Chapter 9 (control frameworks), Chapter 10 (IAM), Chapter 3 (compliance and assurance)</w:t>
            </w:r>
          </w:p>
        </w:tc>
      </w:tr>
    </w:tbl>
    <w:p>
      <w:pPr>
        <w:pStyle w:val="BodyText"/>
      </w:pPr>
      <w:r>
        <w:t xml:space="preserve">Each chapter ends with twenty multiple-choice questions; the answer letters are in the book’s appendix. The</w:t>
      </w:r>
      <w:r>
        <w:t xml:space="preserve"> </w:t>
      </w:r>
      <w:r>
        <w:rPr>
          <w:bCs/>
          <w:b/>
        </w:rPr>
        <w:t xml:space="preserve">Instructor Resource Guide</w:t>
      </w:r>
      <w:r>
        <w:t xml:space="preserve"> </w:t>
      </w:r>
      <w:r>
        <w:t xml:space="preserve">(rationales for every answer and marking guidance for the essay questions) and the 21 chapter slide decks accompany the book: the slide decks are free release assets of the repository (see</w:t>
      </w:r>
      <w:r>
        <w:t xml:space="preserve"> </w:t>
      </w:r>
      <w:r>
        <w:rPr>
          <w:rStyle w:val="VerbatimChar"/>
        </w:rPr>
        <w:t xml:space="preserve">education/README.md</w:t>
      </w:r>
      <w:r>
        <w:t xml:space="preserve">), and the Instructor Resource Guide is part of the Educator Edition.</w:t>
      </w:r>
    </w:p>
    <w:bookmarkEnd w:id="28"/>
    <w:bookmarkStart w:id="33" w:name="integration-models"/>
    <w:p>
      <w:pPr>
        <w:pStyle w:val="Heading1"/>
      </w:pPr>
      <w:r>
        <w:rPr>
          <w:rStyle w:val="SectionNumber"/>
        </w:rPr>
        <w:t xml:space="preserve">6</w:t>
      </w:r>
      <w:r>
        <w:tab/>
      </w:r>
      <w:r>
        <w:t xml:space="preserve">Integration models</w:t>
      </w:r>
    </w:p>
    <w:p>
      <w:pPr>
        <w:pStyle w:val="FirstParagraph"/>
      </w:pPr>
      <w:r>
        <w:t xml:space="preserve">Choose the model that fits the time you have. Each model lists the sessions, the labs and a suggested weighting. The labs are described in the Student Lab Workbook.</w:t>
      </w:r>
    </w:p>
    <w:bookmarkStart w:id="29" w:name="model-1-one-workshop-3-hours"/>
    <w:p>
      <w:pPr>
        <w:pStyle w:val="Heading2"/>
      </w:pPr>
      <w:r>
        <w:rPr>
          <w:rStyle w:val="SectionNumber"/>
        </w:rPr>
        <w:t xml:space="preserve">6.1</w:t>
      </w:r>
      <w:r>
        <w:tab/>
      </w:r>
      <w:r>
        <w:t xml:space="preserve">Model 1 — One workshop (3 hours)</w:t>
      </w:r>
    </w:p>
    <w:p>
      <w:pPr>
        <w:pStyle w:val="FirstParagraph"/>
      </w:pPr>
      <w:r>
        <w:t xml:space="preserve">For an existing course that wants a single hands-on introduction.</w:t>
      </w:r>
    </w:p>
    <w:tbl>
      <w:tblPr>
        <w:tblStyle w:val="Table"/>
        <w:tblW w:type="dxa" w:w="9600"/>
        <w:tblLook w:firstRow="1" w:lastRow="0" w:firstColumn="0" w:lastColumn="0" w:noHBand="0" w:noVBand="0" w:val="0020"/>
        <w:jc w:val="start"/>
      </w:tblPr>
      <w:tblGrid>
        <w:gridCol w:w="1208"/>
        <w:gridCol w:w="8392"/>
      </w:tblGrid>
      <w:tr>
        <w:trPr>
          <w:tblHeader w:val="true"/>
        </w:trPr>
        <w:tc>
          <w:tcPr>
            <w:tcW w:type="dxa" w:w="1208"/>
            <w:shd w:val="clear" w:color="auto" w:fill="123A5C"/>
          </w:tcPr>
          <w:p>
            <w:pPr>
              <w:pStyle w:val="Compact"/>
              <w:spacing w:after="40" w:before="20"/>
              <w:jc w:val="left"/>
            </w:pPr>
            <w:r>
              <w:rPr>
                <w:b/>
                <w:color w:val="FFFFFF"/>
              </w:rPr>
              <w:t xml:space="preserve">Time</w:t>
            </w:r>
          </w:p>
        </w:tc>
        <w:tc>
          <w:tcPr>
            <w:tcW w:type="dxa" w:w="8392"/>
            <w:shd w:val="clear" w:color="auto" w:fill="123A5C"/>
          </w:tcPr>
          <w:p>
            <w:pPr>
              <w:pStyle w:val="Compact"/>
              <w:spacing w:after="40" w:before="20"/>
              <w:jc w:val="left"/>
            </w:pPr>
            <w:r>
              <w:rPr>
                <w:b/>
                <w:color w:val="FFFFFF"/>
              </w:rPr>
              <w:t xml:space="preserve">Activity</w:t>
            </w:r>
          </w:p>
        </w:tc>
      </w:tr>
      <w:tr>
        <w:tc>
          <w:tcPr>
            <w:tcW w:type="dxa" w:w="1208"/>
          </w:tcPr>
          <w:p>
            <w:pPr>
              <w:pStyle w:val="Compact"/>
              <w:spacing w:after="40" w:before="20"/>
              <w:jc w:val="left"/>
            </w:pPr>
            <w:r>
              <w:t xml:space="preserve">0:00–0:30</w:t>
            </w:r>
          </w:p>
        </w:tc>
        <w:tc>
          <w:tcPr>
            <w:tcW w:type="dxa" w:w="8392"/>
          </w:tcPr>
          <w:p>
            <w:pPr>
              <w:pStyle w:val="Compact"/>
              <w:spacing w:after="40" w:before="20"/>
              <w:jc w:val="left"/>
            </w:pPr>
            <w:r>
              <w:t xml:space="preserve">Introductory deck (slides 1–9): why scenarios, the six parameters, the markers</w:t>
            </w:r>
          </w:p>
        </w:tc>
      </w:tr>
      <w:tr>
        <w:tc>
          <w:tcPr>
            <w:tcW w:type="dxa" w:w="1208"/>
          </w:tcPr>
          <w:p>
            <w:pPr>
              <w:pStyle w:val="Compact"/>
              <w:spacing w:after="40" w:before="20"/>
              <w:jc w:val="left"/>
            </w:pPr>
            <w:r>
              <w:t xml:space="preserve">0:30–0:45</w:t>
            </w:r>
          </w:p>
        </w:tc>
        <w:tc>
          <w:tcPr>
            <w:tcW w:type="dxa" w:w="8392"/>
          </w:tcPr>
          <w:p>
            <w:pPr>
              <w:pStyle w:val="Compact"/>
              <w:spacing w:after="40" w:before="20"/>
              <w:jc w:val="left"/>
            </w:pPr>
            <w:r>
              <w:t xml:space="preserve">Lab 0: install or open the tool, verify the engine</w:t>
            </w:r>
          </w:p>
        </w:tc>
      </w:tr>
      <w:tr>
        <w:tc>
          <w:tcPr>
            <w:tcW w:type="dxa" w:w="1208"/>
          </w:tcPr>
          <w:p>
            <w:pPr>
              <w:pStyle w:val="Compact"/>
              <w:spacing w:after="40" w:before="20"/>
              <w:jc w:val="left"/>
            </w:pPr>
            <w:r>
              <w:t xml:space="preserve">0:45–1:30</w:t>
            </w:r>
          </w:p>
        </w:tc>
        <w:tc>
          <w:tcPr>
            <w:tcW w:type="dxa" w:w="8392"/>
          </w:tcPr>
          <w:p>
            <w:pPr>
              <w:pStyle w:val="Compact"/>
              <w:spacing w:after="40" w:before="20"/>
              <w:jc w:val="left"/>
            </w:pPr>
            <w:r>
              <w:t xml:space="preserve">Lab 3 (shortened): teams write three causal-chain scenarios for MediBec and critique each other’s</w:t>
            </w:r>
          </w:p>
        </w:tc>
      </w:tr>
      <w:tr>
        <w:tc>
          <w:tcPr>
            <w:tcW w:type="dxa" w:w="1208"/>
          </w:tcPr>
          <w:p>
            <w:pPr>
              <w:pStyle w:val="Compact"/>
              <w:spacing w:after="40" w:before="20"/>
              <w:jc w:val="left"/>
            </w:pPr>
            <w:r>
              <w:t xml:space="preserve">1:30–1:45</w:t>
            </w:r>
          </w:p>
        </w:tc>
        <w:tc>
          <w:tcPr>
            <w:tcW w:type="dxa" w:w="8392"/>
          </w:tcPr>
          <w:p>
            <w:pPr>
              <w:pStyle w:val="Compact"/>
              <w:spacing w:after="40" w:before="20"/>
              <w:jc w:val="left"/>
            </w:pPr>
            <w:r>
              <w:t xml:space="preserve">Break</w:t>
            </w:r>
          </w:p>
        </w:tc>
      </w:tr>
      <w:tr>
        <w:tc>
          <w:tcPr>
            <w:tcW w:type="dxa" w:w="1208"/>
          </w:tcPr>
          <w:p>
            <w:pPr>
              <w:pStyle w:val="Compact"/>
              <w:spacing w:after="40" w:before="20"/>
              <w:jc w:val="left"/>
            </w:pPr>
            <w:r>
              <w:t xml:space="preserve">1:45–2:30</w:t>
            </w:r>
          </w:p>
        </w:tc>
        <w:tc>
          <w:tcPr>
            <w:tcW w:type="dxa" w:w="8392"/>
          </w:tcPr>
          <w:p>
            <w:pPr>
              <w:pStyle w:val="Compact"/>
              <w:spacing w:after="40" w:before="20"/>
              <w:jc w:val="left"/>
            </w:pPr>
            <w:r>
              <w:t xml:space="preserve">Labs 4 and 6: quantify one scenario and calculate its risk; compare with the worked example</w:t>
            </w:r>
          </w:p>
        </w:tc>
      </w:tr>
      <w:tr>
        <w:tc>
          <w:tcPr>
            <w:tcW w:type="dxa" w:w="1208"/>
          </w:tcPr>
          <w:p>
            <w:pPr>
              <w:pStyle w:val="Compact"/>
              <w:spacing w:after="40" w:before="20"/>
              <w:jc w:val="left"/>
            </w:pPr>
            <w:r>
              <w:t xml:space="preserve">2:30–3:00</w:t>
            </w:r>
          </w:p>
        </w:tc>
        <w:tc>
          <w:tcPr>
            <w:tcW w:type="dxa" w:w="8392"/>
          </w:tcPr>
          <w:p>
            <w:pPr>
              <w:pStyle w:val="Compact"/>
              <w:spacing w:after="40" w:before="20"/>
              <w:jc w:val="left"/>
            </w:pPr>
            <w:r>
              <w:t xml:space="preserve">Debrief: why the tolerance verdict depends only on damage, treatment and appetite; what management would decide</w:t>
            </w:r>
          </w:p>
        </w:tc>
      </w:tr>
    </w:tbl>
    <w:p>
      <w:pPr>
        <w:pStyle w:val="BodyText"/>
      </w:pPr>
      <w:r>
        <w:t xml:space="preserve">Assessment: a one-page reflection or the Lab 6 output (pass/fail).</w:t>
      </w:r>
    </w:p>
    <w:bookmarkEnd w:id="29"/>
    <w:bookmarkStart w:id="30" w:name="model-2-three-week-module"/>
    <w:p>
      <w:pPr>
        <w:pStyle w:val="Heading2"/>
      </w:pPr>
      <w:r>
        <w:rPr>
          <w:rStyle w:val="SectionNumber"/>
        </w:rPr>
        <w:t xml:space="preserve">6.2</w:t>
      </w:r>
      <w:r>
        <w:tab/>
      </w:r>
      <w:r>
        <w:t xml:space="preserve">Model 2 — Three-week module</w:t>
      </w:r>
    </w:p>
    <w:p>
      <w:pPr>
        <w:pStyle w:val="FirstParagraph"/>
      </w:pPr>
      <w:r>
        <w:t xml:space="preserve">For a course that dedicates a unit to risk assessment.</w:t>
      </w:r>
    </w:p>
    <w:tbl>
      <w:tblPr>
        <w:tblStyle w:val="Table"/>
        <w:tblW w:type="dxa" w:w="9600"/>
        <w:tblLook w:firstRow="1" w:lastRow="0" w:firstColumn="0" w:lastColumn="0" w:noHBand="0" w:noVBand="0" w:val="0020"/>
        <w:jc w:val="start"/>
      </w:tblPr>
      <w:tblGrid>
        <w:gridCol w:w="669"/>
        <w:gridCol w:w="2824"/>
        <w:gridCol w:w="753"/>
        <w:gridCol w:w="5354"/>
      </w:tblGrid>
      <w:tr>
        <w:trPr>
          <w:tblHeader w:val="true"/>
        </w:trPr>
        <w:tc>
          <w:tcPr>
            <w:tcW w:type="dxa" w:w="669"/>
            <w:shd w:val="clear" w:color="auto" w:fill="123A5C"/>
          </w:tcPr>
          <w:p>
            <w:pPr>
              <w:pStyle w:val="Compact"/>
              <w:spacing w:after="40" w:before="20"/>
              <w:jc w:val="left"/>
            </w:pPr>
            <w:r>
              <w:rPr>
                <w:b/>
                <w:color w:val="FFFFFF"/>
              </w:rPr>
              <w:t xml:space="preserve">Week</w:t>
            </w:r>
          </w:p>
        </w:tc>
        <w:tc>
          <w:tcPr>
            <w:tcW w:type="dxa" w:w="2824"/>
            <w:shd w:val="clear" w:color="auto" w:fill="123A5C"/>
          </w:tcPr>
          <w:p>
            <w:pPr>
              <w:pStyle w:val="Compact"/>
              <w:spacing w:after="40" w:before="20"/>
              <w:jc w:val="left"/>
            </w:pPr>
            <w:r>
              <w:rPr>
                <w:b/>
                <w:color w:val="FFFFFF"/>
              </w:rPr>
              <w:t xml:space="preserve">Class</w:t>
            </w:r>
          </w:p>
        </w:tc>
        <w:tc>
          <w:tcPr>
            <w:tcW w:type="dxa" w:w="753"/>
            <w:shd w:val="clear" w:color="auto" w:fill="123A5C"/>
          </w:tcPr>
          <w:p>
            <w:pPr>
              <w:pStyle w:val="Compact"/>
              <w:spacing w:after="40" w:before="20"/>
              <w:jc w:val="left"/>
            </w:pPr>
            <w:r>
              <w:rPr>
                <w:b/>
                <w:color w:val="FFFFFF"/>
              </w:rPr>
              <w:t xml:space="preserve">Labs</w:t>
            </w:r>
          </w:p>
        </w:tc>
        <w:tc>
          <w:tcPr>
            <w:tcW w:type="dxa" w:w="5354"/>
            <w:shd w:val="clear" w:color="auto" w:fill="123A5C"/>
          </w:tcPr>
          <w:p>
            <w:pPr>
              <w:pStyle w:val="Compact"/>
              <w:spacing w:after="40" w:before="20"/>
              <w:jc w:val="left"/>
            </w:pPr>
            <w:r>
              <w:rPr>
                <w:b/>
                <w:color w:val="FFFFFF"/>
              </w:rPr>
              <w:t xml:space="preserve">Deliverable</w:t>
            </w:r>
          </w:p>
        </w:tc>
      </w:tr>
      <w:tr>
        <w:tc>
          <w:tcPr>
            <w:tcW w:type="dxa" w:w="669"/>
          </w:tcPr>
          <w:p>
            <w:pPr>
              <w:pStyle w:val="Compact"/>
              <w:spacing w:after="40" w:before="20"/>
              <w:jc w:val="left"/>
            </w:pPr>
            <w:r>
              <w:t xml:space="preserve">1</w:t>
            </w:r>
          </w:p>
        </w:tc>
        <w:tc>
          <w:tcPr>
            <w:tcW w:type="dxa" w:w="2824"/>
          </w:tcPr>
          <w:p>
            <w:pPr>
              <w:pStyle w:val="Compact"/>
              <w:spacing w:after="40" w:before="20"/>
              <w:jc w:val="left"/>
            </w:pPr>
            <w:r>
              <w:t xml:space="preserve">Context, appetite and scenarios</w:t>
            </w:r>
          </w:p>
        </w:tc>
        <w:tc>
          <w:tcPr>
            <w:tcW w:type="dxa" w:w="753"/>
          </w:tcPr>
          <w:p>
            <w:pPr>
              <w:pStyle w:val="Compact"/>
              <w:spacing w:after="40" w:before="20"/>
              <w:jc w:val="left"/>
            </w:pPr>
            <w:r>
              <w:t xml:space="preserve">0, 1, 2, 3</w:t>
            </w:r>
          </w:p>
        </w:tc>
        <w:tc>
          <w:tcPr>
            <w:tcW w:type="dxa" w:w="5354"/>
          </w:tcPr>
          <w:p>
            <w:pPr>
              <w:pStyle w:val="Compact"/>
              <w:spacing w:after="40" w:before="20"/>
              <w:jc w:val="left"/>
            </w:pPr>
            <w:r>
              <w:t xml:space="preserve">Team scenario set (20 candidates in the lab version, 25–40 in a full assessment → 10)</w:t>
            </w:r>
          </w:p>
        </w:tc>
      </w:tr>
      <w:tr>
        <w:tc>
          <w:tcPr>
            <w:tcW w:type="dxa" w:w="669"/>
          </w:tcPr>
          <w:p>
            <w:pPr>
              <w:pStyle w:val="Compact"/>
              <w:spacing w:after="40" w:before="20"/>
              <w:jc w:val="left"/>
            </w:pPr>
            <w:r>
              <w:t xml:space="preserve">2</w:t>
            </w:r>
          </w:p>
        </w:tc>
        <w:tc>
          <w:tcPr>
            <w:tcW w:type="dxa" w:w="2824"/>
          </w:tcPr>
          <w:p>
            <w:pPr>
              <w:pStyle w:val="Compact"/>
              <w:spacing w:after="40" w:before="20"/>
              <w:jc w:val="left"/>
            </w:pPr>
            <w:r>
              <w:t xml:space="preserve">Quantification, CVSS and interpretation</w:t>
            </w:r>
          </w:p>
        </w:tc>
        <w:tc>
          <w:tcPr>
            <w:tcW w:type="dxa" w:w="753"/>
          </w:tcPr>
          <w:p>
            <w:pPr>
              <w:pStyle w:val="Compact"/>
              <w:spacing w:after="40" w:before="20"/>
              <w:jc w:val="left"/>
            </w:pPr>
            <w:r>
              <w:t xml:space="preserve">4, 5, 6, 8</w:t>
            </w:r>
          </w:p>
        </w:tc>
        <w:tc>
          <w:tcPr>
            <w:tcW w:type="dxa" w:w="5354"/>
          </w:tcPr>
          <w:p>
            <w:pPr>
              <w:pStyle w:val="Compact"/>
              <w:spacing w:after="40" w:before="20"/>
              <w:jc w:val="left"/>
            </w:pPr>
            <w:r>
              <w:t xml:space="preserve">Quantified portfolio with rationale</w:t>
            </w:r>
          </w:p>
        </w:tc>
      </w:tr>
      <w:tr>
        <w:tc>
          <w:tcPr>
            <w:tcW w:type="dxa" w:w="669"/>
          </w:tcPr>
          <w:p>
            <w:pPr>
              <w:pStyle w:val="Compact"/>
              <w:spacing w:after="40" w:before="20"/>
              <w:jc w:val="left"/>
            </w:pPr>
            <w:r>
              <w:t xml:space="preserve">3</w:t>
            </w:r>
          </w:p>
        </w:tc>
        <w:tc>
          <w:tcPr>
            <w:tcW w:type="dxa" w:w="2824"/>
          </w:tcPr>
          <w:p>
            <w:pPr>
              <w:pStyle w:val="Compact"/>
              <w:spacing w:after="40" w:before="20"/>
              <w:jc w:val="left"/>
            </w:pPr>
            <w:r>
              <w:t xml:space="preserve">Treatment, KRIs and the management memo</w:t>
            </w:r>
          </w:p>
        </w:tc>
        <w:tc>
          <w:tcPr>
            <w:tcW w:type="dxa" w:w="753"/>
          </w:tcPr>
          <w:p>
            <w:pPr>
              <w:pStyle w:val="Compact"/>
              <w:spacing w:after="40" w:before="20"/>
              <w:jc w:val="left"/>
            </w:pPr>
            <w:r>
              <w:t xml:space="preserve">7, 9, 10</w:t>
            </w:r>
          </w:p>
        </w:tc>
        <w:tc>
          <w:tcPr>
            <w:tcW w:type="dxa" w:w="5354"/>
          </w:tcPr>
          <w:p>
            <w:pPr>
              <w:pStyle w:val="Compact"/>
              <w:spacing w:after="40" w:before="20"/>
              <w:jc w:val="left"/>
            </w:pPr>
            <w:r>
              <w:t xml:space="preserve">One-page memo and two-page recommendation</w:t>
            </w:r>
          </w:p>
        </w:tc>
      </w:tr>
    </w:tbl>
    <w:p>
      <w:pPr>
        <w:pStyle w:val="BodyText"/>
      </w:pPr>
      <w:r>
        <w:t xml:space="preserve">Suggested weight: 20–30% of the course grade, using the A1 rubric of the Assessment Kit.</w:t>
      </w:r>
    </w:p>
    <w:bookmarkEnd w:id="30"/>
    <w:bookmarkStart w:id="31" w:name="model-3-full-term-12-weeks"/>
    <w:p>
      <w:pPr>
        <w:pStyle w:val="Heading2"/>
      </w:pPr>
      <w:r>
        <w:rPr>
          <w:rStyle w:val="SectionNumber"/>
        </w:rPr>
        <w:t xml:space="preserve">6.3</w:t>
      </w:r>
      <w:r>
        <w:tab/>
      </w:r>
      <w:r>
        <w:t xml:space="preserve">Model 3 — Full term (12 weeks)</w:t>
      </w:r>
    </w:p>
    <w:p>
      <w:pPr>
        <w:pStyle w:val="FirstParagraph"/>
      </w:pPr>
      <w:r>
        <w:t xml:space="preserve">This is the model used in BTM 440. The risk assessment (A1) feeds the security policy (A2) and the audit plan (A3), so students follow one organization from risk to governance to assurance.</w:t>
      </w:r>
    </w:p>
    <w:tbl>
      <w:tblPr>
        <w:tblStyle w:val="Table"/>
        <w:tblW w:type="dxa" w:w="9600"/>
        <w:tblLook w:firstRow="1" w:lastRow="0" w:firstColumn="0" w:lastColumn="0" w:noHBand="0" w:noVBand="0" w:val="0020"/>
        <w:jc w:val="start"/>
      </w:tblPr>
      <w:tblGrid>
        <w:gridCol w:w="630"/>
        <w:gridCol w:w="4119"/>
        <w:gridCol w:w="3619"/>
        <w:gridCol w:w="1232"/>
      </w:tblGrid>
      <w:tr>
        <w:trPr>
          <w:tblHeader w:val="true"/>
        </w:trPr>
        <w:tc>
          <w:tcPr>
            <w:tcW w:type="dxa" w:w="630"/>
            <w:shd w:val="clear" w:color="auto" w:fill="123A5C"/>
          </w:tcPr>
          <w:p>
            <w:pPr>
              <w:pStyle w:val="Compact"/>
              <w:spacing w:after="40" w:before="20"/>
              <w:jc w:val="left"/>
            </w:pPr>
            <w:r>
              <w:rPr>
                <w:b/>
                <w:color w:val="FFFFFF"/>
              </w:rPr>
              <w:t xml:space="preserve">Week</w:t>
            </w:r>
          </w:p>
        </w:tc>
        <w:tc>
          <w:tcPr>
            <w:tcW w:type="dxa" w:w="4119"/>
            <w:shd w:val="clear" w:color="auto" w:fill="123A5C"/>
          </w:tcPr>
          <w:p>
            <w:pPr>
              <w:pStyle w:val="Compact"/>
              <w:spacing w:after="40" w:before="20"/>
              <w:jc w:val="left"/>
            </w:pPr>
            <w:r>
              <w:rPr>
                <w:b/>
                <w:color w:val="FFFFFF"/>
              </w:rPr>
              <w:t xml:space="preserve">Course topic</w:t>
            </w:r>
          </w:p>
        </w:tc>
        <w:tc>
          <w:tcPr>
            <w:tcW w:type="dxa" w:w="3619"/>
            <w:shd w:val="clear" w:color="auto" w:fill="123A5C"/>
          </w:tcPr>
          <w:p>
            <w:pPr>
              <w:pStyle w:val="Compact"/>
              <w:spacing w:after="40" w:before="20"/>
              <w:jc w:val="left"/>
            </w:pPr>
            <w:r>
              <w:rPr>
                <w:b/>
                <w:color w:val="FFFFFF"/>
              </w:rPr>
              <w:t xml:space="preserve">CRG activity</w:t>
            </w:r>
          </w:p>
        </w:tc>
        <w:tc>
          <w:tcPr>
            <w:tcW w:type="dxa" w:w="1232"/>
            <w:shd w:val="clear" w:color="auto" w:fill="123A5C"/>
          </w:tcPr>
          <w:p>
            <w:pPr>
              <w:pStyle w:val="Compact"/>
              <w:spacing w:after="40" w:before="20"/>
              <w:jc w:val="left"/>
            </w:pPr>
            <w:r>
              <w:rPr>
                <w:b/>
                <w:color w:val="FFFFFF"/>
              </w:rPr>
              <w:t xml:space="preserve">Due</w:t>
            </w:r>
          </w:p>
        </w:tc>
      </w:tr>
      <w:tr>
        <w:tc>
          <w:tcPr>
            <w:tcW w:type="dxa" w:w="630"/>
          </w:tcPr>
          <w:p>
            <w:pPr>
              <w:pStyle w:val="Compact"/>
              <w:spacing w:after="40" w:before="20"/>
              <w:jc w:val="left"/>
            </w:pPr>
            <w:r>
              <w:t xml:space="preserve">1</w:t>
            </w:r>
          </w:p>
        </w:tc>
        <w:tc>
          <w:tcPr>
            <w:tcW w:type="dxa" w:w="4119"/>
          </w:tcPr>
          <w:p>
            <w:pPr>
              <w:pStyle w:val="Compact"/>
              <w:spacing w:after="40" w:before="20"/>
              <w:jc w:val="left"/>
            </w:pPr>
            <w:r>
              <w:t xml:space="preserve">Governance, compliance, the security professional</w:t>
            </w:r>
          </w:p>
        </w:tc>
        <w:tc>
          <w:tcPr>
            <w:tcW w:type="dxa" w:w="3619"/>
          </w:tcPr>
          <w:p>
            <w:pPr>
              <w:pStyle w:val="Compact"/>
              <w:spacing w:after="40" w:before="20"/>
              <w:jc w:val="left"/>
            </w:pPr>
            <w:r>
              <w:t xml:space="preserve">Course overview; introductory deck; Lab 0</w:t>
            </w:r>
          </w:p>
        </w:tc>
        <w:tc>
          <w:tcPr>
            <w:tcW w:type="dxa" w:w="1232"/>
          </w:tcPr>
          <w:p>
            <w:pPr>
              <w:pStyle w:val="Compact"/>
              <w:spacing w:after="40" w:before="20"/>
              <w:jc w:val="left"/>
            </w:pPr>
            <w:r>
              <w:t xml:space="preserve">—</w:t>
            </w:r>
          </w:p>
        </w:tc>
      </w:tr>
      <w:tr>
        <w:tc>
          <w:tcPr>
            <w:tcW w:type="dxa" w:w="630"/>
          </w:tcPr>
          <w:p>
            <w:pPr>
              <w:pStyle w:val="Compact"/>
              <w:spacing w:after="40" w:before="20"/>
              <w:jc w:val="left"/>
            </w:pPr>
            <w:r>
              <w:t xml:space="preserve">2</w:t>
            </w:r>
          </w:p>
        </w:tc>
        <w:tc>
          <w:tcPr>
            <w:tcW w:type="dxa" w:w="4119"/>
          </w:tcPr>
          <w:p>
            <w:pPr>
              <w:pStyle w:val="Compact"/>
              <w:spacing w:after="40" w:before="20"/>
              <w:jc w:val="left"/>
            </w:pPr>
            <w:r>
              <w:t xml:space="preserve">Endpoint and network security</w:t>
            </w:r>
          </w:p>
        </w:tc>
        <w:tc>
          <w:tcPr>
            <w:tcW w:type="dxa" w:w="3619"/>
          </w:tcPr>
          <w:p>
            <w:pPr>
              <w:pStyle w:val="Compact"/>
              <w:spacing w:after="40" w:before="20"/>
              <w:jc w:val="left"/>
            </w:pPr>
            <w:r>
              <w:t xml:space="preserve">Lab 1: context and crown jewels (MediBec)</w:t>
            </w:r>
          </w:p>
        </w:tc>
        <w:tc>
          <w:tcPr>
            <w:tcW w:type="dxa" w:w="1232"/>
          </w:tcPr>
          <w:p>
            <w:pPr>
              <w:pStyle w:val="Compact"/>
              <w:spacing w:after="40" w:before="20"/>
              <w:jc w:val="left"/>
            </w:pPr>
            <w:r>
              <w:t xml:space="preserve">—</w:t>
            </w:r>
          </w:p>
        </w:tc>
      </w:tr>
      <w:tr>
        <w:tc>
          <w:tcPr>
            <w:tcW w:type="dxa" w:w="630"/>
          </w:tcPr>
          <w:p>
            <w:pPr>
              <w:pStyle w:val="Compact"/>
              <w:spacing w:after="40" w:before="20"/>
              <w:jc w:val="left"/>
            </w:pPr>
            <w:r>
              <w:t xml:space="preserve">3</w:t>
            </w:r>
          </w:p>
        </w:tc>
        <w:tc>
          <w:tcPr>
            <w:tcW w:type="dxa" w:w="4119"/>
          </w:tcPr>
          <w:p>
            <w:pPr>
              <w:pStyle w:val="Compact"/>
              <w:spacing w:after="40" w:before="20"/>
              <w:jc w:val="left"/>
            </w:pPr>
            <w:r>
              <w:t xml:space="preserve">Risk management and privacy; performing a risk assessment</w:t>
            </w:r>
          </w:p>
        </w:tc>
        <w:tc>
          <w:tcPr>
            <w:tcW w:type="dxa" w:w="3619"/>
          </w:tcPr>
          <w:p>
            <w:pPr>
              <w:pStyle w:val="Compact"/>
              <w:spacing w:after="40" w:before="20"/>
              <w:jc w:val="left"/>
            </w:pPr>
            <w:r>
              <w:t xml:space="preserve">Labs 2, 3 and 4; teams receive their case</w:t>
            </w:r>
          </w:p>
        </w:tc>
        <w:tc>
          <w:tcPr>
            <w:tcW w:type="dxa" w:w="1232"/>
          </w:tcPr>
          <w:p>
            <w:pPr>
              <w:pStyle w:val="Compact"/>
              <w:spacing w:after="40" w:before="20"/>
              <w:jc w:val="left"/>
            </w:pPr>
            <w:r>
              <w:t xml:space="preserve">—</w:t>
            </w:r>
          </w:p>
        </w:tc>
      </w:tr>
      <w:tr>
        <w:tc>
          <w:tcPr>
            <w:tcW w:type="dxa" w:w="630"/>
          </w:tcPr>
          <w:p>
            <w:pPr>
              <w:pStyle w:val="Compact"/>
              <w:spacing w:after="40" w:before="20"/>
              <w:jc w:val="left"/>
            </w:pPr>
            <w:r>
              <w:t xml:space="preserve">4</w:t>
            </w:r>
          </w:p>
        </w:tc>
        <w:tc>
          <w:tcPr>
            <w:tcW w:type="dxa" w:w="4119"/>
          </w:tcPr>
          <w:p>
            <w:pPr>
              <w:pStyle w:val="Compact"/>
              <w:spacing w:after="40" w:before="20"/>
              <w:jc w:val="left"/>
            </w:pPr>
            <w:r>
              <w:t xml:space="preserve">Threat landscape; security policies</w:t>
            </w:r>
          </w:p>
        </w:tc>
        <w:tc>
          <w:tcPr>
            <w:tcW w:type="dxa" w:w="3619"/>
          </w:tcPr>
          <w:p>
            <w:pPr>
              <w:pStyle w:val="Compact"/>
              <w:spacing w:after="40" w:before="20"/>
              <w:jc w:val="left"/>
            </w:pPr>
            <w:r>
              <w:t xml:space="preserve">Lab 5 (CVSS v4.0); teams draft their original scenario S1</w:t>
            </w:r>
          </w:p>
        </w:tc>
        <w:tc>
          <w:tcPr>
            <w:tcW w:type="dxa" w:w="1232"/>
          </w:tcPr>
          <w:p>
            <w:pPr>
              <w:pStyle w:val="Compact"/>
              <w:spacing w:after="40" w:before="20"/>
              <w:jc w:val="left"/>
            </w:pPr>
            <w:r>
              <w:t xml:space="preserve">—</w:t>
            </w:r>
          </w:p>
        </w:tc>
      </w:tr>
      <w:tr>
        <w:tc>
          <w:tcPr>
            <w:tcW w:type="dxa" w:w="630"/>
          </w:tcPr>
          <w:p>
            <w:pPr>
              <w:pStyle w:val="Compact"/>
              <w:spacing w:after="40" w:before="20"/>
              <w:jc w:val="left"/>
            </w:pPr>
            <w:r>
              <w:t xml:space="preserve">5</w:t>
            </w:r>
          </w:p>
        </w:tc>
        <w:tc>
          <w:tcPr>
            <w:tcW w:type="dxa" w:w="4119"/>
          </w:tcPr>
          <w:p>
            <w:pPr>
              <w:pStyle w:val="Compact"/>
              <w:spacing w:after="40" w:before="20"/>
              <w:jc w:val="left"/>
            </w:pPr>
            <w:r>
              <w:t xml:space="preserve">Malicious code; social engineering; protecting information assets</w:t>
            </w:r>
          </w:p>
        </w:tc>
        <w:tc>
          <w:tcPr>
            <w:tcW w:type="dxa" w:w="3619"/>
          </w:tcPr>
          <w:p>
            <w:pPr>
              <w:pStyle w:val="Compact"/>
              <w:spacing w:after="40" w:before="20"/>
              <w:jc w:val="left"/>
            </w:pPr>
            <w:r>
              <w:t xml:space="preserve">Lab 6; team check-in on S1–S10</w:t>
            </w:r>
          </w:p>
        </w:tc>
        <w:tc>
          <w:tcPr>
            <w:tcW w:type="dxa" w:w="1232"/>
          </w:tcPr>
          <w:p>
            <w:pPr>
              <w:pStyle w:val="Compact"/>
              <w:spacing w:after="40" w:before="20"/>
              <w:jc w:val="left"/>
            </w:pPr>
            <w:r>
              <w:t xml:space="preserve">—</w:t>
            </w:r>
          </w:p>
        </w:tc>
      </w:tr>
      <w:tr>
        <w:tc>
          <w:tcPr>
            <w:tcW w:type="dxa" w:w="630"/>
          </w:tcPr>
          <w:p>
            <w:pPr>
              <w:pStyle w:val="Compact"/>
              <w:spacing w:after="40" w:before="20"/>
              <w:jc w:val="left"/>
            </w:pPr>
            <w:r>
              <w:t xml:space="preserve">6</w:t>
            </w:r>
          </w:p>
        </w:tc>
        <w:tc>
          <w:tcPr>
            <w:tcW w:type="dxa" w:w="4119"/>
          </w:tcPr>
          <w:p>
            <w:pPr>
              <w:pStyle w:val="Compact"/>
              <w:spacing w:after="40" w:before="20"/>
              <w:jc w:val="left"/>
            </w:pPr>
            <w:r>
              <w:t xml:space="preserve">Security assessment and testing; cybersecurity audits</w:t>
            </w:r>
          </w:p>
        </w:tc>
        <w:tc>
          <w:tcPr>
            <w:tcW w:type="dxa" w:w="3619"/>
          </w:tcPr>
          <w:p>
            <w:pPr>
              <w:pStyle w:val="Compact"/>
              <w:spacing w:after="40" w:before="20"/>
              <w:jc w:val="left"/>
            </w:pPr>
            <w:r>
              <w:t xml:space="preserve">Labs 7 and 8</w:t>
            </w:r>
          </w:p>
        </w:tc>
        <w:tc>
          <w:tcPr>
            <w:tcW w:type="dxa" w:w="1232"/>
          </w:tcPr>
          <w:p>
            <w:pPr>
              <w:pStyle w:val="Compact"/>
              <w:spacing w:after="40" w:before="20"/>
              <w:jc w:val="left"/>
            </w:pPr>
            <w:r>
              <w:t xml:space="preserve">—</w:t>
            </w:r>
          </w:p>
        </w:tc>
      </w:tr>
      <w:tr>
        <w:tc>
          <w:tcPr>
            <w:tcW w:type="dxa" w:w="630"/>
          </w:tcPr>
          <w:p>
            <w:pPr>
              <w:pStyle w:val="Compact"/>
              <w:spacing w:after="40" w:before="20"/>
              <w:jc w:val="left"/>
            </w:pPr>
            <w:r>
              <w:t xml:space="preserve">7</w:t>
            </w:r>
          </w:p>
        </w:tc>
        <w:tc>
          <w:tcPr>
            <w:tcW w:type="dxa" w:w="4119"/>
          </w:tcPr>
          <w:p>
            <w:pPr>
              <w:pStyle w:val="Compact"/>
              <w:spacing w:after="40" w:before="20"/>
              <w:jc w:val="left"/>
            </w:pPr>
            <w:r>
              <w:t xml:space="preserve">Cryptography and PKI</w:t>
            </w:r>
          </w:p>
        </w:tc>
        <w:tc>
          <w:tcPr>
            <w:tcW w:type="dxa" w:w="3619"/>
          </w:tcPr>
          <w:p>
            <w:pPr>
              <w:pStyle w:val="Compact"/>
              <w:spacing w:after="40" w:before="20"/>
              <w:jc w:val="left"/>
            </w:pPr>
            <w:r>
              <w:t xml:space="preserve">Lab 10 (memo clinic)</w:t>
            </w:r>
          </w:p>
        </w:tc>
        <w:tc>
          <w:tcPr>
            <w:tcW w:type="dxa" w:w="1232"/>
          </w:tcPr>
          <w:p>
            <w:pPr>
              <w:pStyle w:val="Compact"/>
              <w:spacing w:after="40" w:before="20"/>
              <w:jc w:val="left"/>
            </w:pPr>
            <w:r>
              <w:rPr>
                <w:bCs/>
                <w:b/>
              </w:rPr>
              <w:t xml:space="preserve">A1 risk assessment</w:t>
            </w:r>
          </w:p>
        </w:tc>
      </w:tr>
      <w:tr>
        <w:tc>
          <w:tcPr>
            <w:tcW w:type="dxa" w:w="630"/>
          </w:tcPr>
          <w:p>
            <w:pPr>
              <w:pStyle w:val="Compact"/>
              <w:spacing w:after="40" w:before="20"/>
              <w:jc w:val="left"/>
            </w:pPr>
            <w:r>
              <w:t xml:space="preserve">8</w:t>
            </w:r>
          </w:p>
        </w:tc>
        <w:tc>
          <w:tcPr>
            <w:tcW w:type="dxa" w:w="4119"/>
          </w:tcPr>
          <w:p>
            <w:pPr>
              <w:pStyle w:val="Compact"/>
              <w:spacing w:after="40" w:before="20"/>
              <w:jc w:val="left"/>
            </w:pPr>
            <w:r>
              <w:t xml:space="preserve">Identity and access management; Zero Trust</w:t>
            </w:r>
          </w:p>
        </w:tc>
        <w:tc>
          <w:tcPr>
            <w:tcW w:type="dxa" w:w="3619"/>
          </w:tcPr>
          <w:p>
            <w:pPr>
              <w:pStyle w:val="Compact"/>
              <w:spacing w:after="40" w:before="20"/>
              <w:jc w:val="left"/>
            </w:pPr>
            <w:r>
              <w:t xml:space="preserve">Lab 9 (KRIs); A1 feedback</w:t>
            </w:r>
          </w:p>
        </w:tc>
        <w:tc>
          <w:tcPr>
            <w:tcW w:type="dxa" w:w="1232"/>
          </w:tcPr>
          <w:p>
            <w:pPr>
              <w:pStyle w:val="Compact"/>
              <w:spacing w:after="40" w:before="20"/>
              <w:jc w:val="left"/>
            </w:pPr>
            <w:r>
              <w:t xml:space="preserve">—</w:t>
            </w:r>
          </w:p>
        </w:tc>
      </w:tr>
      <w:tr>
        <w:tc>
          <w:tcPr>
            <w:tcW w:type="dxa" w:w="630"/>
          </w:tcPr>
          <w:p>
            <w:pPr>
              <w:pStyle w:val="Compact"/>
              <w:spacing w:after="40" w:before="20"/>
              <w:jc w:val="left"/>
            </w:pPr>
            <w:r>
              <w:t xml:space="preserve">9</w:t>
            </w:r>
          </w:p>
        </w:tc>
        <w:tc>
          <w:tcPr>
            <w:tcW w:type="dxa" w:w="4119"/>
          </w:tcPr>
          <w:p>
            <w:pPr>
              <w:pStyle w:val="Compact"/>
              <w:spacing w:after="40" w:before="20"/>
              <w:jc w:val="left"/>
            </w:pPr>
            <w:r>
              <w:t xml:space="preserve">Resilience; monitoring and incident response</w:t>
            </w:r>
          </w:p>
        </w:tc>
        <w:tc>
          <w:tcPr>
            <w:tcW w:type="dxa" w:w="3619"/>
          </w:tcPr>
          <w:p>
            <w:pPr>
              <w:pStyle w:val="Compact"/>
              <w:spacing w:after="40" w:before="20"/>
              <w:jc w:val="left"/>
            </w:pPr>
            <w:r>
              <w:t xml:space="preserve">Lab 11 (optional, desktop): MediBec simulation pack</w:t>
            </w:r>
          </w:p>
        </w:tc>
        <w:tc>
          <w:tcPr>
            <w:tcW w:type="dxa" w:w="1232"/>
          </w:tcPr>
          <w:p>
            <w:pPr>
              <w:pStyle w:val="Compact"/>
              <w:spacing w:after="40" w:before="20"/>
              <w:jc w:val="left"/>
            </w:pPr>
            <w:r>
              <w:t xml:space="preserve">—</w:t>
            </w:r>
          </w:p>
        </w:tc>
      </w:tr>
      <w:tr>
        <w:tc>
          <w:tcPr>
            <w:tcW w:type="dxa" w:w="630"/>
          </w:tcPr>
          <w:p>
            <w:pPr>
              <w:pStyle w:val="Compact"/>
              <w:spacing w:after="40" w:before="20"/>
              <w:jc w:val="left"/>
            </w:pPr>
            <w:r>
              <w:t xml:space="preserve">10</w:t>
            </w:r>
          </w:p>
        </w:tc>
        <w:tc>
          <w:tcPr>
            <w:tcW w:type="dxa" w:w="4119"/>
          </w:tcPr>
          <w:p>
            <w:pPr>
              <w:pStyle w:val="Compact"/>
              <w:spacing w:after="40" w:before="20"/>
              <w:jc w:val="left"/>
            </w:pPr>
            <w:r>
              <w:t xml:space="preserve">Cloud, wireless and mobile security</w:t>
            </w:r>
          </w:p>
        </w:tc>
        <w:tc>
          <w:tcPr>
            <w:tcW w:type="dxa" w:w="3619"/>
          </w:tcPr>
          <w:p>
            <w:pPr>
              <w:pStyle w:val="Compact"/>
              <w:spacing w:after="40" w:before="20"/>
              <w:jc w:val="left"/>
            </w:pPr>
            <w:r>
              <w:t xml:space="preserve">Lab 12, part 1: from risk to audit plan</w:t>
            </w:r>
          </w:p>
        </w:tc>
        <w:tc>
          <w:tcPr>
            <w:tcW w:type="dxa" w:w="1232"/>
          </w:tcPr>
          <w:p>
            <w:pPr>
              <w:pStyle w:val="Compact"/>
              <w:spacing w:after="40" w:before="20"/>
              <w:jc w:val="left"/>
            </w:pPr>
            <w:r>
              <w:t xml:space="preserve">—</w:t>
            </w:r>
          </w:p>
        </w:tc>
      </w:tr>
      <w:tr>
        <w:tc>
          <w:tcPr>
            <w:tcW w:type="dxa" w:w="630"/>
          </w:tcPr>
          <w:p>
            <w:pPr>
              <w:pStyle w:val="Compact"/>
              <w:spacing w:after="40" w:before="20"/>
              <w:jc w:val="left"/>
            </w:pPr>
            <w:r>
              <w:t xml:space="preserve">11</w:t>
            </w:r>
          </w:p>
        </w:tc>
        <w:tc>
          <w:tcPr>
            <w:tcW w:type="dxa" w:w="4119"/>
          </w:tcPr>
          <w:p>
            <w:pPr>
              <w:pStyle w:val="Compact"/>
              <w:spacing w:after="40" w:before="20"/>
              <w:jc w:val="left"/>
            </w:pPr>
            <w:r>
              <w:t xml:space="preserve">Digital forensics; standards and certification</w:t>
            </w:r>
          </w:p>
        </w:tc>
        <w:tc>
          <w:tcPr>
            <w:tcW w:type="dxa" w:w="3619"/>
          </w:tcPr>
          <w:p>
            <w:pPr>
              <w:pStyle w:val="Compact"/>
              <w:spacing w:after="40" w:before="20"/>
              <w:jc w:val="left"/>
            </w:pPr>
            <w:r>
              <w:t xml:space="preserve">Lab 12, part 2: from risk to IAM policy</w:t>
            </w:r>
          </w:p>
        </w:tc>
        <w:tc>
          <w:tcPr>
            <w:tcW w:type="dxa" w:w="1232"/>
          </w:tcPr>
          <w:p>
            <w:pPr>
              <w:pStyle w:val="Compact"/>
              <w:spacing w:after="40" w:before="20"/>
              <w:jc w:val="left"/>
            </w:pPr>
            <w:r>
              <w:rPr>
                <w:bCs/>
                <w:b/>
              </w:rPr>
              <w:t xml:space="preserve">A3 audit plan</w:t>
            </w:r>
            <w:r>
              <w:t xml:space="preserve"> </w:t>
            </w:r>
            <w:r>
              <w:t xml:space="preserve">(individual)</w:t>
            </w:r>
          </w:p>
        </w:tc>
      </w:tr>
      <w:tr>
        <w:tc>
          <w:tcPr>
            <w:tcW w:type="dxa" w:w="630"/>
          </w:tcPr>
          <w:p>
            <w:pPr>
              <w:pStyle w:val="Compact"/>
              <w:spacing w:after="40" w:before="20"/>
              <w:jc w:val="left"/>
            </w:pPr>
            <w:r>
              <w:t xml:space="preserve">12</w:t>
            </w:r>
          </w:p>
        </w:tc>
        <w:tc>
          <w:tcPr>
            <w:tcW w:type="dxa" w:w="4119"/>
          </w:tcPr>
          <w:p>
            <w:pPr>
              <w:pStyle w:val="Compact"/>
              <w:spacing w:after="40" w:before="20"/>
              <w:jc w:val="left"/>
            </w:pPr>
            <w:r>
              <w:t xml:space="preserve">Application security; review</w:t>
            </w:r>
          </w:p>
        </w:tc>
        <w:tc>
          <w:tcPr>
            <w:tcW w:type="dxa" w:w="3619"/>
          </w:tcPr>
          <w:p>
            <w:pPr>
              <w:pStyle w:val="Compact"/>
              <w:spacing w:after="40" w:before="20"/>
              <w:jc w:val="left"/>
            </w:pPr>
            <w:r>
              <w:t xml:space="preserve">Exam preparation; quiz bank (Educator Edition)</w:t>
            </w:r>
          </w:p>
        </w:tc>
        <w:tc>
          <w:tcPr>
            <w:tcW w:type="dxa" w:w="1232"/>
          </w:tcPr>
          <w:p>
            <w:pPr>
              <w:pStyle w:val="Compact"/>
              <w:spacing w:after="40" w:before="20"/>
              <w:jc w:val="left"/>
            </w:pPr>
            <w:r>
              <w:rPr>
                <w:bCs/>
                <w:b/>
              </w:rPr>
              <w:t xml:space="preserve">A2 IAM policy</w:t>
            </w:r>
          </w:p>
        </w:tc>
      </w:tr>
    </w:tbl>
    <w:p>
      <w:pPr>
        <w:pStyle w:val="BodyText"/>
      </w:pPr>
      <w:r>
        <w:t xml:space="preserve">Suggested weights, as in BTM 440: A1 20% (team), A2 10% (team), A3 10% (individual), final exam 40% (including an essay on a business case), quizzes and labs 20%.</w:t>
      </w:r>
    </w:p>
    <w:bookmarkEnd w:id="31"/>
    <w:bookmarkStart w:id="32" w:name="model-4-capstone-or-graduate-seminar"/>
    <w:p>
      <w:pPr>
        <w:pStyle w:val="Heading2"/>
      </w:pPr>
      <w:r>
        <w:rPr>
          <w:rStyle w:val="SectionNumber"/>
        </w:rPr>
        <w:t xml:space="preserve">6.4</w:t>
      </w:r>
      <w:r>
        <w:tab/>
      </w:r>
      <w:r>
        <w:t xml:space="preserve">Model 4 — Capstone or graduate seminar</w:t>
      </w:r>
    </w:p>
    <w:p>
      <w:pPr>
        <w:pStyle w:val="FirstParagraph"/>
      </w:pPr>
      <w:r>
        <w:t xml:space="preserve">Students work on a richer case (CNIC or ACRB) or, with the organization’s written authorization and the data-protection precautions in section 9, on a real non-profit. Use the full scenario-selection procedure (Sections A–E: context, candidates, screening, final portfolio, quality review), the sensitivity analysis and the budget calibration. Require an oral defence of the portfolio before a panel acting as the board.</w:t>
      </w:r>
    </w:p>
    <w:bookmarkEnd w:id="32"/>
    <w:bookmarkEnd w:id="33"/>
    <w:bookmarkStart w:id="34" w:name="before-the-term-a-checklist"/>
    <w:p>
      <w:pPr>
        <w:pStyle w:val="Heading1"/>
      </w:pPr>
      <w:r>
        <w:rPr>
          <w:rStyle w:val="SectionNumber"/>
        </w:rPr>
        <w:t xml:space="preserve">7</w:t>
      </w:r>
      <w:r>
        <w:tab/>
      </w:r>
      <w:r>
        <w:t xml:space="preserve">Before the term: a checklist</w:t>
      </w:r>
    </w:p>
    <w:p>
      <w:pPr>
        <w:numPr>
          <w:ilvl w:val="0"/>
          <w:numId w:val="1004"/>
        </w:numPr>
        <w:pStyle w:val="Compact"/>
      </w:pPr>
      <w:r>
        <w:rPr>
          <w:bCs/>
          <w:b/>
        </w:rPr>
        <w:t xml:space="preserve">Pick the track</w:t>
      </w:r>
      <w:r>
        <w:t xml:space="preserve"> </w:t>
      </w:r>
      <w:r>
        <w:t xml:space="preserve">(section 4) and test it on the machines students will use, including the lab computers.</w:t>
      </w:r>
    </w:p>
    <w:p>
      <w:pPr>
        <w:numPr>
          <w:ilvl w:val="0"/>
          <w:numId w:val="1004"/>
        </w:numPr>
        <w:pStyle w:val="Compact"/>
      </w:pPr>
      <w:r>
        <w:rPr>
          <w:bCs/>
          <w:b/>
        </w:rPr>
        <w:t xml:space="preserve">Pick the cases</w:t>
      </w:r>
      <w:r>
        <w:t xml:space="preserve"> </w:t>
      </w:r>
      <w:r>
        <w:t xml:space="preserve">(Case Library). Use MediBec for the labs, because its full worked example is public and students can check themselves against it. Assign a</w:t>
      </w:r>
      <w:r>
        <w:t xml:space="preserve"> </w:t>
      </w:r>
      <w:r>
        <w:rPr>
          <w:iCs/>
          <w:i/>
        </w:rPr>
        <w:t xml:space="preserve">different</w:t>
      </w:r>
      <w:r>
        <w:t xml:space="preserve"> </w:t>
      </w:r>
      <w:r>
        <w:t xml:space="preserve">case to each team for the graded assignment, and rotate cases from term to term.</w:t>
      </w:r>
    </w:p>
    <w:p>
      <w:pPr>
        <w:numPr>
          <w:ilvl w:val="0"/>
          <w:numId w:val="1004"/>
        </w:numPr>
        <w:pStyle w:val="Compact"/>
      </w:pPr>
      <w:r>
        <w:rPr>
          <w:bCs/>
          <w:b/>
        </w:rPr>
        <w:t xml:space="preserve">Prepare a classroom workspace</w:t>
      </w:r>
      <w:r>
        <w:t xml:space="preserve"> </w:t>
      </w:r>
      <w:r>
        <w:t xml:space="preserve">(desktop track): Organization → Workspaces → New workspace →</w:t>
      </w:r>
      <w:r>
        <w:t xml:space="preserve"> </w:t>
      </w:r>
      <w:r>
        <w:rPr>
          <w:iCs/>
          <w:i/>
        </w:rPr>
        <w:t xml:space="preserve">a copy of the MediBec example</w:t>
      </w:r>
      <w:r>
        <w:t xml:space="preserve">, type</w:t>
      </w:r>
      <w:r>
        <w:t xml:space="preserve"> </w:t>
      </w:r>
      <w:r>
        <w:rPr>
          <w:iCs/>
          <w:i/>
        </w:rPr>
        <w:t xml:space="preserve">Classroom business case</w:t>
      </w:r>
      <w:r>
        <w:t xml:space="preserve">, tick</w:t>
      </w:r>
      <w:r>
        <w:t xml:space="preserve"> </w:t>
      </w:r>
      <w:r>
        <w:rPr>
          <w:iCs/>
          <w:i/>
        </w:rPr>
        <w:t xml:space="preserve">Educational case used for training purposes</w:t>
      </w:r>
      <w:r>
        <w:t xml:space="preserve">. When it is ready to hand out, Organization → Reset data →</w:t>
      </w:r>
      <w:r>
        <w:t xml:space="preserve"> </w:t>
      </w:r>
      <w:r>
        <w:rPr>
          <w:iCs/>
          <w:i/>
        </w:rPr>
        <w:t xml:space="preserve">For the instructor</w:t>
      </w:r>
      <w:r>
        <w:t xml:space="preserve"> </w:t>
      </w:r>
      <w:r>
        <w:t xml:space="preserve">→</w:t>
      </w:r>
      <w:r>
        <w:t xml:space="preserve"> </w:t>
      </w:r>
      <w:r>
        <w:rPr>
          <w:bCs/>
          <w:b/>
        </w:rPr>
        <w:t xml:space="preserve">Set the current state as the starting point</w:t>
      </w:r>
      <w:r>
        <w:t xml:space="preserve">, so that teams can start over.</w:t>
      </w:r>
    </w:p>
    <w:p>
      <w:pPr>
        <w:numPr>
          <w:ilvl w:val="0"/>
          <w:numId w:val="1004"/>
        </w:numPr>
        <w:pStyle w:val="Compact"/>
      </w:pPr>
      <w:r>
        <w:rPr>
          <w:bCs/>
          <w:b/>
        </w:rPr>
        <w:t xml:space="preserve">Decide which steps students redo</w:t>
      </w:r>
      <w:r>
        <w:t xml:space="preserve"> </w:t>
      </w:r>
      <w:r>
        <w:t xml:space="preserve">after</w:t>
      </w:r>
      <w:r>
        <w:t xml:space="preserve"> </w:t>
      </w:r>
      <w:r>
        <w:rPr>
          <w:iCs/>
          <w:i/>
        </w:rPr>
        <w:t xml:space="preserve">Start over</w:t>
      </w:r>
      <w:r>
        <w:t xml:space="preserve"> </w:t>
      </w:r>
      <w:r>
        <w:t xml:space="preserve">(by default, steps 2 and 3: context and crown jewels).</w:t>
      </w:r>
    </w:p>
    <w:p>
      <w:pPr>
        <w:numPr>
          <w:ilvl w:val="0"/>
          <w:numId w:val="1004"/>
        </w:numPr>
        <w:pStyle w:val="Compact"/>
      </w:pPr>
      <w:r>
        <w:rPr>
          <w:bCs/>
          <w:b/>
        </w:rPr>
        <w:t xml:space="preserve">Load the simulation pack</w:t>
      </w:r>
      <w:r>
        <w:t xml:space="preserve"> </w:t>
      </w:r>
      <w:r>
        <w:t xml:space="preserve">if you plan Lab 11 (Settings → Simulation data → MediBec pack). The import report must show 40 alerts, 13 rules, 15 indicators, 4 cases and one refused self-approval (APR-MB-04).</w:t>
      </w:r>
    </w:p>
    <w:p>
      <w:pPr>
        <w:numPr>
          <w:ilvl w:val="0"/>
          <w:numId w:val="1004"/>
        </w:numPr>
        <w:pStyle w:val="Compact"/>
      </w:pPr>
      <w:r>
        <w:rPr>
          <w:bCs/>
          <w:b/>
        </w:rPr>
        <w:t xml:space="preserve">Write your AI rules into the outline</w:t>
      </w:r>
      <w:r>
        <w:t xml:space="preserve"> </w:t>
      </w:r>
      <w:r>
        <w:t xml:space="preserve">(section 9) and attach the AI acknowledgement template from the Assessment Kit.</w:t>
      </w:r>
    </w:p>
    <w:p>
      <w:pPr>
        <w:numPr>
          <w:ilvl w:val="0"/>
          <w:numId w:val="1004"/>
        </w:numPr>
        <w:pStyle w:val="Compact"/>
      </w:pPr>
      <w:r>
        <w:rPr>
          <w:bCs/>
          <w:b/>
        </w:rPr>
        <w:t xml:space="preserve">Publish the Assessment Kit</w:t>
      </w:r>
      <w:r>
        <w:t xml:space="preserve"> </w:t>
      </w:r>
      <w:r>
        <w:t xml:space="preserve">with your due dates, page limits and weights.</w:t>
      </w:r>
    </w:p>
    <w:p>
      <w:pPr>
        <w:numPr>
          <w:ilvl w:val="0"/>
          <w:numId w:val="1004"/>
        </w:numPr>
        <w:pStyle w:val="Compact"/>
      </w:pPr>
      <w:r>
        <w:rPr>
          <w:bCs/>
          <w:b/>
        </w:rPr>
        <w:t xml:space="preserve">Check the institution’s data-protection rules</w:t>
      </w:r>
      <w:r>
        <w:t xml:space="preserve"> </w:t>
      </w:r>
      <w:r>
        <w:t xml:space="preserve">for AI tools and decide which AI providers students may use. In the desktop application, AI features can be routed to a local model or switched off.</w:t>
      </w:r>
    </w:p>
    <w:bookmarkEnd w:id="34"/>
    <w:bookmarkStart w:id="35" w:name="running-the-labs"/>
    <w:p>
      <w:pPr>
        <w:pStyle w:val="Heading1"/>
      </w:pPr>
      <w:r>
        <w:rPr>
          <w:rStyle w:val="SectionNumber"/>
        </w:rPr>
        <w:t xml:space="preserve">8</w:t>
      </w:r>
      <w:r>
        <w:tab/>
      </w:r>
      <w:r>
        <w:t xml:space="preserve">Running the labs</w:t>
      </w:r>
    </w:p>
    <w:p>
      <w:pPr>
        <w:pStyle w:val="FirstParagraph"/>
      </w:pPr>
      <w:r>
        <w:t xml:space="preserve">Each lab in the workbook states its objectives, timing, inputs, steps, deliverable and three self-check questions. The notes below are for the person running the session.</w:t>
      </w:r>
    </w:p>
    <w:tbl>
      <w:tblPr>
        <w:tblStyle w:val="Table"/>
        <w:tblW w:type="dxa" w:w="9600"/>
        <w:tblLook w:firstRow="1" w:lastRow="0" w:firstColumn="0" w:lastColumn="0" w:noHBand="0" w:noVBand="0" w:val="0020"/>
        <w:jc w:val="start"/>
      </w:tblPr>
      <w:tblGrid>
        <w:gridCol w:w="1308"/>
        <w:gridCol w:w="417"/>
        <w:gridCol w:w="4092"/>
        <w:gridCol w:w="3783"/>
      </w:tblGrid>
      <w:tr>
        <w:trPr>
          <w:tblHeader w:val="true"/>
        </w:trPr>
        <w:tc>
          <w:tcPr>
            <w:tcW w:type="dxa" w:w="1308"/>
            <w:shd w:val="clear" w:color="auto" w:fill="123A5C"/>
          </w:tcPr>
          <w:p>
            <w:pPr>
              <w:pStyle w:val="Compact"/>
              <w:spacing w:after="40" w:before="20"/>
              <w:jc w:val="left"/>
            </w:pPr>
            <w:r>
              <w:rPr>
                <w:b/>
                <w:color w:val="FFFFFF"/>
              </w:rPr>
              <w:t xml:space="preserve">Lab</w:t>
            </w:r>
          </w:p>
        </w:tc>
        <w:tc>
          <w:tcPr>
            <w:tcW w:type="dxa" w:w="417"/>
            <w:shd w:val="clear" w:color="auto" w:fill="123A5C"/>
          </w:tcPr>
          <w:p>
            <w:pPr>
              <w:pStyle w:val="Compact"/>
              <w:spacing w:after="40" w:before="20"/>
              <w:jc w:val="left"/>
            </w:pPr>
            <w:r>
              <w:rPr>
                <w:b/>
                <w:color w:val="FFFFFF"/>
              </w:rPr>
              <w:t xml:space="preserve">Time</w:t>
            </w:r>
          </w:p>
        </w:tc>
        <w:tc>
          <w:tcPr>
            <w:tcW w:type="dxa" w:w="4092"/>
            <w:shd w:val="clear" w:color="auto" w:fill="123A5C"/>
          </w:tcPr>
          <w:p>
            <w:pPr>
              <w:pStyle w:val="Compact"/>
              <w:spacing w:after="40" w:before="20"/>
              <w:jc w:val="left"/>
            </w:pPr>
            <w:r>
              <w:rPr>
                <w:b/>
                <w:color w:val="FFFFFF"/>
              </w:rPr>
              <w:t xml:space="preserve">What to watch for</w:t>
            </w:r>
          </w:p>
        </w:tc>
        <w:tc>
          <w:tcPr>
            <w:tcW w:type="dxa" w:w="3783"/>
            <w:shd w:val="clear" w:color="auto" w:fill="123A5C"/>
          </w:tcPr>
          <w:p>
            <w:pPr>
              <w:pStyle w:val="Compact"/>
              <w:spacing w:after="40" w:before="20"/>
              <w:jc w:val="left"/>
            </w:pPr>
            <w:r>
              <w:rPr>
                <w:b/>
                <w:color w:val="FFFFFF"/>
              </w:rPr>
              <w:t xml:space="preserve">A question that unlocks the room</w:t>
            </w:r>
          </w:p>
        </w:tc>
      </w:tr>
      <w:tr>
        <w:tc>
          <w:tcPr>
            <w:tcW w:type="dxa" w:w="1308"/>
          </w:tcPr>
          <w:p>
            <w:pPr>
              <w:pStyle w:val="Compact"/>
              <w:spacing w:after="40" w:before="20"/>
              <w:jc w:val="left"/>
            </w:pPr>
            <w:r>
              <w:t xml:space="preserve">0. Getting started</w:t>
            </w:r>
          </w:p>
        </w:tc>
        <w:tc>
          <w:tcPr>
            <w:tcW w:type="dxa" w:w="417"/>
          </w:tcPr>
          <w:p>
            <w:pPr>
              <w:pStyle w:val="Compact"/>
              <w:spacing w:after="40" w:before="20"/>
              <w:jc w:val="left"/>
            </w:pPr>
            <w:r>
              <w:t xml:space="preserve">30 min</w:t>
            </w:r>
          </w:p>
        </w:tc>
        <w:tc>
          <w:tcPr>
            <w:tcW w:type="dxa" w:w="4092"/>
          </w:tcPr>
          <w:p>
            <w:pPr>
              <w:pStyle w:val="Compact"/>
              <w:spacing w:after="40" w:before="20"/>
              <w:jc w:val="left"/>
            </w:pPr>
            <w:r>
              <w:t xml:space="preserve">Students opening</w:t>
            </w:r>
            <w:r>
              <w:t xml:space="preserve"> </w:t>
            </w:r>
            <w:r>
              <w:rPr>
                <w:rStyle w:val="VerbatimChar"/>
              </w:rPr>
              <w:t xml:space="preserve">index.html</w:t>
            </w:r>
            <w:r>
              <w:t xml:space="preserve"> </w:t>
            </w:r>
            <w:r>
              <w:t xml:space="preserve">directly (footer stuck on</w:t>
            </w:r>
            <w:r>
              <w:t xml:space="preserve"> </w:t>
            </w:r>
            <w:r>
              <w:rPr>
                <w:iCs/>
                <w:i/>
              </w:rPr>
              <w:t xml:space="preserve">engine loading…</w:t>
            </w:r>
            <w:r>
              <w:t xml:space="preserve">); different ports losing workspaces</w:t>
            </w:r>
          </w:p>
        </w:tc>
        <w:tc>
          <w:tcPr>
            <w:tcW w:type="dxa" w:w="3783"/>
          </w:tcPr>
          <w:p>
            <w:pPr>
              <w:pStyle w:val="Compact"/>
              <w:spacing w:after="40" w:before="20"/>
              <w:jc w:val="left"/>
            </w:pPr>
            <w:r>
              <w:t xml:space="preserve">“</w:t>
            </w:r>
            <w:r>
              <w:t xml:space="preserve">Why should you not trust any number until the footer says</w:t>
            </w:r>
            <w:r>
              <w:t xml:space="preserve"> </w:t>
            </w:r>
            <w:r>
              <w:rPr>
                <w:iCs/>
                <w:i/>
              </w:rPr>
              <w:t xml:space="preserve">verified</w:t>
            </w:r>
            <w:r>
              <w:t xml:space="preserve">?</w:t>
            </w:r>
            <w:r>
              <w:t xml:space="preserve">”</w:t>
            </w:r>
          </w:p>
        </w:tc>
      </w:tr>
      <w:tr>
        <w:tc>
          <w:tcPr>
            <w:tcW w:type="dxa" w:w="1308"/>
          </w:tcPr>
          <w:p>
            <w:pPr>
              <w:pStyle w:val="Compact"/>
              <w:spacing w:after="40" w:before="20"/>
              <w:jc w:val="left"/>
            </w:pPr>
            <w:r>
              <w:t xml:space="preserve">1. Context and crown jewels</w:t>
            </w:r>
          </w:p>
        </w:tc>
        <w:tc>
          <w:tcPr>
            <w:tcW w:type="dxa" w:w="417"/>
          </w:tcPr>
          <w:p>
            <w:pPr>
              <w:pStyle w:val="Compact"/>
              <w:spacing w:after="40" w:before="20"/>
              <w:jc w:val="left"/>
            </w:pPr>
            <w:r>
              <w:t xml:space="preserve">60 min</w:t>
            </w:r>
          </w:p>
        </w:tc>
        <w:tc>
          <w:tcPr>
            <w:tcW w:type="dxa" w:w="4092"/>
          </w:tcPr>
          <w:p>
            <w:pPr>
              <w:pStyle w:val="Compact"/>
              <w:spacing w:after="40" w:before="20"/>
              <w:jc w:val="left"/>
            </w:pPr>
            <w:r>
              <w:t xml:space="preserve">Copying the case text instead of analysing it; inventing facts</w:t>
            </w:r>
          </w:p>
        </w:tc>
        <w:tc>
          <w:tcPr>
            <w:tcW w:type="dxa" w:w="3783"/>
          </w:tcPr>
          <w:p>
            <w:pPr>
              <w:pStyle w:val="Compact"/>
              <w:spacing w:after="40" w:before="20"/>
              <w:jc w:val="left"/>
            </w:pPr>
            <w:r>
              <w:t xml:space="preserve">“</w:t>
            </w:r>
            <w:r>
              <w:t xml:space="preserve">Which of these facts would change your risk ranking if it were wrong?</w:t>
            </w:r>
            <w:r>
              <w:t xml:space="preserve">”</w:t>
            </w:r>
          </w:p>
        </w:tc>
      </w:tr>
      <w:tr>
        <w:tc>
          <w:tcPr>
            <w:tcW w:type="dxa" w:w="1308"/>
          </w:tcPr>
          <w:p>
            <w:pPr>
              <w:pStyle w:val="Compact"/>
              <w:spacing w:after="40" w:before="20"/>
              <w:jc w:val="left"/>
            </w:pPr>
            <w:r>
              <w:t xml:space="preserve">2. Risk appetite</w:t>
            </w:r>
          </w:p>
        </w:tc>
        <w:tc>
          <w:tcPr>
            <w:tcW w:type="dxa" w:w="417"/>
          </w:tcPr>
          <w:p>
            <w:pPr>
              <w:pStyle w:val="Compact"/>
              <w:spacing w:after="40" w:before="20"/>
              <w:jc w:val="left"/>
            </w:pPr>
            <w:r>
              <w:t xml:space="preserve">45 min</w:t>
            </w:r>
          </w:p>
        </w:tc>
        <w:tc>
          <w:tcPr>
            <w:tcW w:type="dxa" w:w="4092"/>
          </w:tcPr>
          <w:p>
            <w:pPr>
              <w:pStyle w:val="Compact"/>
              <w:spacing w:after="40" w:before="20"/>
              <w:jc w:val="left"/>
            </w:pPr>
            <w:r>
              <w:t xml:space="preserve">Confusing appetite (0–1 attitude) with a risk score; ignoring the value the case states</w:t>
            </w:r>
          </w:p>
        </w:tc>
        <w:tc>
          <w:tcPr>
            <w:tcW w:type="dxa" w:w="3783"/>
          </w:tcPr>
          <w:p>
            <w:pPr>
              <w:pStyle w:val="Compact"/>
              <w:spacing w:after="40" w:before="20"/>
              <w:jc w:val="left"/>
            </w:pPr>
            <w:r>
              <w:t xml:space="preserve">“</w:t>
            </w:r>
            <w:r>
              <w:t xml:space="preserve">MediBec states 0.40. Why might an analyst propose 0.30?</w:t>
            </w:r>
            <w:r>
              <w:t xml:space="preserve">”</w:t>
            </w:r>
          </w:p>
        </w:tc>
      </w:tr>
      <w:tr>
        <w:tc>
          <w:tcPr>
            <w:tcW w:type="dxa" w:w="1308"/>
          </w:tcPr>
          <w:p>
            <w:pPr>
              <w:pStyle w:val="Compact"/>
              <w:spacing w:after="40" w:before="20"/>
              <w:jc w:val="left"/>
            </w:pPr>
            <w:r>
              <w:t xml:space="preserve">3. Scenarios</w:t>
            </w:r>
          </w:p>
        </w:tc>
        <w:tc>
          <w:tcPr>
            <w:tcW w:type="dxa" w:w="417"/>
          </w:tcPr>
          <w:p>
            <w:pPr>
              <w:pStyle w:val="Compact"/>
              <w:spacing w:after="40" w:before="20"/>
              <w:jc w:val="left"/>
            </w:pPr>
            <w:r>
              <w:t xml:space="preserve">90 min</w:t>
            </w:r>
          </w:p>
        </w:tc>
        <w:tc>
          <w:tcPr>
            <w:tcW w:type="dxa" w:w="4092"/>
          </w:tcPr>
          <w:p>
            <w:pPr>
              <w:pStyle w:val="Compact"/>
              <w:spacing w:after="40" w:before="20"/>
              <w:jc w:val="left"/>
            </w:pPr>
            <w:r>
              <w:t xml:space="preserve">Threat names (</w:t>
            </w:r>
            <w:r>
              <w:t xml:space="preserve">“</w:t>
            </w:r>
            <w:r>
              <w:t xml:space="preserve">phishing</w:t>
            </w:r>
            <w:r>
              <w:t xml:space="preserve">”</w:t>
            </w:r>
            <w:r>
              <w:t xml:space="preserve">) instead of causal chains; ten variants of one technique</w:t>
            </w:r>
          </w:p>
        </w:tc>
        <w:tc>
          <w:tcPr>
            <w:tcW w:type="dxa" w:w="3783"/>
          </w:tcPr>
          <w:p>
            <w:pPr>
              <w:pStyle w:val="Compact"/>
              <w:spacing w:after="40" w:before="20"/>
              <w:jc w:val="left"/>
            </w:pPr>
            <w:r>
              <w:t xml:space="preserve">“</w:t>
            </w:r>
            <w:r>
              <w:t xml:space="preserve">Which step of your chain would a control interrupt?</w:t>
            </w:r>
            <w:r>
              <w:t xml:space="preserve">”</w:t>
            </w:r>
          </w:p>
        </w:tc>
      </w:tr>
      <w:tr>
        <w:tc>
          <w:tcPr>
            <w:tcW w:type="dxa" w:w="1308"/>
          </w:tcPr>
          <w:p>
            <w:pPr>
              <w:pStyle w:val="Compact"/>
              <w:spacing w:after="40" w:before="20"/>
              <w:jc w:val="left"/>
            </w:pPr>
            <w:r>
              <w:t xml:space="preserve">4. Quantification</w:t>
            </w:r>
          </w:p>
        </w:tc>
        <w:tc>
          <w:tcPr>
            <w:tcW w:type="dxa" w:w="417"/>
          </w:tcPr>
          <w:p>
            <w:pPr>
              <w:pStyle w:val="Compact"/>
              <w:spacing w:after="40" w:before="20"/>
              <w:jc w:val="left"/>
            </w:pPr>
            <w:r>
              <w:t xml:space="preserve">75 min</w:t>
            </w:r>
          </w:p>
        </w:tc>
        <w:tc>
          <w:tcPr>
            <w:tcW w:type="dxa" w:w="4092"/>
          </w:tcPr>
          <w:p>
            <w:pPr>
              <w:pStyle w:val="Compact"/>
              <w:spacing w:after="40" w:before="20"/>
              <w:jc w:val="left"/>
            </w:pPr>
            <w:r>
              <w:t xml:space="preserve">Merging Pb(A) and Pb(ψ,A); δe greater than δm; θ set to zero; numbers without reasons</w:t>
            </w:r>
          </w:p>
        </w:tc>
        <w:tc>
          <w:tcPr>
            <w:tcW w:type="dxa" w:w="3783"/>
          </w:tcPr>
          <w:p>
            <w:pPr>
              <w:pStyle w:val="Compact"/>
              <w:spacing w:after="40" w:before="20"/>
              <w:jc w:val="left"/>
            </w:pPr>
            <w:r>
              <w:t xml:space="preserve">“</w:t>
            </w:r>
            <w:r>
              <w:t xml:space="preserve">Which two values are you least sure of, and what evidence would settle them?</w:t>
            </w:r>
            <w:r>
              <w:t xml:space="preserve">”</w:t>
            </w:r>
          </w:p>
        </w:tc>
      </w:tr>
      <w:tr>
        <w:tc>
          <w:tcPr>
            <w:tcW w:type="dxa" w:w="1308"/>
          </w:tcPr>
          <w:p>
            <w:pPr>
              <w:pStyle w:val="Compact"/>
              <w:spacing w:after="40" w:before="20"/>
              <w:jc w:val="left"/>
            </w:pPr>
            <w:r>
              <w:t xml:space="preserve">5. CVSS v4.0</w:t>
            </w:r>
          </w:p>
        </w:tc>
        <w:tc>
          <w:tcPr>
            <w:tcW w:type="dxa" w:w="417"/>
          </w:tcPr>
          <w:p>
            <w:pPr>
              <w:pStyle w:val="Compact"/>
              <w:spacing w:after="40" w:before="20"/>
              <w:jc w:val="left"/>
            </w:pPr>
            <w:r>
              <w:t xml:space="preserve">60 min</w:t>
            </w:r>
          </w:p>
        </w:tc>
        <w:tc>
          <w:tcPr>
            <w:tcW w:type="dxa" w:w="4092"/>
          </w:tcPr>
          <w:p>
            <w:pPr>
              <w:pStyle w:val="Compact"/>
              <w:spacing w:after="40" w:before="20"/>
              <w:jc w:val="left"/>
            </w:pPr>
            <w:r>
              <w:t xml:space="preserve">Scoring the whole scenario instead of one weakness; estimating a score by eye</w:t>
            </w:r>
          </w:p>
        </w:tc>
        <w:tc>
          <w:tcPr>
            <w:tcW w:type="dxa" w:w="3783"/>
          </w:tcPr>
          <w:p>
            <w:pPr>
              <w:pStyle w:val="Compact"/>
              <w:spacing w:after="40" w:before="20"/>
              <w:jc w:val="left"/>
            </w:pPr>
            <w:r>
              <w:t xml:space="preserve">“</w:t>
            </w:r>
            <w:r>
              <w:t xml:space="preserve">What vulnerability, exactly, did you score?</w:t>
            </w:r>
            <w:r>
              <w:t xml:space="preserve">”</w:t>
            </w:r>
          </w:p>
        </w:tc>
      </w:tr>
      <w:tr>
        <w:tc>
          <w:tcPr>
            <w:tcW w:type="dxa" w:w="1308"/>
          </w:tcPr>
          <w:p>
            <w:pPr>
              <w:pStyle w:val="Compact"/>
              <w:spacing w:after="40" w:before="20"/>
              <w:jc w:val="left"/>
            </w:pPr>
            <w:r>
              <w:t xml:space="preserve">6. Calculation</w:t>
            </w:r>
          </w:p>
        </w:tc>
        <w:tc>
          <w:tcPr>
            <w:tcW w:type="dxa" w:w="417"/>
          </w:tcPr>
          <w:p>
            <w:pPr>
              <w:pStyle w:val="Compact"/>
              <w:spacing w:after="40" w:before="20"/>
              <w:jc w:val="left"/>
            </w:pPr>
            <w:r>
              <w:t xml:space="preserve">45 min</w:t>
            </w:r>
          </w:p>
        </w:tc>
        <w:tc>
          <w:tcPr>
            <w:tcW w:type="dxa" w:w="4092"/>
          </w:tcPr>
          <w:p>
            <w:pPr>
              <w:pStyle w:val="Compact"/>
              <w:spacing w:after="40" w:before="20"/>
              <w:jc w:val="left"/>
            </w:pPr>
            <w:r>
              <w:t xml:space="preserve">Reading the estimated risk as a dollar figure; ignoring tolerated risk</w:t>
            </w:r>
          </w:p>
        </w:tc>
        <w:tc>
          <w:tcPr>
            <w:tcW w:type="dxa" w:w="3783"/>
          </w:tcPr>
          <w:p>
            <w:pPr>
              <w:pStyle w:val="Compact"/>
              <w:spacing w:after="40" w:before="20"/>
              <w:jc w:val="left"/>
            </w:pPr>
            <w:r>
              <w:t xml:space="preserve">“</w:t>
            </w:r>
            <w:r>
              <w:t xml:space="preserve">Why does a rare scenario get the same verdict as a frequent one with equal damage?</w:t>
            </w:r>
            <w:r>
              <w:t xml:space="preserve">”</w:t>
            </w:r>
          </w:p>
        </w:tc>
      </w:tr>
      <w:tr>
        <w:tc>
          <w:tcPr>
            <w:tcW w:type="dxa" w:w="1308"/>
          </w:tcPr>
          <w:p>
            <w:pPr>
              <w:pStyle w:val="Compact"/>
              <w:spacing w:after="40" w:before="20"/>
              <w:jc w:val="left"/>
            </w:pPr>
            <w:r>
              <w:t xml:space="preserve">7. Treatment</w:t>
            </w:r>
          </w:p>
        </w:tc>
        <w:tc>
          <w:tcPr>
            <w:tcW w:type="dxa" w:w="417"/>
          </w:tcPr>
          <w:p>
            <w:pPr>
              <w:pStyle w:val="Compact"/>
              <w:spacing w:after="40" w:before="20"/>
              <w:jc w:val="left"/>
            </w:pPr>
            <w:r>
              <w:t xml:space="preserve">90 min</w:t>
            </w:r>
          </w:p>
        </w:tc>
        <w:tc>
          <w:tcPr>
            <w:tcW w:type="dxa" w:w="4092"/>
          </w:tcPr>
          <w:p>
            <w:pPr>
              <w:pStyle w:val="Compact"/>
              <w:spacing w:after="40" w:before="20"/>
              <w:jc w:val="left"/>
            </w:pPr>
            <w:r>
              <w:t xml:space="preserve">“</w:t>
            </w:r>
            <w:r>
              <w:t xml:space="preserve">Control dumping</w:t>
            </w:r>
            <w:r>
              <w:t xml:space="preserve">”</w:t>
            </w:r>
            <w:r>
              <w:t xml:space="preserve">; counting a shared control twice; reductions summing above 1</w:t>
            </w:r>
          </w:p>
        </w:tc>
        <w:tc>
          <w:tcPr>
            <w:tcW w:type="dxa" w:w="3783"/>
          </w:tcPr>
          <w:p>
            <w:pPr>
              <w:pStyle w:val="Compact"/>
              <w:spacing w:after="40" w:before="20"/>
              <w:jc w:val="left"/>
            </w:pPr>
            <w:r>
              <w:t xml:space="preserve">“</w:t>
            </w:r>
            <w:r>
              <w:t xml:space="preserve">What does this control add that the organization does not already have?</w:t>
            </w:r>
            <w:r>
              <w:t xml:space="preserve">”</w:t>
            </w:r>
          </w:p>
        </w:tc>
      </w:tr>
      <w:tr>
        <w:tc>
          <w:tcPr>
            <w:tcW w:type="dxa" w:w="1308"/>
          </w:tcPr>
          <w:p>
            <w:pPr>
              <w:pStyle w:val="Compact"/>
              <w:spacing w:after="40" w:before="20"/>
              <w:jc w:val="left"/>
            </w:pPr>
            <w:r>
              <w:t xml:space="preserve">8. Sensitivity</w:t>
            </w:r>
          </w:p>
        </w:tc>
        <w:tc>
          <w:tcPr>
            <w:tcW w:type="dxa" w:w="417"/>
          </w:tcPr>
          <w:p>
            <w:pPr>
              <w:pStyle w:val="Compact"/>
              <w:spacing w:after="40" w:before="20"/>
              <w:jc w:val="left"/>
            </w:pPr>
            <w:r>
              <w:t xml:space="preserve">45 min</w:t>
            </w:r>
          </w:p>
        </w:tc>
        <w:tc>
          <w:tcPr>
            <w:tcW w:type="dxa" w:w="4092"/>
          </w:tcPr>
          <w:p>
            <w:pPr>
              <w:pStyle w:val="Compact"/>
              <w:spacing w:after="40" w:before="20"/>
              <w:jc w:val="left"/>
            </w:pPr>
            <w:r>
              <w:t xml:space="preserve">Treating the central case as the truth</w:t>
            </w:r>
          </w:p>
        </w:tc>
        <w:tc>
          <w:tcPr>
            <w:tcW w:type="dxa" w:w="3783"/>
          </w:tcPr>
          <w:p>
            <w:pPr>
              <w:pStyle w:val="Compact"/>
              <w:spacing w:after="40" w:before="20"/>
              <w:jc w:val="left"/>
            </w:pPr>
            <w:r>
              <w:t xml:space="preserve">“</w:t>
            </w:r>
            <w:r>
              <w:t xml:space="preserve">Which decision changes between the optimistic and the pessimistic case?</w:t>
            </w:r>
            <w:r>
              <w:t xml:space="preserve">”</w:t>
            </w:r>
          </w:p>
        </w:tc>
      </w:tr>
      <w:tr>
        <w:tc>
          <w:tcPr>
            <w:tcW w:type="dxa" w:w="1308"/>
          </w:tcPr>
          <w:p>
            <w:pPr>
              <w:pStyle w:val="Compact"/>
              <w:spacing w:after="40" w:before="20"/>
              <w:jc w:val="left"/>
            </w:pPr>
            <w:r>
              <w:t xml:space="preserve">9. KRIs</w:t>
            </w:r>
          </w:p>
        </w:tc>
        <w:tc>
          <w:tcPr>
            <w:tcW w:type="dxa" w:w="417"/>
          </w:tcPr>
          <w:p>
            <w:pPr>
              <w:pStyle w:val="Compact"/>
              <w:spacing w:after="40" w:before="20"/>
              <w:jc w:val="left"/>
            </w:pPr>
            <w:r>
              <w:t xml:space="preserve">45 min</w:t>
            </w:r>
          </w:p>
        </w:tc>
        <w:tc>
          <w:tcPr>
            <w:tcW w:type="dxa" w:w="4092"/>
          </w:tcPr>
          <w:p>
            <w:pPr>
              <w:pStyle w:val="Compact"/>
              <w:spacing w:after="40" w:before="20"/>
              <w:jc w:val="left"/>
            </w:pPr>
            <w:r>
              <w:t xml:space="preserve">Indicators without owners, sources or thresholds</w:t>
            </w:r>
          </w:p>
        </w:tc>
        <w:tc>
          <w:tcPr>
            <w:tcW w:type="dxa" w:w="3783"/>
          </w:tcPr>
          <w:p>
            <w:pPr>
              <w:pStyle w:val="Compact"/>
              <w:spacing w:after="40" w:before="20"/>
              <w:jc w:val="left"/>
            </w:pPr>
            <w:r>
              <w:t xml:space="preserve">“</w:t>
            </w:r>
            <w:r>
              <w:t xml:space="preserve">Who will measure this on the first of the month, and from which system?</w:t>
            </w:r>
            <w:r>
              <w:t xml:space="preserve">”</w:t>
            </w:r>
          </w:p>
        </w:tc>
      </w:tr>
      <w:tr>
        <w:tc>
          <w:tcPr>
            <w:tcW w:type="dxa" w:w="1308"/>
          </w:tcPr>
          <w:p>
            <w:pPr>
              <w:pStyle w:val="Compact"/>
              <w:spacing w:after="40" w:before="20"/>
              <w:jc w:val="left"/>
            </w:pPr>
            <w:r>
              <w:t xml:space="preserve">10. Memo</w:t>
            </w:r>
          </w:p>
        </w:tc>
        <w:tc>
          <w:tcPr>
            <w:tcW w:type="dxa" w:w="417"/>
          </w:tcPr>
          <w:p>
            <w:pPr>
              <w:pStyle w:val="Compact"/>
              <w:spacing w:after="40" w:before="20"/>
              <w:jc w:val="left"/>
            </w:pPr>
            <w:r>
              <w:t xml:space="preserve">60 min</w:t>
            </w:r>
          </w:p>
        </w:tc>
        <w:tc>
          <w:tcPr>
            <w:tcW w:type="dxa" w:w="4092"/>
          </w:tcPr>
          <w:p>
            <w:pPr>
              <w:pStyle w:val="Compact"/>
              <w:spacing w:after="40" w:before="20"/>
              <w:jc w:val="left"/>
            </w:pPr>
            <w:r>
              <w:t xml:space="preserve">Restating tables; burying the decision</w:t>
            </w:r>
          </w:p>
        </w:tc>
        <w:tc>
          <w:tcPr>
            <w:tcW w:type="dxa" w:w="3783"/>
          </w:tcPr>
          <w:p>
            <w:pPr>
              <w:pStyle w:val="Compact"/>
              <w:spacing w:after="40" w:before="20"/>
              <w:jc w:val="left"/>
            </w:pPr>
            <w:r>
              <w:t xml:space="preserve">“</w:t>
            </w:r>
            <w:r>
              <w:t xml:space="preserve">What do you want the CFO to approve on Monday?</w:t>
            </w:r>
            <w:r>
              <w:t xml:space="preserve">”</w:t>
            </w:r>
          </w:p>
        </w:tc>
      </w:tr>
      <w:tr>
        <w:tc>
          <w:tcPr>
            <w:tcW w:type="dxa" w:w="1308"/>
          </w:tcPr>
          <w:p>
            <w:pPr>
              <w:pStyle w:val="Compact"/>
              <w:spacing w:after="40" w:before="20"/>
              <w:jc w:val="left"/>
            </w:pPr>
            <w:r>
              <w:t xml:space="preserve">11. Security operations (optional)</w:t>
            </w:r>
          </w:p>
        </w:tc>
        <w:tc>
          <w:tcPr>
            <w:tcW w:type="dxa" w:w="417"/>
          </w:tcPr>
          <w:p>
            <w:pPr>
              <w:pStyle w:val="Compact"/>
              <w:spacing w:after="40" w:before="20"/>
              <w:jc w:val="left"/>
            </w:pPr>
            <w:r>
              <w:t xml:space="preserve">120 min</w:t>
            </w:r>
          </w:p>
        </w:tc>
        <w:tc>
          <w:tcPr>
            <w:tcW w:type="dxa" w:w="4092"/>
          </w:tcPr>
          <w:p>
            <w:pPr>
              <w:pStyle w:val="Compact"/>
              <w:spacing w:after="40" w:before="20"/>
              <w:jc w:val="left"/>
            </w:pPr>
            <w:r>
              <w:t xml:space="preserve">Treating an alert as an incident; using a source confidence as a probability</w:t>
            </w:r>
          </w:p>
        </w:tc>
        <w:tc>
          <w:tcPr>
            <w:tcW w:type="dxa" w:w="3783"/>
          </w:tcPr>
          <w:p>
            <w:pPr>
              <w:pStyle w:val="Compact"/>
              <w:spacing w:after="40" w:before="20"/>
              <w:jc w:val="left"/>
            </w:pPr>
            <w:r>
              <w:t xml:space="preserve">“</w:t>
            </w:r>
            <w:r>
              <w:t xml:space="preserve">Who confirmed this incident, and when?</w:t>
            </w:r>
            <w:r>
              <w:t xml:space="preserve">”</w:t>
            </w:r>
          </w:p>
        </w:tc>
      </w:tr>
      <w:tr>
        <w:tc>
          <w:tcPr>
            <w:tcW w:type="dxa" w:w="1308"/>
          </w:tcPr>
          <w:p>
            <w:pPr>
              <w:pStyle w:val="Compact"/>
              <w:spacing w:after="40" w:before="20"/>
              <w:jc w:val="left"/>
            </w:pPr>
            <w:r>
              <w:t xml:space="preserve">12. From risk to policy and audit</w:t>
            </w:r>
          </w:p>
        </w:tc>
        <w:tc>
          <w:tcPr>
            <w:tcW w:type="dxa" w:w="417"/>
          </w:tcPr>
          <w:p>
            <w:pPr>
              <w:pStyle w:val="Compact"/>
              <w:spacing w:after="40" w:before="20"/>
              <w:jc w:val="left"/>
            </w:pPr>
            <w:r>
              <w:t xml:space="preserve">90 min</w:t>
            </w:r>
          </w:p>
        </w:tc>
        <w:tc>
          <w:tcPr>
            <w:tcW w:type="dxa" w:w="4092"/>
          </w:tcPr>
          <w:p>
            <w:pPr>
              <w:pStyle w:val="Compact"/>
              <w:spacing w:after="40" w:before="20"/>
              <w:jc w:val="left"/>
            </w:pPr>
            <w:r>
              <w:t xml:space="preserve">Policies full of technical values; audit plans that only check a policy exists</w:t>
            </w:r>
          </w:p>
        </w:tc>
        <w:tc>
          <w:tcPr>
            <w:tcW w:type="dxa" w:w="3783"/>
          </w:tcPr>
          <w:p>
            <w:pPr>
              <w:pStyle w:val="Compact"/>
              <w:spacing w:after="40" w:before="20"/>
              <w:jc w:val="left"/>
            </w:pPr>
            <w:r>
              <w:t xml:space="preserve">“</w:t>
            </w:r>
            <w:r>
              <w:t xml:space="preserve">How would an auditor prove this control works over a period?</w:t>
            </w:r>
            <w:r>
              <w:t xml:space="preserve">”</w:t>
            </w:r>
          </w:p>
        </w:tc>
      </w:tr>
    </w:tbl>
    <w:bookmarkEnd w:id="35"/>
    <w:bookmarkStart w:id="36" w:name="teaching-the-hard-concepts"/>
    <w:p>
      <w:pPr>
        <w:pStyle w:val="Heading1"/>
      </w:pPr>
      <w:r>
        <w:rPr>
          <w:rStyle w:val="SectionNumber"/>
        </w:rPr>
        <w:t xml:space="preserve">9</w:t>
      </w:r>
      <w:r>
        <w:tab/>
      </w:r>
      <w:r>
        <w:t xml:space="preserve">Teaching the hard concepts</w:t>
      </w:r>
    </w:p>
    <w:p>
      <w:pPr>
        <w:pStyle w:val="FirstParagraph"/>
      </w:pPr>
      <w:r>
        <w:t xml:space="preserve">Experience with the method shows that a handful of ideas cause most of the confusion. Teach them explicitly.</w:t>
      </w:r>
    </w:p>
    <w:p>
      <w:pPr>
        <w:pStyle w:val="BodyText"/>
      </w:pPr>
      <w:r>
        <w:rPr>
          <w:bCs/>
          <w:b/>
        </w:rPr>
        <w:t xml:space="preserve">Appetite is not tolerance, and neither is a score.</w:t>
      </w:r>
      <w:r>
        <w:t xml:space="preserve"> </w:t>
      </w:r>
      <w:r>
        <w:t xml:space="preserve">The appetite (0–1) expresses how much risk management is willing to pursue; the tolerated risk is the appetite applied to a specific scenario through the formula. The textbook plugin answers</w:t>
      </w:r>
      <w:r>
        <w:t xml:space="preserve"> </w:t>
      </w:r>
      <w:r>
        <w:t xml:space="preserve">“</w:t>
      </w:r>
      <w:r>
        <w:t xml:space="preserve">What is the difference between risk appetite and risk tolerance?</w:t>
      </w:r>
      <w:r>
        <w:t xml:space="preserve">”</w:t>
      </w:r>
      <w:r>
        <w:t xml:space="preserve"> </w:t>
      </w:r>
      <w:r>
        <w:t xml:space="preserve">with a chapter citation — a good warm-up for Lab 2.</w:t>
      </w:r>
    </w:p>
    <w:p>
      <w:pPr>
        <w:pStyle w:val="BodyText"/>
      </w:pPr>
      <w:r>
        <w:rPr>
          <w:bCs/>
          <w:b/>
        </w:rPr>
        <w:t xml:space="preserve">Threat presence and exploitation are two different probabilities.</w:t>
      </w:r>
      <w:r>
        <w:t xml:space="preserve"> </w:t>
      </w:r>
      <w:r>
        <w:t xml:space="preserve">Pb(A) asks whether the threat source will act; Pb(ψ,A) asks whether it will succeed against this weakness given existing controls. Merging them double-counts.</w:t>
      </w:r>
    </w:p>
    <w:p>
      <w:pPr>
        <w:pStyle w:val="BodyText"/>
      </w:pPr>
      <w:r>
        <w:rPr>
          <w:bCs/>
          <w:b/>
        </w:rPr>
        <w:t xml:space="preserve">CVSS scores a vulnerability, not a scenario.</w:t>
      </w:r>
      <w:r>
        <w:t xml:space="preserve"> </w:t>
      </w:r>
      <w:r>
        <w:t xml:space="preserve">CVSS v4.0 Base measures the technical severity of one defined weakness. For phishing, insider, process, physical, third-party or governance scenarios, students score a</w:t>
      </w:r>
      <w:r>
        <w:t xml:space="preserve"> </w:t>
      </w:r>
      <w:r>
        <w:rPr>
          <w:iCs/>
          <w:i/>
        </w:rPr>
        <w:t xml:space="preserve">representative</w:t>
      </w:r>
      <w:r>
        <w:t xml:space="preserve"> </w:t>
      </w:r>
      <w:r>
        <w:t xml:space="preserve">weakness</w:t>
      </w:r>
      <w:r>
        <w:t xml:space="preserve"> </w:t>
      </w:r>
      <w:r>
        <w:rPr>
          <w:bCs/>
          <w:b/>
        </w:rPr>
        <w:t xml:space="preserve">by equivalency</w:t>
      </w:r>
      <w:r>
        <w:t xml:space="preserve"> </w:t>
      </w:r>
      <w:r>
        <w:t xml:space="preserve">(textbook ch06) and label it</w:t>
      </w:r>
      <w:r>
        <w:t xml:space="preserve"> </w:t>
      </w:r>
      <w:r>
        <w:rPr>
          <w:iCs/>
          <w:i/>
        </w:rPr>
        <w:t xml:space="preserve">limited applicability</w:t>
      </w:r>
      <w:r>
        <w:t xml:space="preserve">. CVSS stays a mandatory multiplier, so a score is always needed; a malicious document delivered by e-mail is scored AV:L. A high CVSS never means the highest business risk.</w:t>
      </w:r>
    </w:p>
    <w:p>
      <w:pPr>
        <w:pStyle w:val="BodyText"/>
      </w:pPr>
      <w:r>
        <w:rPr>
          <w:bCs/>
          <w:b/>
        </w:rPr>
        <w:t xml:space="preserve">The tolerance verdict depends only on damage, treatment and appetite.</w:t>
      </w:r>
      <w:r>
        <w:t xml:space="preserve"> </w:t>
      </w:r>
      <w:r>
        <w:t xml:space="preserve">Residual ÷ Tolerated simplifies to ((δe + δm)/2) × (1 − P × Q) ÷ Appetite. Probabilities, CVSS, resilience and criticality cancel out: they drive the</w:t>
      </w:r>
      <w:r>
        <w:t xml:space="preserve"> </w:t>
      </w:r>
      <w:r>
        <w:rPr>
          <w:iCs/>
          <w:i/>
        </w:rPr>
        <w:t xml:space="preserve">size</w:t>
      </w:r>
      <w:r>
        <w:t xml:space="preserve"> </w:t>
      </w:r>
      <w:r>
        <w:t xml:space="preserve">of the risk (the ranking) but not the</w:t>
      </w:r>
      <w:r>
        <w:t xml:space="preserve"> </w:t>
      </w:r>
      <w:r>
        <w:rPr>
          <w:iCs/>
          <w:i/>
        </w:rPr>
        <w:t xml:space="preserve">verdict</w:t>
      </w:r>
      <w:r>
        <w:t xml:space="preserve">. This is a striking result for students. Use it to show why the ratio must always be read together with estimated risk.</w:t>
      </w:r>
    </w:p>
    <w:p>
      <w:pPr>
        <w:pStyle w:val="BodyText"/>
      </w:pPr>
      <w:r>
        <w:rPr>
          <w:bCs/>
          <w:b/>
        </w:rPr>
        <w:t xml:space="preserve">Before treatment, almost everything is above tolerance.</w:t>
      </w:r>
      <w:r>
        <w:t xml:space="preserve"> </w:t>
      </w:r>
      <w:r>
        <w:t xml:space="preserve">The pre-treatment ratio is average damage ÷ appetite. With an appetite of 0.30, any scenario whose average damage exceeds 0.33 starts above tolerance. Students who expect a mixed picture before treatment are usually surprised.</w:t>
      </w:r>
    </w:p>
    <w:p>
      <w:pPr>
        <w:pStyle w:val="BodyText"/>
      </w:pPr>
      <w:r>
        <w:rPr>
          <w:bCs/>
          <w:b/>
        </w:rPr>
        <w:t xml:space="preserve">Mitigation is multiplicative.</w:t>
      </w:r>
      <w:r>
        <w:t xml:space="preserve"> </w:t>
      </w:r>
      <w:r>
        <w:t xml:space="preserve">An 80% probability reduction and an 80% impact reduction remove 64% of the risk, not 80%. Residual no greater than tolerated (ratio ≤ 1.0) requires P × Q ≥ 1 − appetite ÷ average damage;</w:t>
      </w:r>
      <w:r>
        <w:t xml:space="preserve"> </w:t>
      </w:r>
      <w:r>
        <w:rPr>
          <w:bCs/>
          <w:b/>
        </w:rPr>
        <w:t xml:space="preserve">below tolerance</w:t>
      </w:r>
      <w:r>
        <w:t xml:space="preserve"> </w:t>
      </w:r>
      <w:r>
        <w:t xml:space="preserve">(ratio &lt; 0.90) requires P × Q &gt; 1 − 0.90 × appetite ÷ average damage. A package that reduces only probability, or only impact, mitigates nothing under the workbook convention.</w:t>
      </w:r>
    </w:p>
    <w:p>
      <w:pPr>
        <w:pStyle w:val="BodyText"/>
      </w:pPr>
      <w:r>
        <w:rPr>
          <w:bCs/>
          <w:b/>
        </w:rPr>
        <w:t xml:space="preserve">Shared controls are counted once.</w:t>
      </w:r>
      <w:r>
        <w:t xml:space="preserve"> </w:t>
      </w:r>
      <w:r>
        <w:t xml:space="preserve">When one initiative serves several scenarios, its cost is split across them (an equal split is an acceptable default) and the portfolio total comes from the initiatives, not from the sum of scenario allocations.</w:t>
      </w:r>
    </w:p>
    <w:p>
      <w:pPr>
        <w:pStyle w:val="BodyText"/>
      </w:pPr>
      <w:r>
        <w:rPr>
          <w:bCs/>
          <w:b/>
        </w:rPr>
        <w:t xml:space="preserve">Two lenses may disagree.</w:t>
      </w:r>
      <w:r>
        <w:t xml:space="preserve"> </w:t>
      </w:r>
      <w:r>
        <w:t xml:space="preserve">A simple normalized score (threat × exposure × impact × (1 − control maturity)) with escalation thresholds can place a treated risk within authority limits while the CRG ratio flags it above tolerance. Ask students to say which method a governance threshold is tied to.</w:t>
      </w:r>
    </w:p>
    <w:bookmarkEnd w:id="36"/>
    <w:bookmarkStart w:id="37" w:name="generative-ai-in-the-course"/>
    <w:p>
      <w:pPr>
        <w:pStyle w:val="Heading1"/>
      </w:pPr>
      <w:r>
        <w:rPr>
          <w:rStyle w:val="SectionNumber"/>
        </w:rPr>
        <w:t xml:space="preserve">10</w:t>
      </w:r>
      <w:r>
        <w:tab/>
      </w:r>
      <w:r>
        <w:t xml:space="preserve">Generative AI in the course</w:t>
      </w:r>
    </w:p>
    <w:p>
      <w:pPr>
        <w:pStyle w:val="FirstParagraph"/>
      </w:pPr>
      <w:r>
        <w:t xml:space="preserve">CyberRiskGuardian is itself an AI-assisted tool, so the course must take a clear position on AI. The position below is the one used in BTM 440; adapt it to your institution’s policy.</w:t>
      </w:r>
    </w:p>
    <w:p>
      <w:pPr>
        <w:pStyle w:val="BodyText"/>
      </w:pPr>
      <w:r>
        <w:rPr>
          <w:bCs/>
          <w:b/>
        </w:rPr>
        <w:t xml:space="preserve">Allowed on assignments,</w:t>
      </w:r>
      <w:r>
        <w:t xml:space="preserve"> </w:t>
      </w:r>
      <w:r>
        <w:t xml:space="preserve">with an explicit acknowledgement (template in the Assessment Kit). Students are responsible for everything they submit, including anything an AI produced.</w:t>
      </w:r>
    </w:p>
    <w:p>
      <w:pPr>
        <w:pStyle w:val="BodyText"/>
      </w:pPr>
      <w:r>
        <w:rPr>
          <w:bCs/>
          <w:b/>
        </w:rPr>
        <w:t xml:space="preserve">Not allowed during the exam.</w:t>
      </w:r>
      <w:r>
        <w:t xml:space="preserve"> </w:t>
      </w:r>
      <w:r>
        <w:t xml:space="preserve">Students may prepare material with AI before the exam (for example risk scenarios submitted with the exam) if they disclose it.</w:t>
      </w:r>
    </w:p>
    <w:p>
      <w:pPr>
        <w:pStyle w:val="BodyText"/>
      </w:pPr>
      <w:r>
        <w:rPr>
          <w:bCs/>
          <w:b/>
        </w:rPr>
        <w:t xml:space="preserve">What AI may do:</w:t>
      </w:r>
      <w:r>
        <w:t xml:space="preserve"> </w:t>
      </w:r>
      <w:r>
        <w:t xml:space="preserve">draft scenarios, propose parameter values with rationales, critique estimates, suggest controls, check grammar, summarize sources.</w:t>
      </w:r>
    </w:p>
    <w:p>
      <w:pPr>
        <w:pStyle w:val="BodyText"/>
      </w:pPr>
      <w:r>
        <w:rPr>
          <w:bCs/>
          <w:b/>
        </w:rPr>
        <w:t xml:space="preserve">What AI may not do:</w:t>
      </w:r>
      <w:r>
        <w:t xml:space="preserve"> </w:t>
      </w:r>
      <w:r>
        <w:t xml:space="preserve">state facts about the case that the case does not contain, produce a final number that the student has not recomputed with the verified engine, invent standards, control identifiers, legal obligations, statistics or sources.</w:t>
      </w:r>
    </w:p>
    <w:p>
      <w:pPr>
        <w:pStyle w:val="BodyText"/>
      </w:pPr>
      <w:r>
        <w:rPr>
          <w:bCs/>
          <w:b/>
        </w:rPr>
        <w:t xml:space="preserve">Verification is the skill being graded.</w:t>
      </w:r>
      <w:r>
        <w:t xml:space="preserve"> </w:t>
      </w:r>
      <w:r>
        <w:t xml:space="preserve">AI tools invent control identifiers, CVSS vectors and laws with great confidence. Grade the verification, not the prose: a fabricated or untraceable source is both an evidence problem and an academic-integrity concern.</w:t>
      </w:r>
    </w:p>
    <w:p>
      <w:pPr>
        <w:pStyle w:val="BodyText"/>
      </w:pPr>
      <w:r>
        <w:rPr>
          <w:bCs/>
          <w:b/>
        </w:rPr>
        <w:t xml:space="preserve">Data protection.</w:t>
      </w:r>
      <w:r>
        <w:t xml:space="preserve"> </w:t>
      </w:r>
      <w:r>
        <w:t xml:space="preserve">Students do not paste confidential material into an external AI service unless authorized. Fictional cases are safe; real organizations are not, unless the organization has agreed in writing and the institution’s rules allow it. In the desktop application, AI requests show the exact payload before anything is sent, can be anonymized, and can be routed to a local model.</w:t>
      </w:r>
    </w:p>
    <w:p>
      <w:pPr>
        <w:pStyle w:val="BodyText"/>
      </w:pPr>
      <w:r>
        <w:rPr>
          <w:bCs/>
          <w:b/>
        </w:rPr>
        <w:t xml:space="preserve">The markers are the bridge.</w:t>
      </w:r>
      <w:r>
        <w:t xml:space="preserve"> </w:t>
      </w:r>
      <w:r>
        <w:t xml:space="preserve">Ask students to keep the three markers in every deliverable. A marker-free deliverable is a warning sign that AI output was taken as fact. The Claude plugin includes a label check (</w:t>
      </w:r>
      <w:r>
        <w:rPr>
          <w:rStyle w:val="VerbatimChar"/>
        </w:rPr>
        <w:t xml:space="preserve">check_labels.py</w:t>
      </w:r>
      <w:r>
        <w:t xml:space="preserve">) that lists missing markers.</w:t>
      </w:r>
    </w:p>
    <w:bookmarkEnd w:id="37"/>
    <w:bookmarkStart w:id="38" w:name="assessment-strategy"/>
    <w:p>
      <w:pPr>
        <w:pStyle w:val="Heading1"/>
      </w:pPr>
      <w:r>
        <w:rPr>
          <w:rStyle w:val="SectionNumber"/>
        </w:rPr>
        <w:t xml:space="preserve">11</w:t>
      </w:r>
      <w:r>
        <w:tab/>
      </w:r>
      <w:r>
        <w:t xml:space="preserve">Assessment strategy</w:t>
      </w:r>
    </w:p>
    <w:p>
      <w:pPr>
        <w:pStyle w:val="FirstParagraph"/>
      </w:pPr>
      <w:r>
        <w:t xml:space="preserve">The Assessment Kit contains:</w:t>
      </w:r>
    </w:p>
    <w:p>
      <w:pPr>
        <w:numPr>
          <w:ilvl w:val="0"/>
          <w:numId w:val="1005"/>
        </w:numPr>
        <w:pStyle w:val="Compact"/>
      </w:pPr>
      <w:r>
        <w:t xml:space="preserve">the</w:t>
      </w:r>
      <w:r>
        <w:t xml:space="preserve"> </w:t>
      </w:r>
      <w:r>
        <w:rPr>
          <w:bCs/>
          <w:b/>
        </w:rPr>
        <w:t xml:space="preserve">0–10 scale</w:t>
      </w:r>
      <w:r>
        <w:t xml:space="preserve"> </w:t>
      </w:r>
      <w:r>
        <w:t xml:space="preserve">and how criterion scores combine into an assignment score;</w:t>
      </w:r>
    </w:p>
    <w:p>
      <w:pPr>
        <w:numPr>
          <w:ilvl w:val="0"/>
          <w:numId w:val="1005"/>
        </w:numPr>
        <w:pStyle w:val="Compact"/>
      </w:pPr>
      <w:r>
        <w:rPr>
          <w:bCs/>
          <w:b/>
        </w:rPr>
        <w:t xml:space="preserve">briefs and rubrics</w:t>
      </w:r>
      <w:r>
        <w:t xml:space="preserve"> </w:t>
      </w:r>
      <w:r>
        <w:t xml:space="preserve">for the risk assessment (A1), the IAM security policy (A2) and the risk-based audit plan (A3), plus four shorter formats (lab portfolio, individual scenario paper, in-class quick-scan challenge, exam essay);</w:t>
      </w:r>
    </w:p>
    <w:p>
      <w:pPr>
        <w:numPr>
          <w:ilvl w:val="0"/>
          <w:numId w:val="1005"/>
        </w:numPr>
        <w:pStyle w:val="Compact"/>
      </w:pPr>
      <w:r>
        <w:rPr>
          <w:bCs/>
          <w:b/>
        </w:rPr>
        <w:t xml:space="preserve">self-check lists</w:t>
      </w:r>
      <w:r>
        <w:t xml:space="preserve">, a</w:t>
      </w:r>
      <w:r>
        <w:t xml:space="preserve"> </w:t>
      </w:r>
      <w:r>
        <w:rPr>
          <w:bCs/>
          <w:b/>
        </w:rPr>
        <w:t xml:space="preserve">peer-review form</w:t>
      </w:r>
      <w:r>
        <w:t xml:space="preserve"> </w:t>
      </w:r>
      <w:r>
        <w:t xml:space="preserve">for team assignments and the</w:t>
      </w:r>
      <w:r>
        <w:t xml:space="preserve"> </w:t>
      </w:r>
      <w:r>
        <w:rPr>
          <w:bCs/>
          <w:b/>
        </w:rPr>
        <w:t xml:space="preserve">AI acknowledgement</w:t>
      </w:r>
      <w:r>
        <w:t xml:space="preserve">.</w:t>
      </w:r>
    </w:p>
    <w:p>
      <w:pPr>
        <w:pStyle w:val="FirstParagraph"/>
      </w:pPr>
      <w:r>
        <w:t xml:space="preserve">The Educator Edition adds the lab answer keys, a graded quiz bank with answers, rubric calibration examples, a feedback-comment bank, teaching notes for each case, the final-exam case with its blueprint, and the textbook’s Instructor Resource Guide.</w:t>
      </w:r>
    </w:p>
    <w:p>
      <w:pPr>
        <w:pStyle w:val="BodyText"/>
      </w:pPr>
      <w:r>
        <w:rPr>
          <w:bCs/>
          <w:b/>
        </w:rPr>
        <w:t xml:space="preserve">Protecting the integrity of the assessment.</w:t>
      </w:r>
    </w:p>
    <w:p>
      <w:pPr>
        <w:numPr>
          <w:ilvl w:val="0"/>
          <w:numId w:val="1006"/>
        </w:numPr>
        <w:pStyle w:val="Compact"/>
      </w:pPr>
      <w:r>
        <w:t xml:space="preserve">Use MediBec for practice only. Its full answer is public.</w:t>
      </w:r>
    </w:p>
    <w:p>
      <w:pPr>
        <w:numPr>
          <w:ilvl w:val="0"/>
          <w:numId w:val="1006"/>
        </w:numPr>
        <w:pStyle w:val="Compact"/>
      </w:pPr>
      <w:r>
        <w:t xml:space="preserve">Rotate cases between terms and between sections. The Case Library lists five cases; the Educator Edition holds a sixth, reserved for the exam.</w:t>
      </w:r>
    </w:p>
    <w:p>
      <w:pPr>
        <w:numPr>
          <w:ilvl w:val="0"/>
          <w:numId w:val="1006"/>
        </w:numPr>
        <w:pStyle w:val="Compact"/>
      </w:pPr>
      <w:r>
        <w:t xml:space="preserve">Require the original scenario S1 to be distinct from every scenario supplied in the case and in the guides.</w:t>
      </w:r>
    </w:p>
    <w:p>
      <w:pPr>
        <w:numPr>
          <w:ilvl w:val="0"/>
          <w:numId w:val="1006"/>
        </w:numPr>
        <w:pStyle w:val="Compact"/>
      </w:pPr>
      <w:r>
        <w:t xml:space="preserve">Require the workbook or workspace export with the memo, and check that the numbers agree. Disagreement between files is the most common sign of unverified AI output.</w:t>
      </w:r>
    </w:p>
    <w:p>
      <w:pPr>
        <w:numPr>
          <w:ilvl w:val="0"/>
          <w:numId w:val="1006"/>
        </w:numPr>
        <w:pStyle w:val="Compact"/>
      </w:pPr>
      <w:r>
        <w:t xml:space="preserve">Ask for a short oral walk-through of one scenario’s parameters from a randomly chosen team member.</w:t>
      </w:r>
    </w:p>
    <w:bookmarkEnd w:id="38"/>
    <w:bookmarkStart w:id="39" w:name="bilingual-and-inclusive-delivery"/>
    <w:p>
      <w:pPr>
        <w:pStyle w:val="Heading1"/>
      </w:pPr>
      <w:r>
        <w:rPr>
          <w:rStyle w:val="SectionNumber"/>
        </w:rPr>
        <w:t xml:space="preserve">12</w:t>
      </w:r>
      <w:r>
        <w:tab/>
      </w:r>
      <w:r>
        <w:t xml:space="preserve">Bilingual and inclusive delivery</w:t>
      </w:r>
    </w:p>
    <w:p>
      <w:pPr>
        <w:pStyle w:val="FirstParagraph"/>
      </w:pPr>
      <w:r>
        <w:t xml:space="preserve">The desktop application switches its whole interface between English and French (EN/FR in the top bar) while leaving case data in its original language. All the free materials in this package exist in both languages. A French case remains French in an English interface; teams may write in either language if your institution allows it.</w:t>
      </w:r>
    </w:p>
    <w:p>
      <w:pPr>
        <w:pStyle w:val="BodyText"/>
      </w:pPr>
      <w:r>
        <w:t xml:space="preserve">For accessibility, the labs can be done entirely with the keyboard in the desktop application and in Excel; the slide deck uses high-contrast text; every figure in the workbook is also given as text. Allow extra time for Lab 3 and Lab 10, which are writing-intensive.</w:t>
      </w:r>
    </w:p>
    <w:bookmarkEnd w:id="39"/>
    <w:bookmarkStart w:id="40" w:name="troubleshooting"/>
    <w:p>
      <w:pPr>
        <w:pStyle w:val="Heading1"/>
      </w:pPr>
      <w:r>
        <w:rPr>
          <w:rStyle w:val="SectionNumber"/>
        </w:rPr>
        <w:t xml:space="preserve">13</w:t>
      </w:r>
      <w:r>
        <w:tab/>
      </w:r>
      <w:r>
        <w:t xml:space="preserve">Troubleshooting</w:t>
      </w:r>
    </w:p>
    <w:tbl>
      <w:tblPr>
        <w:tblStyle w:val="Table"/>
        <w:tblW w:type="dxa" w:w="9600"/>
        <w:tblLook w:firstRow="1" w:lastRow="0" w:firstColumn="0" w:lastColumn="0" w:noHBand="0" w:noVBand="0" w:val="0020"/>
        <w:jc w:val="start"/>
      </w:tblPr>
      <w:tblGrid>
        <w:gridCol w:w="2983"/>
        <w:gridCol w:w="2871"/>
        <w:gridCol w:w="3746"/>
      </w:tblGrid>
      <w:tr>
        <w:trPr>
          <w:tblHeader w:val="true"/>
        </w:trPr>
        <w:tc>
          <w:tcPr>
            <w:tcW w:type="dxa" w:w="2983"/>
            <w:shd w:val="clear" w:color="auto" w:fill="123A5C"/>
          </w:tcPr>
          <w:p>
            <w:pPr>
              <w:pStyle w:val="Compact"/>
              <w:spacing w:after="40" w:before="20"/>
              <w:jc w:val="left"/>
            </w:pPr>
            <w:r>
              <w:rPr>
                <w:b/>
                <w:color w:val="FFFFFF"/>
              </w:rPr>
              <w:t xml:space="preserve">Symptom</w:t>
            </w:r>
          </w:p>
        </w:tc>
        <w:tc>
          <w:tcPr>
            <w:tcW w:type="dxa" w:w="2871"/>
            <w:shd w:val="clear" w:color="auto" w:fill="123A5C"/>
          </w:tcPr>
          <w:p>
            <w:pPr>
              <w:pStyle w:val="Compact"/>
              <w:spacing w:after="40" w:before="20"/>
              <w:jc w:val="left"/>
            </w:pPr>
            <w:r>
              <w:rPr>
                <w:b/>
                <w:color w:val="FFFFFF"/>
              </w:rPr>
              <w:t xml:space="preserve">Cause</w:t>
            </w:r>
          </w:p>
        </w:tc>
        <w:tc>
          <w:tcPr>
            <w:tcW w:type="dxa" w:w="3746"/>
            <w:shd w:val="clear" w:color="auto" w:fill="123A5C"/>
          </w:tcPr>
          <w:p>
            <w:pPr>
              <w:pStyle w:val="Compact"/>
              <w:spacing w:after="40" w:before="20"/>
              <w:jc w:val="left"/>
            </w:pPr>
            <w:r>
              <w:rPr>
                <w:b/>
                <w:color w:val="FFFFFF"/>
              </w:rPr>
              <w:t xml:space="preserve">Fix</w:t>
            </w:r>
          </w:p>
        </w:tc>
      </w:tr>
      <w:tr>
        <w:tc>
          <w:tcPr>
            <w:tcW w:type="dxa" w:w="2983"/>
          </w:tcPr>
          <w:p>
            <w:pPr>
              <w:pStyle w:val="Compact"/>
              <w:spacing w:after="40" w:before="20"/>
              <w:jc w:val="left"/>
            </w:pPr>
            <w:r>
              <w:t xml:space="preserve">Footer stuck on</w:t>
            </w:r>
            <w:r>
              <w:t xml:space="preserve"> </w:t>
            </w:r>
            <w:r>
              <w:rPr>
                <w:iCs/>
                <w:i/>
              </w:rPr>
              <w:t xml:space="preserve">engine loading…</w:t>
            </w:r>
          </w:p>
        </w:tc>
        <w:tc>
          <w:tcPr>
            <w:tcW w:type="dxa" w:w="2871"/>
          </w:tcPr>
          <w:p>
            <w:pPr>
              <w:pStyle w:val="Compact"/>
              <w:spacing w:after="40" w:before="20"/>
              <w:jc w:val="left"/>
            </w:pPr>
            <w:r>
              <w:t xml:space="preserve">The application was opened as a file</w:t>
            </w:r>
          </w:p>
        </w:tc>
        <w:tc>
          <w:tcPr>
            <w:tcW w:type="dxa" w:w="3746"/>
          </w:tcPr>
          <w:p>
            <w:pPr>
              <w:pStyle w:val="Compact"/>
              <w:spacing w:after="40" w:before="20"/>
              <w:jc w:val="left"/>
            </w:pPr>
            <w:r>
              <w:t xml:space="preserve">Start it with</w:t>
            </w:r>
            <w:r>
              <w:t xml:space="preserve"> </w:t>
            </w:r>
            <w:r>
              <w:rPr>
                <w:rStyle w:val="VerbatimChar"/>
              </w:rPr>
              <w:t xml:space="preserve">start.command</w:t>
            </w:r>
            <w:r>
              <w:t xml:space="preserve"> </w:t>
            </w:r>
            <w:r>
              <w:t xml:space="preserve">or</w:t>
            </w:r>
            <w:r>
              <w:t xml:space="preserve"> </w:t>
            </w:r>
            <w:r>
              <w:rPr>
                <w:rStyle w:val="VerbatimChar"/>
              </w:rPr>
              <w:t xml:space="preserve">start.bat</w:t>
            </w:r>
            <w:r>
              <w:t xml:space="preserve">; open</w:t>
            </w:r>
            <w:r>
              <w:t xml:space="preserve"> </w:t>
            </w:r>
            <w:r>
              <w:rPr>
                <w:rStyle w:val="VerbatimChar"/>
              </w:rPr>
              <w:t xml:space="preserve">http://localhost:8099</w:t>
            </w:r>
          </w:p>
        </w:tc>
      </w:tr>
      <w:tr>
        <w:tc>
          <w:tcPr>
            <w:tcW w:type="dxa" w:w="2983"/>
          </w:tcPr>
          <w:p>
            <w:pPr>
              <w:pStyle w:val="Compact"/>
              <w:spacing w:after="40" w:before="20"/>
              <w:jc w:val="left"/>
            </w:pPr>
            <w:r>
              <w:t xml:space="preserve">A student’s workspaces have disappeared</w:t>
            </w:r>
          </w:p>
        </w:tc>
        <w:tc>
          <w:tcPr>
            <w:tcW w:type="dxa" w:w="2871"/>
          </w:tcPr>
          <w:p>
            <w:pPr>
              <w:pStyle w:val="Compact"/>
              <w:spacing w:after="40" w:before="20"/>
              <w:jc w:val="left"/>
            </w:pPr>
            <w:r>
              <w:t xml:space="preserve">Different address, port or browser</w:t>
            </w:r>
          </w:p>
        </w:tc>
        <w:tc>
          <w:tcPr>
            <w:tcW w:type="dxa" w:w="3746"/>
          </w:tcPr>
          <w:p>
            <w:pPr>
              <w:pStyle w:val="Compact"/>
              <w:spacing w:after="40" w:before="20"/>
              <w:jc w:val="left"/>
            </w:pPr>
            <w:r>
              <w:t xml:space="preserve">Use the same address and port; import the last workspace export</w:t>
            </w:r>
          </w:p>
        </w:tc>
      </w:tr>
      <w:tr>
        <w:tc>
          <w:tcPr>
            <w:tcW w:type="dxa" w:w="2983"/>
          </w:tcPr>
          <w:p>
            <w:pPr>
              <w:pStyle w:val="Compact"/>
              <w:spacing w:after="40" w:before="20"/>
              <w:jc w:val="left"/>
            </w:pPr>
            <w:r>
              <w:t xml:space="preserve">Excel shows formulas but old numbers</w:t>
            </w:r>
          </w:p>
        </w:tc>
        <w:tc>
          <w:tcPr>
            <w:tcW w:type="dxa" w:w="2871"/>
          </w:tcPr>
          <w:p>
            <w:pPr>
              <w:pStyle w:val="Compact"/>
              <w:spacing w:after="40" w:before="20"/>
              <w:jc w:val="left"/>
            </w:pPr>
            <w:r>
              <w:t xml:space="preserve">Manual calculation mode</w:t>
            </w:r>
          </w:p>
        </w:tc>
        <w:tc>
          <w:tcPr>
            <w:tcW w:type="dxa" w:w="3746"/>
          </w:tcPr>
          <w:p>
            <w:pPr>
              <w:pStyle w:val="Compact"/>
              <w:spacing w:after="40" w:before="20"/>
              <w:jc w:val="left"/>
            </w:pPr>
            <w:r>
              <w:t xml:space="preserve">Formulas → Calculate Now (F9)</w:t>
            </w:r>
          </w:p>
        </w:tc>
      </w:tr>
      <w:tr>
        <w:tc>
          <w:tcPr>
            <w:tcW w:type="dxa" w:w="2983"/>
          </w:tcPr>
          <w:p>
            <w:pPr>
              <w:pStyle w:val="Compact"/>
              <w:spacing w:after="40" w:before="20"/>
              <w:jc w:val="left"/>
            </w:pPr>
            <w:r>
              <w:t xml:space="preserve">“</w:t>
            </w:r>
            <w:r>
              <w:t xml:space="preserve">θ required</w:t>
            </w:r>
            <w:r>
              <w:t xml:space="preserve">”</w:t>
            </w:r>
            <w:r>
              <w:t xml:space="preserve"> </w:t>
            </w:r>
            <w:r>
              <w:t xml:space="preserve">or</w:t>
            </w:r>
            <w:r>
              <w:t xml:space="preserve"> </w:t>
            </w:r>
            <w:r>
              <w:t xml:space="preserve">“</w:t>
            </w:r>
            <w:r>
              <w:t xml:space="preserve">CVSS required</w:t>
            </w:r>
            <w:r>
              <w:t xml:space="preserve">”</w:t>
            </w:r>
            <w:r>
              <w:t xml:space="preserve"> </w:t>
            </w:r>
            <w:r>
              <w:t xml:space="preserve">in the Analyse sheet (columns M and N)</w:t>
            </w:r>
          </w:p>
        </w:tc>
        <w:tc>
          <w:tcPr>
            <w:tcW w:type="dxa" w:w="2871"/>
          </w:tcPr>
          <w:p>
            <w:pPr>
              <w:pStyle w:val="Compact"/>
              <w:spacing w:after="40" w:before="20"/>
              <w:jc w:val="left"/>
            </w:pPr>
            <w:r>
              <w:t xml:space="preserve">θ left blank or at zero on the S sheet, or the CVSS score not entered</w:t>
            </w:r>
          </w:p>
        </w:tc>
        <w:tc>
          <w:tcPr>
            <w:tcW w:type="dxa" w:w="3746"/>
          </w:tcPr>
          <w:p>
            <w:pPr>
              <w:pStyle w:val="Compact"/>
              <w:spacing w:after="40" w:before="20"/>
              <w:jc w:val="left"/>
            </w:pPr>
            <w:r>
              <w:t xml:space="preserve">Enter θ above zero (up to 1) and the CVSS v4.0 score with its vector</w:t>
            </w:r>
          </w:p>
        </w:tc>
      </w:tr>
      <w:tr>
        <w:tc>
          <w:tcPr>
            <w:tcW w:type="dxa" w:w="2983"/>
          </w:tcPr>
          <w:p>
            <w:pPr>
              <w:pStyle w:val="Compact"/>
              <w:spacing w:after="40" w:before="20"/>
              <w:jc w:val="left"/>
            </w:pPr>
            <w:r>
              <w:t xml:space="preserve">“</w:t>
            </w:r>
            <w:r>
              <w:t xml:space="preserve">Appetite required</w:t>
            </w:r>
            <w:r>
              <w:t xml:space="preserve">”</w:t>
            </w:r>
            <w:r>
              <w:t xml:space="preserve"> </w:t>
            </w:r>
            <w:r>
              <w:t xml:space="preserve">in column N</w:t>
            </w:r>
          </w:p>
        </w:tc>
        <w:tc>
          <w:tcPr>
            <w:tcW w:type="dxa" w:w="2871"/>
          </w:tcPr>
          <w:p>
            <w:pPr>
              <w:pStyle w:val="Compact"/>
              <w:spacing w:after="40" w:before="20"/>
              <w:jc w:val="left"/>
            </w:pPr>
            <w:r>
              <w:t xml:space="preserve">The appetite in E14 is not strictly between 0 and 1</w:t>
            </w:r>
          </w:p>
        </w:tc>
        <w:tc>
          <w:tcPr>
            <w:tcW w:type="dxa" w:w="3746"/>
          </w:tcPr>
          <w:p>
            <w:pPr>
              <w:pStyle w:val="Compact"/>
              <w:spacing w:after="40" w:before="20"/>
              <w:jc w:val="left"/>
            </w:pPr>
            <w:r>
              <w:t xml:space="preserve">Enter the approved or estimated appetite</w:t>
            </w:r>
          </w:p>
        </w:tc>
      </w:tr>
      <w:tr>
        <w:tc>
          <w:tcPr>
            <w:tcW w:type="dxa" w:w="2983"/>
          </w:tcPr>
          <w:p>
            <w:pPr>
              <w:pStyle w:val="Compact"/>
              <w:spacing w:after="40" w:before="20"/>
              <w:jc w:val="left"/>
            </w:pPr>
            <w:r>
              <w:t xml:space="preserve">A scenario’s ratio did not change after adding measures</w:t>
            </w:r>
          </w:p>
        </w:tc>
        <w:tc>
          <w:tcPr>
            <w:tcW w:type="dxa" w:w="2871"/>
          </w:tcPr>
          <w:p>
            <w:pPr>
              <w:pStyle w:val="Compact"/>
              <w:spacing w:after="40" w:before="20"/>
              <w:jc w:val="left"/>
            </w:pPr>
            <w:r>
              <w:t xml:space="preserve">Measures not applied, or only one dimension reduced</w:t>
            </w:r>
          </w:p>
        </w:tc>
        <w:tc>
          <w:tcPr>
            <w:tcW w:type="dxa" w:w="3746"/>
          </w:tcPr>
          <w:p>
            <w:pPr>
              <w:pStyle w:val="Compact"/>
              <w:spacing w:after="40" w:before="20"/>
              <w:jc w:val="left"/>
            </w:pPr>
            <w:r>
              <w:t xml:space="preserve">Apply the package; add a measure for the other dimension</w:t>
            </w:r>
          </w:p>
        </w:tc>
      </w:tr>
      <w:tr>
        <w:tc>
          <w:tcPr>
            <w:tcW w:type="dxa" w:w="2983"/>
          </w:tcPr>
          <w:p>
            <w:pPr>
              <w:pStyle w:val="Compact"/>
              <w:spacing w:after="40" w:before="20"/>
              <w:jc w:val="left"/>
            </w:pPr>
            <w:r>
              <w:t xml:space="preserve">“</w:t>
            </w:r>
            <w:r>
              <w:t xml:space="preserve">Review M…</w:t>
            </w:r>
            <w:r>
              <w:t xml:space="preserve">”</w:t>
            </w:r>
            <w:r>
              <w:t xml:space="preserve"> </w:t>
            </w:r>
            <w:r>
              <w:t xml:space="preserve">verdict, or a warning under the TOTAL row of an M sheet</w:t>
            </w:r>
          </w:p>
        </w:tc>
        <w:tc>
          <w:tcPr>
            <w:tcW w:type="dxa" w:w="2871"/>
          </w:tcPr>
          <w:p>
            <w:pPr>
              <w:pStyle w:val="Compact"/>
              <w:spacing w:after="40" w:before="20"/>
              <w:jc w:val="left"/>
            </w:pPr>
            <w:r>
              <w:t xml:space="preserve">A coefficient (column K or L) is outside 0–1</w:t>
            </w:r>
          </w:p>
        </w:tc>
        <w:tc>
          <w:tcPr>
            <w:tcW w:type="dxa" w:w="3746"/>
          </w:tcPr>
          <w:p>
            <w:pPr>
              <w:pStyle w:val="Compact"/>
              <w:spacing w:after="40" w:before="20"/>
              <w:jc w:val="left"/>
            </w:pPr>
            <w:r>
              <w:t xml:space="preserve">Correct the coefficient; combined reductions use the product rule and never exceed 1</w:t>
            </w:r>
          </w:p>
        </w:tc>
      </w:tr>
      <w:tr>
        <w:tc>
          <w:tcPr>
            <w:tcW w:type="dxa" w:w="2983"/>
          </w:tcPr>
          <w:p>
            <w:pPr>
              <w:pStyle w:val="Compact"/>
              <w:spacing w:after="40" w:before="20"/>
              <w:jc w:val="left"/>
            </w:pPr>
            <w:r>
              <w:t xml:space="preserve">AI proposes a law the case does not name</w:t>
            </w:r>
          </w:p>
        </w:tc>
        <w:tc>
          <w:tcPr>
            <w:tcW w:type="dxa" w:w="2871"/>
          </w:tcPr>
          <w:p>
            <w:pPr>
              <w:pStyle w:val="Compact"/>
              <w:spacing w:after="40" w:before="20"/>
              <w:jc w:val="left"/>
            </w:pPr>
            <w:r>
              <w:t xml:space="preserve">AI invention</w:t>
            </w:r>
          </w:p>
        </w:tc>
        <w:tc>
          <w:tcPr>
            <w:tcW w:type="dxa" w:w="3746"/>
          </w:tcPr>
          <w:p>
            <w:pPr>
              <w:pStyle w:val="Compact"/>
              <w:spacing w:after="40" w:before="20"/>
              <w:jc w:val="left"/>
            </w:pPr>
            <w:r>
              <w:t xml:space="preserve">Remove it; cite only obligations the case names or that a primary source confirms</w:t>
            </w:r>
          </w:p>
        </w:tc>
      </w:tr>
      <w:tr>
        <w:tc>
          <w:tcPr>
            <w:tcW w:type="dxa" w:w="2983"/>
          </w:tcPr>
          <w:p>
            <w:pPr>
              <w:pStyle w:val="Compact"/>
              <w:spacing w:after="40" w:before="20"/>
              <w:jc w:val="left"/>
            </w:pPr>
            <w:r>
              <w:t xml:space="preserve">The simulation pack will not import</w:t>
            </w:r>
          </w:p>
        </w:tc>
        <w:tc>
          <w:tcPr>
            <w:tcW w:type="dxa" w:w="2871"/>
          </w:tcPr>
          <w:p>
            <w:pPr>
              <w:pStyle w:val="Compact"/>
              <w:spacing w:after="40" w:before="20"/>
              <w:jc w:val="left"/>
            </w:pPr>
            <w:r>
              <w:t xml:space="preserve">The workspace is not a MediBec copy</w:t>
            </w:r>
          </w:p>
        </w:tc>
        <w:tc>
          <w:tcPr>
            <w:tcW w:type="dxa" w:w="3746"/>
          </w:tcPr>
          <w:p>
            <w:pPr>
              <w:pStyle w:val="Compact"/>
              <w:spacing w:after="40" w:before="20"/>
              <w:jc w:val="left"/>
            </w:pPr>
            <w:r>
              <w:t xml:space="preserve">Import into the MediBec example or a copy of it</w:t>
            </w:r>
          </w:p>
        </w:tc>
      </w:tr>
      <w:tr>
        <w:tc>
          <w:tcPr>
            <w:tcW w:type="dxa" w:w="2983"/>
          </w:tcPr>
          <w:p>
            <w:pPr>
              <w:pStyle w:val="Compact"/>
              <w:spacing w:after="40" w:before="20"/>
              <w:jc w:val="left"/>
            </w:pPr>
            <w:r>
              <w:rPr>
                <w:rStyle w:val="VerbatimChar"/>
              </w:rPr>
              <w:t xml:space="preserve">engine DIVERGES</w:t>
            </w:r>
            <w:r>
              <w:t xml:space="preserve"> </w:t>
            </w:r>
            <w:r>
              <w:t xml:space="preserve">banner</w:t>
            </w:r>
          </w:p>
        </w:tc>
        <w:tc>
          <w:tcPr>
            <w:tcW w:type="dxa" w:w="2871"/>
          </w:tcPr>
          <w:p>
            <w:pPr>
              <w:pStyle w:val="Compact"/>
              <w:spacing w:after="40" w:before="20"/>
              <w:jc w:val="left"/>
            </w:pPr>
            <w:r>
              <w:t xml:space="preserve">The engine disagrees with the reference</w:t>
            </w:r>
          </w:p>
        </w:tc>
        <w:tc>
          <w:tcPr>
            <w:tcW w:type="dxa" w:w="3746"/>
          </w:tcPr>
          <w:p>
            <w:pPr>
              <w:pStyle w:val="Compact"/>
              <w:spacing w:after="40" w:before="20"/>
              <w:jc w:val="left"/>
            </w:pPr>
            <w:r>
              <w:t xml:space="preserve">Stop and restore a clean copy of the application</w:t>
            </w:r>
          </w:p>
        </w:tc>
      </w:tr>
    </w:tbl>
    <w:bookmarkEnd w:id="40"/>
    <w:bookmarkStart w:id="41" w:name="support-feedback-and-updates"/>
    <w:p>
      <w:pPr>
        <w:pStyle w:val="Heading1"/>
      </w:pPr>
      <w:r>
        <w:rPr>
          <w:rStyle w:val="SectionNumber"/>
        </w:rPr>
        <w:t xml:space="preserve">14</w:t>
      </w:r>
      <w:r>
        <w:tab/>
      </w:r>
      <w:r>
        <w:t xml:space="preserve">Support, feedback and updates</w:t>
      </w:r>
    </w:p>
    <w:p>
      <w:pPr>
        <w:numPr>
          <w:ilvl w:val="0"/>
          <w:numId w:val="1007"/>
        </w:numPr>
        <w:pStyle w:val="Compact"/>
      </w:pPr>
      <w:r>
        <w:t xml:space="preserve">Repository:</w:t>
      </w:r>
      <w:r>
        <w:t xml:space="preserve"> </w:t>
      </w:r>
      <w:r>
        <w:rPr>
          <w:bCs/>
          <w:b/>
        </w:rPr>
        <w:t xml:space="preserve">github.com/ITriskMgr/CyberRiskGuardian</w:t>
      </w:r>
      <w:r>
        <w:t xml:space="preserve"> </w:t>
      </w:r>
      <w:r>
        <w:t xml:space="preserve">(Community Edition, CC BY-NC 4.0)</w:t>
      </w:r>
    </w:p>
    <w:p>
      <w:pPr>
        <w:numPr>
          <w:ilvl w:val="0"/>
          <w:numId w:val="1007"/>
        </w:numPr>
        <w:pStyle w:val="Compact"/>
      </w:pPr>
      <w:r>
        <w:t xml:space="preserve">Product site and Educational Licence:</w:t>
      </w:r>
      <w:r>
        <w:t xml:space="preserve"> </w:t>
      </w:r>
      <w:r>
        <w:rPr>
          <w:bCs/>
          <w:b/>
        </w:rPr>
        <w:t xml:space="preserve">cyberriskguardian.ca</w:t>
      </w:r>
      <w:r>
        <w:t xml:space="preserve"> </w:t>
      </w:r>
      <w:r>
        <w:t xml:space="preserve">·</w:t>
      </w:r>
      <w:r>
        <w:t xml:space="preserve"> </w:t>
      </w:r>
      <w:r>
        <w:rPr>
          <w:bCs/>
          <w:b/>
        </w:rPr>
        <w:t xml:space="preserve">sales@cyberriskguardian.ca</w:t>
      </w:r>
    </w:p>
    <w:p>
      <w:pPr>
        <w:numPr>
          <w:ilvl w:val="0"/>
          <w:numId w:val="1007"/>
        </w:numPr>
        <w:pStyle w:val="Compact"/>
      </w:pPr>
      <w:r>
        <w:t xml:space="preserve">Desktop application: user guide under</w:t>
      </w:r>
      <w:r>
        <w:t xml:space="preserve"> </w:t>
      </w:r>
      <w:r>
        <w:rPr>
          <w:bCs/>
          <w:b/>
        </w:rPr>
        <w:t xml:space="preserve">Help → User guide</w:t>
      </w:r>
      <w:r>
        <w:t xml:space="preserve">, in English and French</w:t>
      </w:r>
    </w:p>
    <w:p>
      <w:pPr>
        <w:pStyle w:val="FirstParagraph"/>
      </w:pPr>
      <w:r>
        <w:t xml:space="preserve">Report errors in this package through the repository’s issue tracker, naming the document, the section and the language version. Suggested improvements from instructors who have taught with CRG are especially welcome.</w:t>
      </w:r>
    </w:p>
    <w:p>
      <w:pPr>
        <w:pStyle w:val="BodyText"/>
      </w:pPr>
      <w:r>
        <w:rPr>
          <w:iCs/>
          <w:i/>
        </w:rPr>
        <w:t xml:space="preserve">© 2026 Marc-André Léger. Community materials licensed under CC BY-NC 4.0. Cases are fictional; any resemblance to real organizations is coincidental. CyberRiskGuardian is decision support: estimates are initial analytical hypotheses, and risk decisions remain with management.</w:t>
      </w:r>
    </w:p>
    <w:bookmarkEnd w:id="41"/>
    <w:sectPr>
      <w:footerReference r:id="rId9" w:type="default"/>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CyberRiskGuardian Education Package 1.0 · CC BY-NC 4.0 · </w:t>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CA"/>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242B"/>
      <w:sz w:val="21"/>
    </w:rPr>
  </w:style>
  <w:style w:styleId="BodyText" w:type="paragraph">
    <w:name w:val="Body Text"/>
    <w:basedOn w:val="Normal"/>
    <w:link w:val="BodyTextChar"/>
    <w:pPr>
      <w:spacing w:after="120" w:before="180" w:line="269" w:lineRule="auto"/>
    </w:pPr>
    <w:qFormat/>
    <w:rPr>
      <w:rFonts w:ascii="Calibri" w:cs="Calibri" w:eastAsia="Calibri" w:hAnsi="Calibri"/>
      <w:color w:val="1F242B"/>
      <w:sz w:val="21"/>
    </w:rPr>
  </w:style>
  <w:style w:customStyle="1" w:styleId="FirstParagraph" w:type="paragraph">
    <w:name w:val="First Paragraph"/>
    <w:basedOn w:val="BodyText"/>
    <w:next w:val="BodyText"/>
    <w:qFormat/>
    <w:pPr>
      <w:spacing w:after="120" w:line="269" w:lineRule="auto"/>
    </w:pPr>
    <w:rPr>
      <w:rFonts w:ascii="Calibri" w:cs="Calibri" w:eastAsia="Calibri" w:hAnsi="Calibri"/>
      <w:color w:val="1F242B"/>
      <w:sz w:val="21"/>
    </w:rPr>
  </w:style>
  <w:style w:customStyle="1" w:styleId="Compact" w:type="paragraph">
    <w:name w:val="Compact"/>
    <w:basedOn w:val="BodyText"/>
    <w:qFormat/>
    <w:pPr>
      <w:spacing w:after="36" w:before="36"/>
    </w:pPr>
    <w:rPr>
      <w:rFonts w:ascii="Calibri" w:cs="Calibri" w:eastAsia="Calibri" w:hAnsi="Calibri"/>
      <w:color w:val="1F242B"/>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23A5C"/>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i w:val="0"/>
      <w:color w:val="0E7C7B"/>
      <w:sz w:val="28"/>
      <w:szCs w:val="30"/>
    </w:rPr>
  </w:style>
  <w:style w:customStyle="1" w:styleId="Author" w:type="paragraph">
    <w:name w:val="Author"/>
    <w:next w:val="BodyText"/>
    <w:qFormat/>
    <w:pPr>
      <w:keepNext/>
      <w:keepLines/>
      <w:jc w:val="center"/>
    </w:pPr>
    <w:rPr>
      <w:rFonts w:ascii="Calibri" w:cs="Calibri" w:eastAsia="Calibri" w:hAnsi="Calibri"/>
      <w:color w:val="444C56"/>
      <w:sz w:val="22"/>
    </w:rPr>
  </w:style>
  <w:style w:styleId="Date" w:type="paragraph">
    <w:name w:val="Date"/>
    <w:next w:val="BodyText"/>
    <w:qFormat/>
    <w:pPr>
      <w:keepNext/>
      <w:keepLines/>
      <w:jc w:val="center"/>
    </w:pPr>
    <w:rPr>
      <w:rFonts w:ascii="Calibri" w:cs="Calibri" w:eastAsia="Calibri" w:hAnsi="Calibri"/>
      <w:color w:val="444C56"/>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320"/>
      <w:outlineLvl w:val="0"/>
    </w:pPr>
    <w:rPr>
      <w:rFonts w:ascii="Calibri" w:cs="Calibri" w:eastAsia="Calibri" w:hAnsi="Calibri"/>
      <w:b/>
      <w:bCs/>
      <w:i w:val="0"/>
      <w:color w:val="123A5C"/>
      <w:sz w:val="34"/>
      <w:szCs w:val="32"/>
    </w:rPr>
  </w:style>
  <w:style w:styleId="Heading2" w:type="paragraph">
    <w:name w:val="Heading 2"/>
    <w:basedOn w:val="Normal"/>
    <w:next w:val="BodyText"/>
    <w:uiPriority w:val="9"/>
    <w:unhideWhenUsed/>
    <w:qFormat/>
    <w:pPr>
      <w:keepNext/>
      <w:keepLines/>
      <w:spacing w:after="80" w:before="200"/>
      <w:outlineLvl w:val="1"/>
    </w:pPr>
    <w:rPr>
      <w:rFonts w:ascii="Calibri" w:cs="Calibri" w:eastAsia="Calibri" w:hAnsi="Calibri"/>
      <w:b/>
      <w:bCs/>
      <w:i w:val="0"/>
      <w:color w:val="123A5C"/>
      <w:sz w:val="27"/>
      <w:szCs w:val="28"/>
    </w:rPr>
  </w:style>
  <w:style w:styleId="Heading3" w:type="paragraph">
    <w:name w:val="Heading 3"/>
    <w:basedOn w:val="Normal"/>
    <w:next w:val="BodyText"/>
    <w:uiPriority w:val="9"/>
    <w:unhideWhenUsed/>
    <w:qFormat/>
    <w:pPr>
      <w:keepNext/>
      <w:keepLines/>
      <w:spacing w:after="80" w:before="200"/>
      <w:outlineLvl w:val="2"/>
    </w:pPr>
    <w:rPr>
      <w:rFonts w:ascii="Calibri" w:cs="Calibri" w:eastAsia="Calibri" w:hAnsi="Calibri"/>
      <w:b/>
      <w:bCs/>
      <w:i w:val="0"/>
      <w:color w:val="0E7C7B"/>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cs="Calibri" w:eastAsia="Calibri" w:hAnsi="Calibri"/>
      <w:i w:val="0"/>
      <w:b/>
      <w:bCs/>
      <w:color w:val="0E7C7B"/>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i/>
      <w:color w:val="444C56"/>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9"/>
    </w:rPr>
    <w:tblPr>
      <w:tblInd w:type="dxa" w:w="0"/>
      <w:tblBorders>
        <w:top w:color="B8C4CE" w:sz="4" w:val="single"/>
        <w:left w:color="B8C4CE" w:sz="4" w:val="single"/>
        <w:bottom w:color="B8C4CE" w:sz="4" w:val="single"/>
        <w:right w:color="B8C4CE" w:sz="4" w:val="single"/>
        <w:insideH w:color="B8C4CE" w:sz="4" w:val="single"/>
        <w:insideV w:color="B8C4CE" w:sz="4" w:val="single"/>
      </w:tblBorders>
      <w:tblCellMar>
        <w:top w:type="dxa" w:w="40"/>
        <w:left w:type="dxa" w:w="80"/>
        <w:bottom w:type="dxa" w:w="40"/>
        <w:right w:type="dxa" w:w="80"/>
      </w:tblCellMar>
    </w:tblPr>
    <w:tblStylePr w:type="firstRow">
      <w:rPr>
        <w:b/>
        <w:color w:val="FFFFFF"/>
      </w:rPr>
      <w:tcPr>
        <w:shd w:color="auto" w:fill="123A5C"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CyberRiskGuardian in the Classroom</dc:title>
  <dc:creator>Marc-André Léger, PhD</dc:creator>
  <dc:language>en-CA</dc:language>
  <cp:keywords/>
  <dcterms:created xsi:type="dcterms:W3CDTF">2026-10-23T16:30:34Z</dcterms:created>
  <dcterms:modified xsi:type="dcterms:W3CDTF">2026-10-23T16:30:34Z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Instructor Guide — Education Package 1.0</vt:lpwstr>
  </property>
  <property fmtid="{D5CDD505-2E9C-101B-9397-08002B2CF9AE}" pid="4" name="toc-title">
    <vt:lpwstr>Contents</vt:lpwstr>
  </property>
</Properties>
</file>