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color w:val="1F3864"/>
          <w:sz w:val="56"/>
          <w:szCs w:val="56"/>
        </w:rPr>
        <w:t xml:space="preserve">MediBec</w:t>
      </w:r>
    </w:p>
    <w:p>
      <w:pPr>
        <w:spacing w:after="200"/>
      </w:pPr>
      <w:r>
        <w:rPr>
          <w:rFonts w:ascii="Arial" w:cs="Arial" w:eastAsia="Arial" w:hAnsi="Arial"/>
          <w:color w:val="1F3864"/>
          <w:sz w:val="36"/>
          <w:szCs w:val="36"/>
        </w:rPr>
        <w:t xml:space="preserve">Scenario-Based Cybersecurity Risk Assessment</w:t>
      </w:r>
    </w:p>
    <w:p>
      <w:pPr>
        <w:spacing w:after="600"/>
      </w:pPr>
      <w:r>
        <w:rPr>
          <w:rFonts w:ascii="Arial" w:cs="Arial" w:eastAsia="Arial" w:hAnsi="Arial"/>
          <w:color w:val="595959"/>
          <w:sz w:val="24"/>
          <w:szCs w:val="24"/>
        </w:rPr>
        <w:t xml:space="preserve">Ten material risk scenarios, quantified risk indicators, treatment portfolio and 24-month roadmap</w:t>
      </w:r>
    </w:p>
    <w:p>
      <w:pPr>
        <w:spacing w:after="120"/>
      </w:pPr>
      <w:r>
        <w:rPr>
          <w:rFonts w:ascii="Arial" w:cs="Arial" w:eastAsia="Arial" w:hAnsi="Arial"/>
          <w:b/>
          <w:bCs/>
        </w:rPr>
        <w:t xml:space="preserve">Prepared for:</w:t>
      </w:r>
      <w:r>
        <w:rPr>
          <w:rFonts w:ascii="Arial" w:cs="Arial" w:eastAsia="Arial" w:hAnsi="Arial"/>
        </w:rPr>
        <w:t xml:space="preserve"> Cybersecurity and Privacy Steering Committee, Executive Leadership, Board / ownership group</w:t>
      </w:r>
    </w:p>
    <w:p>
      <w:pPr>
        <w:spacing w:after="120"/>
      </w:pPr>
      <w:r>
        <w:rPr>
          <w:rFonts w:ascii="Arial" w:cs="Arial" w:eastAsia="Arial" w:hAnsi="Arial"/>
          <w:b/>
          <w:bCs/>
        </w:rPr>
        <w:t xml:space="preserve">Prepared by:</w:t>
      </w:r>
      <w:r>
        <w:rPr>
          <w:rFonts w:ascii="Arial" w:cs="Arial" w:eastAsia="Arial" w:hAnsi="Arial"/>
        </w:rPr>
        <w:t xml:space="preserve"> CyberRiskGuardian analysis (AI-assisted, analyst validation required)</w:t>
      </w:r>
    </w:p>
    <w:p>
      <w:pPr>
        <w:spacing w:after="120"/>
      </w:pPr>
      <w:r>
        <w:rPr>
          <w:rFonts w:ascii="Arial" w:cs="Arial" w:eastAsia="Arial" w:hAnsi="Arial"/>
          <w:b/>
          <w:bCs/>
        </w:rPr>
        <w:t xml:space="preserve">Date:</w:t>
      </w:r>
      <w:r>
        <w:rPr>
          <w:rFonts w:ascii="Arial" w:cs="Arial" w:eastAsia="Arial" w:hAnsi="Arial"/>
        </w:rPr>
        <w:t xml:space="preserve"> 25 September 2026   </w:t>
      </w:r>
      <w:r>
        <w:rPr>
          <w:rFonts w:ascii="Arial" w:cs="Arial" w:eastAsia="Arial" w:hAnsi="Arial"/>
          <w:b/>
          <w:bCs/>
        </w:rPr>
        <w:t xml:space="preserve">Assessment period:</w:t>
      </w:r>
      <w:r>
        <w:rPr>
          <w:rFonts w:ascii="Arial" w:cs="Arial" w:eastAsia="Arial" w:hAnsi="Arial"/>
        </w:rPr>
        <w:t xml:space="preserve"> next 12 months (October 2026 - September 2027)</w:t>
      </w:r>
    </w:p>
    <w:p>
      <w:pPr>
        <w:spacing w:after="120"/>
      </w:pPr>
      <w:r>
        <w:rPr>
          <w:rFonts w:ascii="Arial" w:cs="Arial" w:eastAsia="Arial" w:hAnsi="Arial"/>
          <w:b/>
          <w:bCs/>
        </w:rPr>
        <w:t xml:space="preserve">Methodology:</w:t>
      </w:r>
      <w:r>
        <w:rPr>
          <w:rFonts w:ascii="Arial" w:cs="Arial" w:eastAsia="Arial" w:hAnsi="Arial"/>
        </w:rPr>
        <w:t xml:space="preserve"> CyberRiskGuardian (Excel Guide v1.0c formulas), CVSS v4.0, multiplication factor 1,000</w:t>
      </w:r>
    </w:p>
    <w:p>
      <w:pPr>
        <w:spacing w:after="120"/>
      </w:pPr>
      <w:r>
        <w:rPr>
          <w:rFonts w:ascii="Arial" w:cs="Arial" w:eastAsia="Arial" w:hAnsi="Arial"/>
          <w:b/>
          <w:bCs/>
        </w:rPr>
        <w:t xml:space="preserve">Companion file:</w:t>
      </w:r>
      <w:r>
        <w:rPr>
          <w:rFonts w:ascii="Arial" w:cs="Arial" w:eastAsia="Arial" w:hAnsi="Arial"/>
        </w:rPr>
        <w:t xml:space="preserve"> MediBec</w:t>
      </w:r>
      <w:r>
        <w:rPr>
          <w:rFonts w:ascii="Arial" w:cs="Arial" w:eastAsia="Arial" w:hAnsi="Arial"/>
          <w:i/>
          <w:iCs/>
        </w:rPr>
        <w:t xml:space="preserve">CyberRiskGuardian</w:t>
      </w:r>
      <w:r>
        <w:rPr>
          <w:rFonts w:ascii="Arial" w:cs="Arial" w:eastAsia="Arial" w:hAnsi="Arial"/>
        </w:rPr>
        <w:t xml:space="preserve">Workbook.xlsx (live calculations)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Source and status.</w:t>
            </w:r>
            <w:r>
              <w:rPr>
                <w:rFonts w:ascii="Arial" w:cs="Arial" w:eastAsia="Arial" w:hAnsi="Arial"/>
                <w:sz w:val="19"/>
                <w:szCs w:val="19"/>
              </w:rPr>
              <w:t xml:space="preserve"> Based solely on the MediBec Business Case v2.0b, a fictional teaching case. All probabilities, damages, CVSS vectors, costs and effectiveness values are </w:t>
            </w:r>
            <w:r>
              <w:rPr>
                <w:rFonts w:ascii="Arial" w:cs="Arial" w:eastAsia="Arial" w:hAnsi="Arial"/>
                <w:b/>
                <w:bCs/>
                <w:sz w:val="19"/>
                <w:szCs w:val="19"/>
              </w:rPr>
              <w:t xml:space="preserve">analyst estimates - validation required</w:t>
            </w:r>
            <w:r>
              <w:rPr>
                <w:rFonts w:ascii="Arial" w:cs="Arial" w:eastAsia="Arial" w:hAnsi="Arial"/>
                <w:sz w:val="19"/>
                <w:szCs w:val="19"/>
              </w:rPr>
              <w:t xml:space="preserve">. Scores are relative decision-support indicators, not predictions of incidents or dollar losses. Risk acceptance decisions remain with MediBec management.</w:t>
            </w:r>
          </w:p>
        </w:tc>
      </w:tr>
    </w:tbl>
    <w:p>
      <w:r>
        <w:br w:type="page"/>
      </w:r>
    </w:p>
    <w:p>
      <w:pPr>
        <w:spacing w:after="200"/>
      </w:pPr>
      <w:r>
        <w:rPr>
          <w:rFonts w:ascii="Arial" w:cs="Arial" w:eastAsia="Arial" w:hAnsi="Arial"/>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rPr>
        <w:t xml:space="preserve">1. Executive summary</w:t>
      </w:r>
    </w:p>
    <w:p>
      <w:pPr>
        <w:spacing w:after="120"/>
      </w:pPr>
      <w:r>
        <w:rPr>
          <w:rFonts w:ascii="Arial" w:cs="Arial" w:eastAsia="Arial" w:hAnsi="Arial"/>
        </w:rPr>
        <w:t xml:space="preserve">MediBec operates 10 clinics that depend on a central Montreal data centre, an integrated EHR, cloud-based remote access and interconnected medical equipment, protected by a two-person cybersecurity team. Attack attempts have increased, and although no breach is confirmed, the case evidence shows the weak points a real intrusion would use: push-based MFA that can be fatigued, alerts closed without correlation, untested backups and recovery, and little visibility over cloud storage, service accounts, medical devices and vendors.</w:t>
      </w:r>
    </w:p>
    <w:p>
      <w:pPr>
        <w:spacing w:after="120"/>
      </w:pPr>
      <w:r>
        <w:rPr>
          <w:rFonts w:ascii="Arial" w:cs="Arial" w:eastAsia="Arial" w:hAnsi="Arial"/>
        </w:rPr>
        <w:t xml:space="preserve">From 20 candidate scenarios, ten were retained. Against an estimated risk appetite of </w:t>
      </w:r>
      <w:r>
        <w:rPr>
          <w:rFonts w:ascii="Arial" w:cs="Arial" w:eastAsia="Arial" w:hAnsi="Arial"/>
          <w:b/>
          <w:bCs/>
        </w:rPr>
        <w:t xml:space="preserve">0.30</w:t>
      </w:r>
      <w:r>
        <w:rPr>
          <w:rFonts w:ascii="Arial" w:cs="Arial" w:eastAsia="Arial" w:hAnsi="Arial"/>
        </w:rPr>
        <w:t xml:space="preserve">, </w:t>
      </w:r>
      <w:r>
        <w:rPr>
          <w:rFonts w:ascii="Arial" w:cs="Arial" w:eastAsia="Arial" w:hAnsi="Arial"/>
          <w:b/>
          <w:bCs/>
        </w:rPr>
        <w:t xml:space="preserve">every scenario is currently above tolerance</w:t>
      </w:r>
      <w:r>
        <w:rPr>
          <w:rFonts w:ascii="Arial" w:cs="Arial" w:eastAsia="Arial" w:hAnsi="Arial"/>
        </w:rPr>
        <w:t xml:space="preserve"> (pre-treatment estimated-to-tolerated ratios of 2.00-2.75). After the recommended portfolio, the picture is:</w:t>
      </w:r>
    </w:p>
    <w:p>
      <w:pPr>
        <w:pStyle w:val="ListParagraph"/>
        <w:numPr>
          <w:ilvl w:val="0"/>
          <w:numId w:val="2"/>
        </w:numPr>
        <w:spacing w:after="60"/>
      </w:pPr>
      <w:r>
        <w:rPr>
          <w:rFonts w:ascii="Arial" w:cs="Arial" w:eastAsia="Arial" w:hAnsi="Arial"/>
          <w:b/>
          <w:bCs/>
        </w:rPr>
        <w:t xml:space="preserve">Above tolerance (5):</w:t>
      </w:r>
      <w:r>
        <w:rPr>
          <w:rFonts w:ascii="Arial" w:cs="Arial" w:eastAsia="Arial" w:hAnsi="Arial"/>
        </w:rPr>
        <w:t xml:space="preserve"> S2 (1.20), S5 (1.22), S7 (1.45), S9 (1.54), S10 (1.19) - ransomware, insider/privileged misuse, medical devices, vendors and record integrity. These need Board / ownership-group acceptance, further treatment or transfer.</w:t>
      </w:r>
    </w:p>
    <w:p>
      <w:pPr>
        <w:pStyle w:val="ListParagraph"/>
        <w:numPr>
          <w:ilvl w:val="0"/>
          <w:numId w:val="2"/>
        </w:numPr>
        <w:spacing w:after="60"/>
      </w:pPr>
      <w:r>
        <w:rPr>
          <w:rFonts w:ascii="Arial" w:cs="Arial" w:eastAsia="Arial" w:hAnsi="Arial"/>
          <w:b/>
          <w:bCs/>
        </w:rPr>
        <w:t xml:space="preserve">Approximately at tolerance (4):</w:t>
      </w:r>
      <w:r>
        <w:rPr>
          <w:rFonts w:ascii="Arial" w:cs="Arial" w:eastAsia="Arial" w:hAnsi="Arial"/>
        </w:rPr>
        <w:t xml:space="preserve"> S1 (0.93), S4 (0.91), S6 (1.01), S8 (1.10).</w:t>
      </w:r>
    </w:p>
    <w:p>
      <w:pPr>
        <w:pStyle w:val="ListParagraph"/>
        <w:numPr>
          <w:ilvl w:val="0"/>
          <w:numId w:val="2"/>
        </w:numPr>
        <w:spacing w:after="60"/>
      </w:pPr>
      <w:r>
        <w:rPr>
          <w:rFonts w:ascii="Arial" w:cs="Arial" w:eastAsia="Arial" w:hAnsi="Arial"/>
          <w:b/>
          <w:bCs/>
        </w:rPr>
        <w:t xml:space="preserve">Below tolerance (1):</w:t>
      </w:r>
      <w:r>
        <w:rPr>
          <w:rFonts w:ascii="Arial" w:cs="Arial" w:eastAsia="Arial" w:hAnsi="Arial"/>
        </w:rPr>
        <w:t xml:space="preserve"> S3 (0.80) - backup compromise, provided immutable and isolated backups are delivered.</w:t>
      </w:r>
    </w:p>
    <w:p>
      <w:pPr>
        <w:spacing w:after="120"/>
      </w:pPr>
      <w:r>
        <w:rPr>
          <w:rFonts w:ascii="Arial" w:cs="Arial" w:eastAsia="Arial" w:hAnsi="Arial"/>
        </w:rPr>
        <w:t xml:space="preserve">The portfolio of </w:t>
      </w:r>
      <w:r>
        <w:rPr>
          <w:rFonts w:ascii="Arial" w:cs="Arial" w:eastAsia="Arial" w:hAnsi="Arial"/>
          <w:b/>
          <w:bCs/>
        </w:rPr>
        <w:t xml:space="preserve">13 initiatives</w:t>
      </w:r>
      <w:r>
        <w:rPr>
          <w:rFonts w:ascii="Arial" w:cs="Arial" w:eastAsia="Arial" w:hAnsi="Arial"/>
        </w:rPr>
        <w:t xml:space="preserve"> reduces aggregate estimated risk by about </w:t>
      </w:r>
      <w:r>
        <w:rPr>
          <w:rFonts w:ascii="Arial" w:cs="Arial" w:eastAsia="Arial" w:hAnsi="Arial"/>
          <w:b/>
          <w:bCs/>
        </w:rPr>
        <w:t xml:space="preserve">55%</w:t>
      </w:r>
      <w:r>
        <w:rPr>
          <w:rFonts w:ascii="Arial" w:cs="Arial" w:eastAsia="Arial" w:hAnsi="Arial"/>
        </w:rPr>
        <w:t xml:space="preserve"> (50,492 to 22,804 risk units). Indicative cost: </w:t>
      </w:r>
      <w:r>
        <w:rPr>
          <w:rFonts w:ascii="Arial" w:cs="Arial" w:eastAsia="Arial" w:hAnsi="Arial"/>
          <w:b/>
          <w:bCs/>
        </w:rPr>
        <w:t xml:space="preserve">$2,410,000 initial</w:t>
      </w:r>
      <w:r>
        <w:rPr>
          <w:rFonts w:ascii="Arial" w:cs="Arial" w:eastAsia="Arial" w:hAnsi="Arial"/>
        </w:rPr>
        <w:t xml:space="preserve"> plus </w:t>
      </w:r>
      <w:r>
        <w:rPr>
          <w:rFonts w:ascii="Arial" w:cs="Arial" w:eastAsia="Arial" w:hAnsi="Arial"/>
          <w:b/>
          <w:bCs/>
        </w:rPr>
        <w:t xml:space="preserve">$1,456,000 per year</w:t>
      </w:r>
      <w:r>
        <w:rPr>
          <w:rFonts w:ascii="Arial" w:cs="Arial" w:eastAsia="Arial" w:hAnsi="Arial"/>
        </w:rPr>
        <w:t xml:space="preserve"> recurring, i.e. </w:t>
      </w:r>
      <w:r>
        <w:rPr>
          <w:rFonts w:ascii="Arial" w:cs="Arial" w:eastAsia="Arial" w:hAnsi="Arial"/>
          <w:b/>
          <w:bCs/>
        </w:rPr>
        <w:t xml:space="preserve">$3,866,000 in Year 1</w:t>
      </w:r>
      <w:r>
        <w:rPr>
          <w:rFonts w:ascii="Arial" w:cs="Arial" w:eastAsia="Arial" w:hAnsi="Arial"/>
        </w:rPr>
        <w:t xml:space="preserve"> (implementation plus first-year operation; no quotations obtained).</w:t>
      </w:r>
    </w:p>
    <w:p>
      <w:pPr>
        <w:pStyle w:val="Heading3"/>
      </w:pPr>
      <w:r>
        <w:rPr>
          <w:rFonts w:ascii="Arial" w:cs="Arial" w:eastAsia="Arial" w:hAnsi="Arial"/>
        </w:rPr>
        <w:t xml:space="preserve">Most material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212"/>
        <w:gridCol w:w="936"/>
        <w:gridCol w:w="936"/>
        <w:gridCol w:w="936"/>
        <w:gridCol w:w="1872"/>
      </w:tblGrid>
      <w:tr>
        <w:trPr>
          <w:tblHeader/>
        </w:trPr>
        <w:tc>
          <w:tcPr>
            <w:tcW w:type="dxa" w:w="468"/>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ID</w:t>
            </w:r>
          </w:p>
        </w:tc>
        <w:tc>
          <w:tcPr>
            <w:tcW w:type="dxa" w:w="4212"/>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Scenario</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Estimated</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Residual</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Residual / Tolerated</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Status</w:t>
            </w:r>
          </w:p>
        </w:tc>
      </w:tr>
      <w:tr>
        <w:tc>
          <w:tcPr>
            <w:tcW w:type="dxa" w:w="468"/>
            <w:tcMar>
              <w:top w:type="dxa" w:w="50"/>
              <w:left w:type="dxa" w:w="80"/>
              <w:bottom w:type="dxa" w:w="50"/>
              <w:right w:type="dxa" w:w="80"/>
            </w:tcMar>
          </w:tcPr>
          <w:p>
            <w:r>
              <w:rPr>
                <w:rFonts w:ascii="Arial" w:cs="Arial" w:eastAsia="Arial" w:hAnsi="Arial"/>
                <w:sz w:val="16"/>
                <w:szCs w:val="16"/>
              </w:rPr>
              <w:t xml:space="preserve">S8</w:t>
            </w:r>
          </w:p>
        </w:tc>
        <w:tc>
          <w:tcPr>
            <w:tcW w:type="dxa" w:w="4212"/>
            <w:tcMar>
              <w:top w:type="dxa" w:w="50"/>
              <w:left w:type="dxa" w:w="80"/>
              <w:bottom w:type="dxa" w:w="50"/>
              <w:right w:type="dxa" w:w="80"/>
            </w:tcMar>
          </w:tcPr>
          <w:p>
            <w:r>
              <w:rPr>
                <w:rFonts w:ascii="Arial" w:cs="Arial" w:eastAsia="Arial" w:hAnsi="Arial"/>
                <w:sz w:val="16"/>
                <w:szCs w:val="16"/>
              </w:rPr>
              <w:t xml:space="preserve">Detection and response gaps allow an intrusion to persist and escalate</w:t>
            </w:r>
          </w:p>
        </w:tc>
        <w:tc>
          <w:tcPr>
            <w:tcW w:type="dxa" w:w="936"/>
            <w:tcMar>
              <w:top w:type="dxa" w:w="50"/>
              <w:left w:type="dxa" w:w="80"/>
              <w:bottom w:type="dxa" w:w="50"/>
              <w:right w:type="dxa" w:w="80"/>
            </w:tcMar>
          </w:tcPr>
          <w:p>
            <w:r>
              <w:rPr>
                <w:rFonts w:ascii="Arial" w:cs="Arial" w:eastAsia="Arial" w:hAnsi="Arial"/>
                <w:sz w:val="16"/>
                <w:szCs w:val="16"/>
              </w:rPr>
              <w:t xml:space="preserve">9,486</w:t>
            </w:r>
          </w:p>
        </w:tc>
        <w:tc>
          <w:tcPr>
            <w:tcW w:type="dxa" w:w="936"/>
            <w:tcMar>
              <w:top w:type="dxa" w:w="50"/>
              <w:left w:type="dxa" w:w="80"/>
              <w:bottom w:type="dxa" w:w="50"/>
              <w:right w:type="dxa" w:w="80"/>
            </w:tcMar>
          </w:tcPr>
          <w:p>
            <w:r>
              <w:rPr>
                <w:rFonts w:ascii="Arial" w:cs="Arial" w:eastAsia="Arial" w:hAnsi="Arial"/>
                <w:sz w:val="16"/>
                <w:szCs w:val="16"/>
              </w:rPr>
              <w:t xml:space="preserve">4,174</w:t>
            </w:r>
          </w:p>
        </w:tc>
        <w:tc>
          <w:tcPr>
            <w:tcW w:type="dxa" w:w="936"/>
            <w:tcMar>
              <w:top w:type="dxa" w:w="50"/>
              <w:left w:type="dxa" w:w="80"/>
              <w:bottom w:type="dxa" w:w="50"/>
              <w:right w:type="dxa" w:w="80"/>
            </w:tcMar>
          </w:tcPr>
          <w:p>
            <w:r>
              <w:rPr>
                <w:rFonts w:ascii="Arial" w:cs="Arial" w:eastAsia="Arial" w:hAnsi="Arial"/>
                <w:sz w:val="16"/>
                <w:szCs w:val="16"/>
              </w:rPr>
              <w:t xml:space="preserve">1.10</w:t>
            </w:r>
          </w:p>
        </w:tc>
        <w:tc>
          <w:tcPr>
            <w:tcW w:type="dxa" w:w="1872"/>
            <w:shd w:fill="FFF2CC" w:color="auto" w:val="clear"/>
            <w:tcMar>
              <w:top w:type="dxa" w:w="50"/>
              <w:left w:type="dxa" w:w="80"/>
              <w:bottom w:type="dxa" w:w="50"/>
              <w:right w:type="dxa" w:w="80"/>
            </w:tcMar>
          </w:tcPr>
          <w:p>
            <w:r>
              <w:rPr>
                <w:rFonts w:ascii="Arial" w:cs="Arial" w:eastAsia="Arial" w:hAnsi="Arial"/>
                <w:sz w:val="16"/>
                <w:szCs w:val="16"/>
              </w:rPr>
              <w:t xml:space="preserve">Approximately at tolerance</w:t>
            </w:r>
          </w:p>
        </w:tc>
      </w:tr>
      <w:tr>
        <w:tc>
          <w:tcPr>
            <w:tcW w:type="dxa" w:w="468"/>
            <w:tcMar>
              <w:top w:type="dxa" w:w="50"/>
              <w:left w:type="dxa" w:w="80"/>
              <w:bottom w:type="dxa" w:w="50"/>
              <w:right w:type="dxa" w:w="80"/>
            </w:tcMar>
          </w:tcPr>
          <w:p>
            <w:r>
              <w:rPr>
                <w:rFonts w:ascii="Arial" w:cs="Arial" w:eastAsia="Arial" w:hAnsi="Arial"/>
                <w:sz w:val="16"/>
                <w:szCs w:val="16"/>
              </w:rPr>
              <w:t xml:space="preserve">S2</w:t>
            </w:r>
          </w:p>
        </w:tc>
        <w:tc>
          <w:tcPr>
            <w:tcW w:type="dxa" w:w="4212"/>
            <w:tcMar>
              <w:top w:type="dxa" w:w="50"/>
              <w:left w:type="dxa" w:w="80"/>
              <w:bottom w:type="dxa" w:w="50"/>
              <w:right w:type="dxa" w:w="80"/>
            </w:tcMar>
          </w:tcPr>
          <w:p>
            <w:r>
              <w:rPr>
                <w:rFonts w:ascii="Arial" w:cs="Arial" w:eastAsia="Arial" w:hAnsi="Arial"/>
                <w:sz w:val="16"/>
                <w:szCs w:val="16"/>
              </w:rPr>
              <w:t xml:space="preserve">Ransomware disrupting EHR access and clinic operations across the network</w:t>
            </w:r>
          </w:p>
        </w:tc>
        <w:tc>
          <w:tcPr>
            <w:tcW w:type="dxa" w:w="936"/>
            <w:tcMar>
              <w:top w:type="dxa" w:w="50"/>
              <w:left w:type="dxa" w:w="80"/>
              <w:bottom w:type="dxa" w:w="50"/>
              <w:right w:type="dxa" w:w="80"/>
            </w:tcMar>
          </w:tcPr>
          <w:p>
            <w:r>
              <w:rPr>
                <w:rFonts w:ascii="Arial" w:cs="Arial" w:eastAsia="Arial" w:hAnsi="Arial"/>
                <w:sz w:val="16"/>
                <w:szCs w:val="16"/>
              </w:rPr>
              <w:t xml:space="preserve">7,893</w:t>
            </w:r>
          </w:p>
        </w:tc>
        <w:tc>
          <w:tcPr>
            <w:tcW w:type="dxa" w:w="936"/>
            <w:tcMar>
              <w:top w:type="dxa" w:w="50"/>
              <w:left w:type="dxa" w:w="80"/>
              <w:bottom w:type="dxa" w:w="50"/>
              <w:right w:type="dxa" w:w="80"/>
            </w:tcMar>
          </w:tcPr>
          <w:p>
            <w:r>
              <w:rPr>
                <w:rFonts w:ascii="Arial" w:cs="Arial" w:eastAsia="Arial" w:hAnsi="Arial"/>
                <w:sz w:val="16"/>
                <w:szCs w:val="16"/>
              </w:rPr>
              <w:t xml:space="preserve">3,453</w:t>
            </w:r>
          </w:p>
        </w:tc>
        <w:tc>
          <w:tcPr>
            <w:tcW w:type="dxa" w:w="936"/>
            <w:tcMar>
              <w:top w:type="dxa" w:w="50"/>
              <w:left w:type="dxa" w:w="80"/>
              <w:bottom w:type="dxa" w:w="50"/>
              <w:right w:type="dxa" w:w="80"/>
            </w:tcMar>
          </w:tcPr>
          <w:p>
            <w:r>
              <w:rPr>
                <w:rFonts w:ascii="Arial" w:cs="Arial" w:eastAsia="Arial" w:hAnsi="Arial"/>
                <w:sz w:val="16"/>
                <w:szCs w:val="16"/>
              </w:rPr>
              <w:t xml:space="preserve">1.20</w:t>
            </w:r>
          </w:p>
        </w:tc>
        <w:tc>
          <w:tcPr>
            <w:tcW w:type="dxa" w:w="1872"/>
            <w:shd w:fill="F4CCCC" w:color="auto" w:val="clear"/>
            <w:tcMar>
              <w:top w:type="dxa" w:w="50"/>
              <w:left w:type="dxa" w:w="80"/>
              <w:bottom w:type="dxa" w:w="50"/>
              <w:right w:type="dxa" w:w="80"/>
            </w:tcMar>
          </w:tcPr>
          <w:p>
            <w:r>
              <w:rPr>
                <w:rFonts w:ascii="Arial" w:cs="Arial" w:eastAsia="Arial" w:hAnsi="Arial"/>
                <w:sz w:val="16"/>
                <w:szCs w:val="16"/>
              </w:rPr>
              <w:t xml:space="preserve">Above tolerance</w:t>
            </w:r>
          </w:p>
        </w:tc>
      </w:tr>
      <w:tr>
        <w:tc>
          <w:tcPr>
            <w:tcW w:type="dxa" w:w="468"/>
            <w:tcMar>
              <w:top w:type="dxa" w:w="50"/>
              <w:left w:type="dxa" w:w="80"/>
              <w:bottom w:type="dxa" w:w="50"/>
              <w:right w:type="dxa" w:w="80"/>
            </w:tcMar>
          </w:tcPr>
          <w:p>
            <w:r>
              <w:rPr>
                <w:rFonts w:ascii="Arial" w:cs="Arial" w:eastAsia="Arial" w:hAnsi="Arial"/>
                <w:sz w:val="16"/>
                <w:szCs w:val="16"/>
              </w:rPr>
              <w:t xml:space="preserve">S1</w:t>
            </w:r>
          </w:p>
        </w:tc>
        <w:tc>
          <w:tcPr>
            <w:tcW w:type="dxa" w:w="4212"/>
            <w:tcMar>
              <w:top w:type="dxa" w:w="50"/>
              <w:left w:type="dxa" w:w="80"/>
              <w:bottom w:type="dxa" w:w="50"/>
              <w:right w:type="dxa" w:w="80"/>
            </w:tcMar>
          </w:tcPr>
          <w:p>
            <w:r>
              <w:rPr>
                <w:rFonts w:ascii="Arial" w:cs="Arial" w:eastAsia="Arial" w:hAnsi="Arial"/>
                <w:sz w:val="16"/>
                <w:szCs w:val="16"/>
              </w:rPr>
              <w:t xml:space="preserve">Credential compromise of clinical administrator accounts through phishing and MFA fatigue</w:t>
            </w:r>
          </w:p>
        </w:tc>
        <w:tc>
          <w:tcPr>
            <w:tcW w:type="dxa" w:w="936"/>
            <w:tcMar>
              <w:top w:type="dxa" w:w="50"/>
              <w:left w:type="dxa" w:w="80"/>
              <w:bottom w:type="dxa" w:w="50"/>
              <w:right w:type="dxa" w:w="80"/>
            </w:tcMar>
          </w:tcPr>
          <w:p>
            <w:r>
              <w:rPr>
                <w:rFonts w:ascii="Arial" w:cs="Arial" w:eastAsia="Arial" w:hAnsi="Arial"/>
                <w:sz w:val="16"/>
                <w:szCs w:val="16"/>
              </w:rPr>
              <w:t xml:space="preserve">6,467</w:t>
            </w:r>
          </w:p>
        </w:tc>
        <w:tc>
          <w:tcPr>
            <w:tcW w:type="dxa" w:w="936"/>
            <w:tcMar>
              <w:top w:type="dxa" w:w="50"/>
              <w:left w:type="dxa" w:w="80"/>
              <w:bottom w:type="dxa" w:w="50"/>
              <w:right w:type="dxa" w:w="80"/>
            </w:tcMar>
          </w:tcPr>
          <w:p>
            <w:r>
              <w:rPr>
                <w:rFonts w:ascii="Arial" w:cs="Arial" w:eastAsia="Arial" w:hAnsi="Arial"/>
                <w:sz w:val="16"/>
                <w:szCs w:val="16"/>
              </w:rPr>
              <w:t xml:space="preserve">2,587</w:t>
            </w:r>
          </w:p>
        </w:tc>
        <w:tc>
          <w:tcPr>
            <w:tcW w:type="dxa" w:w="936"/>
            <w:tcMar>
              <w:top w:type="dxa" w:w="50"/>
              <w:left w:type="dxa" w:w="80"/>
              <w:bottom w:type="dxa" w:w="50"/>
              <w:right w:type="dxa" w:w="80"/>
            </w:tcMar>
          </w:tcPr>
          <w:p>
            <w:r>
              <w:rPr>
                <w:rFonts w:ascii="Arial" w:cs="Arial" w:eastAsia="Arial" w:hAnsi="Arial"/>
                <w:sz w:val="16"/>
                <w:szCs w:val="16"/>
              </w:rPr>
              <w:t xml:space="preserve">0.93</w:t>
            </w:r>
          </w:p>
        </w:tc>
        <w:tc>
          <w:tcPr>
            <w:tcW w:type="dxa" w:w="1872"/>
            <w:shd w:fill="FFF2CC" w:color="auto" w:val="clear"/>
            <w:tcMar>
              <w:top w:type="dxa" w:w="50"/>
              <w:left w:type="dxa" w:w="80"/>
              <w:bottom w:type="dxa" w:w="50"/>
              <w:right w:type="dxa" w:w="80"/>
            </w:tcMar>
          </w:tcPr>
          <w:p>
            <w:r>
              <w:rPr>
                <w:rFonts w:ascii="Arial" w:cs="Arial" w:eastAsia="Arial" w:hAnsi="Arial"/>
                <w:sz w:val="16"/>
                <w:szCs w:val="16"/>
              </w:rPr>
              <w:t xml:space="preserve">Approximately at tolerance</w:t>
            </w:r>
          </w:p>
        </w:tc>
      </w:tr>
      <w:tr>
        <w:tc>
          <w:tcPr>
            <w:tcW w:type="dxa" w:w="468"/>
            <w:tcMar>
              <w:top w:type="dxa" w:w="50"/>
              <w:left w:type="dxa" w:w="80"/>
              <w:bottom w:type="dxa" w:w="50"/>
              <w:right w:type="dxa" w:w="80"/>
            </w:tcMar>
          </w:tcPr>
          <w:p>
            <w:r>
              <w:rPr>
                <w:rFonts w:ascii="Arial" w:cs="Arial" w:eastAsia="Arial" w:hAnsi="Arial"/>
                <w:sz w:val="16"/>
                <w:szCs w:val="16"/>
              </w:rPr>
              <w:t xml:space="preserve">S6</w:t>
            </w:r>
          </w:p>
        </w:tc>
        <w:tc>
          <w:tcPr>
            <w:tcW w:type="dxa" w:w="4212"/>
            <w:tcMar>
              <w:top w:type="dxa" w:w="50"/>
              <w:left w:type="dxa" w:w="80"/>
              <w:bottom w:type="dxa" w:w="50"/>
              <w:right w:type="dxa" w:w="80"/>
            </w:tcMar>
          </w:tcPr>
          <w:p>
            <w:r>
              <w:rPr>
                <w:rFonts w:ascii="Arial" w:cs="Arial" w:eastAsia="Arial" w:hAnsi="Arial"/>
                <w:sz w:val="16"/>
                <w:szCs w:val="16"/>
              </w:rPr>
              <w:t xml:space="preserve">Exploitation of unpatched internet-facing or end-of-life systems</w:t>
            </w:r>
          </w:p>
        </w:tc>
        <w:tc>
          <w:tcPr>
            <w:tcW w:type="dxa" w:w="936"/>
            <w:tcMar>
              <w:top w:type="dxa" w:w="50"/>
              <w:left w:type="dxa" w:w="80"/>
              <w:bottom w:type="dxa" w:w="50"/>
              <w:right w:type="dxa" w:w="80"/>
            </w:tcMar>
          </w:tcPr>
          <w:p>
            <w:r>
              <w:rPr>
                <w:rFonts w:ascii="Arial" w:cs="Arial" w:eastAsia="Arial" w:hAnsi="Arial"/>
                <w:sz w:val="16"/>
                <w:szCs w:val="16"/>
              </w:rPr>
              <w:t xml:space="preserve">6,375</w:t>
            </w:r>
          </w:p>
        </w:tc>
        <w:tc>
          <w:tcPr>
            <w:tcW w:type="dxa" w:w="936"/>
            <w:tcMar>
              <w:top w:type="dxa" w:w="50"/>
              <w:left w:type="dxa" w:w="80"/>
              <w:bottom w:type="dxa" w:w="50"/>
              <w:right w:type="dxa" w:w="80"/>
            </w:tcMar>
          </w:tcPr>
          <w:p>
            <w:r>
              <w:rPr>
                <w:rFonts w:ascii="Arial" w:cs="Arial" w:eastAsia="Arial" w:hAnsi="Arial"/>
                <w:sz w:val="16"/>
                <w:szCs w:val="16"/>
              </w:rPr>
              <w:t xml:space="preserve">2,582</w:t>
            </w:r>
          </w:p>
        </w:tc>
        <w:tc>
          <w:tcPr>
            <w:tcW w:type="dxa" w:w="936"/>
            <w:tcMar>
              <w:top w:type="dxa" w:w="50"/>
              <w:left w:type="dxa" w:w="80"/>
              <w:bottom w:type="dxa" w:w="50"/>
              <w:right w:type="dxa" w:w="80"/>
            </w:tcMar>
          </w:tcPr>
          <w:p>
            <w:r>
              <w:rPr>
                <w:rFonts w:ascii="Arial" w:cs="Arial" w:eastAsia="Arial" w:hAnsi="Arial"/>
                <w:sz w:val="16"/>
                <w:szCs w:val="16"/>
              </w:rPr>
              <w:t xml:space="preserve">1.01</w:t>
            </w:r>
          </w:p>
        </w:tc>
        <w:tc>
          <w:tcPr>
            <w:tcW w:type="dxa" w:w="1872"/>
            <w:shd w:fill="FFF2CC" w:color="auto" w:val="clear"/>
            <w:tcMar>
              <w:top w:type="dxa" w:w="50"/>
              <w:left w:type="dxa" w:w="80"/>
              <w:bottom w:type="dxa" w:w="50"/>
              <w:right w:type="dxa" w:w="80"/>
            </w:tcMar>
          </w:tcPr>
          <w:p>
            <w:r>
              <w:rPr>
                <w:rFonts w:ascii="Arial" w:cs="Arial" w:eastAsia="Arial" w:hAnsi="Arial"/>
                <w:sz w:val="16"/>
                <w:szCs w:val="16"/>
              </w:rPr>
              <w:t xml:space="preserve">Approximately at tolerance</w:t>
            </w:r>
          </w:p>
        </w:tc>
      </w:tr>
      <w:tr>
        <w:tc>
          <w:tcPr>
            <w:tcW w:type="dxa" w:w="468"/>
            <w:tcMar>
              <w:top w:type="dxa" w:w="50"/>
              <w:left w:type="dxa" w:w="80"/>
              <w:bottom w:type="dxa" w:w="50"/>
              <w:right w:type="dxa" w:w="80"/>
            </w:tcMar>
          </w:tcPr>
          <w:p>
            <w:r>
              <w:rPr>
                <w:rFonts w:ascii="Arial" w:cs="Arial" w:eastAsia="Arial" w:hAnsi="Arial"/>
                <w:sz w:val="16"/>
                <w:szCs w:val="16"/>
              </w:rPr>
              <w:t xml:space="preserve">S3</w:t>
            </w:r>
          </w:p>
        </w:tc>
        <w:tc>
          <w:tcPr>
            <w:tcW w:type="dxa" w:w="4212"/>
            <w:tcMar>
              <w:top w:type="dxa" w:w="50"/>
              <w:left w:type="dxa" w:w="80"/>
              <w:bottom w:type="dxa" w:w="50"/>
              <w:right w:type="dxa" w:w="80"/>
            </w:tcMar>
          </w:tcPr>
          <w:p>
            <w:r>
              <w:rPr>
                <w:rFonts w:ascii="Arial" w:cs="Arial" w:eastAsia="Arial" w:hAnsi="Arial"/>
                <w:sz w:val="16"/>
                <w:szCs w:val="16"/>
              </w:rPr>
              <w:t xml:space="preserve">Backup environment compromised, preventing recovery after a destructive attack</w:t>
            </w:r>
          </w:p>
        </w:tc>
        <w:tc>
          <w:tcPr>
            <w:tcW w:type="dxa" w:w="936"/>
            <w:tcMar>
              <w:top w:type="dxa" w:w="50"/>
              <w:left w:type="dxa" w:w="80"/>
              <w:bottom w:type="dxa" w:w="50"/>
              <w:right w:type="dxa" w:w="80"/>
            </w:tcMar>
          </w:tcPr>
          <w:p>
            <w:r>
              <w:rPr>
                <w:rFonts w:ascii="Arial" w:cs="Arial" w:eastAsia="Arial" w:hAnsi="Arial"/>
                <w:sz w:val="16"/>
                <w:szCs w:val="16"/>
              </w:rPr>
              <w:t xml:space="preserve">4,879</w:t>
            </w:r>
          </w:p>
        </w:tc>
        <w:tc>
          <w:tcPr>
            <w:tcW w:type="dxa" w:w="936"/>
            <w:tcMar>
              <w:top w:type="dxa" w:w="50"/>
              <w:left w:type="dxa" w:w="80"/>
              <w:bottom w:type="dxa" w:w="50"/>
              <w:right w:type="dxa" w:w="80"/>
            </w:tcMar>
          </w:tcPr>
          <w:p>
            <w:r>
              <w:rPr>
                <w:rFonts w:ascii="Arial" w:cs="Arial" w:eastAsia="Arial" w:hAnsi="Arial"/>
                <w:sz w:val="16"/>
                <w:szCs w:val="16"/>
              </w:rPr>
              <w:t xml:space="preserve">1,561</w:t>
            </w:r>
          </w:p>
        </w:tc>
        <w:tc>
          <w:tcPr>
            <w:tcW w:type="dxa" w:w="936"/>
            <w:tcMar>
              <w:top w:type="dxa" w:w="50"/>
              <w:left w:type="dxa" w:w="80"/>
              <w:bottom w:type="dxa" w:w="50"/>
              <w:right w:type="dxa" w:w="80"/>
            </w:tcMar>
          </w:tcPr>
          <w:p>
            <w:r>
              <w:rPr>
                <w:rFonts w:ascii="Arial" w:cs="Arial" w:eastAsia="Arial" w:hAnsi="Arial"/>
                <w:sz w:val="16"/>
                <w:szCs w:val="16"/>
              </w:rPr>
              <w:t xml:space="preserve">0.80</w:t>
            </w:r>
          </w:p>
        </w:tc>
        <w:tc>
          <w:tcPr>
            <w:tcW w:type="dxa" w:w="1872"/>
            <w:shd w:fill="D9EAD3" w:color="auto" w:val="clear"/>
            <w:tcMar>
              <w:top w:type="dxa" w:w="50"/>
              <w:left w:type="dxa" w:w="80"/>
              <w:bottom w:type="dxa" w:w="50"/>
              <w:right w:type="dxa" w:w="80"/>
            </w:tcMar>
          </w:tcPr>
          <w:p>
            <w:r>
              <w:rPr>
                <w:rFonts w:ascii="Arial" w:cs="Arial" w:eastAsia="Arial" w:hAnsi="Arial"/>
                <w:sz w:val="16"/>
                <w:szCs w:val="16"/>
              </w:rPr>
              <w:t xml:space="preserve">Below tolerance</w:t>
            </w:r>
          </w:p>
        </w:tc>
      </w:tr>
    </w:tbl>
    <w:p>
      <w:pPr>
        <w:spacing w:after="80"/>
      </w:pPr>
    </w:p>
    <w:p>
      <w:pPr>
        <w:pStyle w:val="Heading3"/>
      </w:pPr>
      <w:r>
        <w:rPr>
          <w:rFonts w:ascii="Arial" w:cs="Arial" w:eastAsia="Arial" w:hAnsi="Arial"/>
        </w:rPr>
        <w:t xml:space="preserve">Systemic weaknesses</w:t>
      </w:r>
    </w:p>
    <w:p>
      <w:pPr>
        <w:pStyle w:val="ListParagraph"/>
        <w:numPr>
          <w:ilvl w:val="0"/>
          <w:numId w:val="2"/>
        </w:numPr>
        <w:spacing w:after="60"/>
      </w:pPr>
      <w:r>
        <w:rPr>
          <w:rFonts w:ascii="Arial" w:cs="Arial" w:eastAsia="Arial" w:hAnsi="Arial"/>
          <w:b/>
          <w:bCs/>
        </w:rPr>
        <w:t xml:space="preserve">Identity</w:t>
      </w:r>
      <w:r>
        <w:rPr>
          <w:rFonts w:ascii="Arial" w:cs="Arial" w:eastAsia="Arial" w:hAnsi="Arial"/>
        </w:rPr>
        <w:t xml:space="preserve"> - push MFA without phishing resistance, no evidence of conditional access or privileged-access management; over-privileged service account (ehr-sync-svc).</w:t>
      </w:r>
    </w:p>
    <w:p>
      <w:pPr>
        <w:pStyle w:val="ListParagraph"/>
        <w:numPr>
          <w:ilvl w:val="0"/>
          <w:numId w:val="2"/>
        </w:numPr>
        <w:spacing w:after="60"/>
      </w:pPr>
      <w:r>
        <w:rPr>
          <w:rFonts w:ascii="Arial" w:cs="Arial" w:eastAsia="Arial" w:hAnsi="Arial"/>
          <w:b/>
          <w:bCs/>
        </w:rPr>
        <w:t xml:space="preserve">Detection and response capacity</w:t>
      </w:r>
      <w:r>
        <w:rPr>
          <w:rFonts w:ascii="Arial" w:cs="Arial" w:eastAsia="Arial" w:hAnsi="Arial"/>
        </w:rPr>
        <w:t xml:space="preserve"> - two staff, no 24/7 monitoring, weak alert triage, untested incident response across clinics.</w:t>
      </w:r>
    </w:p>
    <w:p>
      <w:pPr>
        <w:pStyle w:val="ListParagraph"/>
        <w:numPr>
          <w:ilvl w:val="0"/>
          <w:numId w:val="2"/>
        </w:numPr>
        <w:spacing w:after="60"/>
      </w:pPr>
      <w:r>
        <w:rPr>
          <w:rFonts w:ascii="Arial" w:cs="Arial" w:eastAsia="Arial" w:hAnsi="Arial"/>
          <w:b/>
          <w:bCs/>
        </w:rPr>
        <w:t xml:space="preserve">Recoverability</w:t>
      </w:r>
      <w:r>
        <w:rPr>
          <w:rFonts w:ascii="Arial" w:cs="Arial" w:eastAsia="Arial" w:hAnsi="Arial"/>
        </w:rPr>
        <w:t xml:space="preserve"> - backups exist but isolation, immutability and restore testing are not evidenced.</w:t>
      </w:r>
    </w:p>
    <w:p>
      <w:pPr>
        <w:pStyle w:val="ListParagraph"/>
        <w:numPr>
          <w:ilvl w:val="0"/>
          <w:numId w:val="2"/>
        </w:numPr>
        <w:spacing w:after="60"/>
      </w:pPr>
      <w:r>
        <w:rPr>
          <w:rFonts w:ascii="Arial" w:cs="Arial" w:eastAsia="Arial" w:hAnsi="Arial"/>
          <w:b/>
          <w:bCs/>
        </w:rPr>
        <w:t xml:space="preserve">Flat, device-rich clinic networks</w:t>
      </w:r>
      <w:r>
        <w:rPr>
          <w:rFonts w:ascii="Arial" w:cs="Arial" w:eastAsia="Arial" w:hAnsi="Arial"/>
        </w:rPr>
        <w:t xml:space="preserve"> - medical devices, Wi-Fi and workstations not demonstrably segmented; patching constrained.</w:t>
      </w:r>
    </w:p>
    <w:p>
      <w:pPr>
        <w:pStyle w:val="ListParagraph"/>
        <w:numPr>
          <w:ilvl w:val="0"/>
          <w:numId w:val="2"/>
        </w:numPr>
        <w:spacing w:after="60"/>
      </w:pPr>
      <w:r>
        <w:rPr>
          <w:rFonts w:ascii="Arial" w:cs="Arial" w:eastAsia="Arial" w:hAnsi="Arial"/>
          <w:b/>
          <w:bCs/>
        </w:rPr>
        <w:t xml:space="preserve">Third-party and cloud visibility</w:t>
      </w:r>
      <w:r>
        <w:rPr>
          <w:rFonts w:ascii="Arial" w:cs="Arial" w:eastAsia="Arial" w:hAnsi="Arial"/>
        </w:rPr>
        <w:t xml:space="preserve"> - no vendor assurance, contract clauses or cloud posture management evidenced.</w:t>
      </w:r>
    </w:p>
    <w:p>
      <w:pPr>
        <w:pStyle w:val="Heading3"/>
      </w:pPr>
      <w:r>
        <w:rPr>
          <w:rFonts w:ascii="Arial" w:cs="Arial" w:eastAsia="Arial" w:hAnsi="Arial"/>
        </w:rPr>
        <w:t xml:space="preserve">Decisions requested</w:t>
      </w:r>
    </w:p>
    <w:p>
      <w:pPr>
        <w:pStyle w:val="ListParagraph"/>
        <w:numPr>
          <w:ilvl w:val="0"/>
          <w:numId w:val="3"/>
        </w:numPr>
        <w:spacing w:after="60"/>
      </w:pPr>
      <w:r>
        <w:rPr>
          <w:rFonts w:ascii="Arial" w:cs="Arial" w:eastAsia="Arial" w:hAnsi="Arial"/>
          <w:b/>
          <w:bCs/>
        </w:rPr>
        <w:t xml:space="preserve">Management decision required</w:t>
      </w:r>
      <w:r>
        <w:rPr>
          <w:rFonts w:ascii="Arial" w:cs="Arial" w:eastAsia="Arial" w:hAnsi="Arial"/>
        </w:rPr>
        <w:t xml:space="preserve"> - Confirm the cybersecurity risk appetite (analyst estimate 0.30 vs. 0.40 stated in the case). At 0.40, only S9 remains above tolerance and S7 sits at the upper edge.</w:t>
      </w:r>
    </w:p>
    <w:p>
      <w:pPr>
        <w:pStyle w:val="ListParagraph"/>
        <w:numPr>
          <w:ilvl w:val="0"/>
          <w:numId w:val="3"/>
        </w:numPr>
        <w:spacing w:after="60"/>
      </w:pPr>
      <w:r>
        <w:rPr>
          <w:rFonts w:ascii="Arial" w:cs="Arial" w:eastAsia="Arial" w:hAnsi="Arial"/>
          <w:b/>
          <w:bCs/>
        </w:rPr>
        <w:t xml:space="preserve">Management decision required</w:t>
      </w:r>
      <w:r>
        <w:rPr>
          <w:rFonts w:ascii="Arial" w:cs="Arial" w:eastAsia="Arial" w:hAnsi="Arial"/>
        </w:rPr>
        <w:t xml:space="preserve"> - Approve the treatment portfolio ($3,866,000 Year 1) and immediate 0-90-day actions: phishing-resistant MFA for privileged and remote access, 24/7 MDR, backup isolation, cloud public-access block, service-account lockdown, tabletop exercise.</w:t>
      </w:r>
    </w:p>
    <w:p>
      <w:pPr>
        <w:pStyle w:val="ListParagraph"/>
        <w:numPr>
          <w:ilvl w:val="0"/>
          <w:numId w:val="3"/>
        </w:numPr>
        <w:spacing w:after="60"/>
      </w:pPr>
      <w:r>
        <w:rPr>
          <w:rFonts w:ascii="Arial" w:cs="Arial" w:eastAsia="Arial" w:hAnsi="Arial"/>
          <w:b/>
          <w:bCs/>
        </w:rPr>
        <w:t xml:space="preserve">Management decision required</w:t>
      </w:r>
      <w:r>
        <w:rPr>
          <w:rFonts w:ascii="Arial" w:cs="Arial" w:eastAsia="Arial" w:hAnsi="Arial"/>
        </w:rPr>
        <w:t xml:space="preserve"> - Board / ownership-group decision on residual risk above tolerance for S2, S5, S7, S9, S10: accept formally, fund further treatment, or transfer (cyber insurance, vendor contracts).</w:t>
      </w:r>
    </w:p>
    <w:p>
      <w:pPr>
        <w:pStyle w:val="ListParagraph"/>
        <w:numPr>
          <w:ilvl w:val="0"/>
          <w:numId w:val="3"/>
        </w:numPr>
        <w:spacing w:after="60"/>
      </w:pPr>
      <w:r>
        <w:rPr>
          <w:rFonts w:ascii="Arial" w:cs="Arial" w:eastAsia="Arial" w:hAnsi="Arial"/>
          <w:b/>
          <w:bCs/>
        </w:rPr>
        <w:t xml:space="preserve">Management decision required</w:t>
      </w:r>
      <w:r>
        <w:rPr>
          <w:rFonts w:ascii="Arial" w:cs="Arial" w:eastAsia="Arial" w:hAnsi="Arial"/>
        </w:rPr>
        <w:t xml:space="preserve"> - Clinical leadership sign-off on S7 and S10: the appetite statement allows no residual risk creating a credible immediate threat to patient care.</w:t>
      </w:r>
    </w:p>
    <w:p>
      <w:pPr>
        <w:pStyle w:val="ListParagraph"/>
        <w:numPr>
          <w:ilvl w:val="0"/>
          <w:numId w:val="3"/>
        </w:numPr>
        <w:spacing w:after="60"/>
      </w:pPr>
      <w:r>
        <w:rPr>
          <w:rFonts w:ascii="Arial" w:cs="Arial" w:eastAsia="Arial" w:hAnsi="Arial"/>
          <w:b/>
          <w:bCs/>
        </w:rPr>
        <w:t xml:space="preserve">Management decision required</w:t>
      </w:r>
      <w:r>
        <w:rPr>
          <w:rFonts w:ascii="Arial" w:cs="Arial" w:eastAsia="Arial" w:hAnsi="Arial"/>
        </w:rPr>
        <w:t xml:space="preserve"> - Approve one dedicated vulnerability-management FTE (costed) and assess a second IAM/PAM role (not costed).</w:t>
      </w:r>
    </w:p>
    <w:p>
      <w:pPr>
        <w:pStyle w:val="Heading1"/>
        <w:pageBreakBefore/>
      </w:pPr>
      <w:r>
        <w:rPr>
          <w:rFonts w:ascii="Arial" w:cs="Arial" w:eastAsia="Arial" w:hAnsi="Arial"/>
        </w:rPr>
        <w:t xml:space="preserve">2. Assessment scope and methodology</w:t>
      </w:r>
    </w:p>
    <w:p>
      <w:pPr>
        <w:pStyle w:val="Heading2"/>
      </w:pPr>
      <w:r>
        <w:rPr>
          <w:rFonts w:ascii="Arial" w:cs="Arial" w:eastAsia="Arial" w:hAnsi="Arial"/>
        </w:rPr>
        <w:t xml:space="preserve">2.1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7676"/>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67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Definition</w:t>
            </w:r>
          </w:p>
        </w:tc>
      </w:tr>
      <w:tr>
        <w:tc>
          <w:tcPr>
            <w:tcW w:type="dxa" w:w="1684"/>
            <w:tcMar>
              <w:top w:type="dxa" w:w="50"/>
              <w:left w:type="dxa" w:w="80"/>
              <w:bottom w:type="dxa" w:w="50"/>
              <w:right w:type="dxa" w:w="80"/>
            </w:tcMar>
          </w:tcPr>
          <w:p>
            <w:r>
              <w:rPr>
                <w:rFonts w:ascii="Arial" w:cs="Arial" w:eastAsia="Arial" w:hAnsi="Arial"/>
                <w:sz w:val="16"/>
                <w:szCs w:val="16"/>
              </w:rPr>
              <w:t xml:space="preserve">Organization</w:t>
            </w:r>
          </w:p>
        </w:tc>
        <w:tc>
          <w:tcPr>
            <w:tcW w:type="dxa" w:w="7676"/>
            <w:tcMar>
              <w:top w:type="dxa" w:w="50"/>
              <w:left w:type="dxa" w:w="80"/>
              <w:bottom w:type="dxa" w:w="50"/>
              <w:right w:type="dxa" w:w="80"/>
            </w:tcMar>
          </w:tcPr>
          <w:p>
            <w:r>
              <w:rPr>
                <w:rFonts w:ascii="Arial" w:cs="Arial" w:eastAsia="Arial" w:hAnsi="Arial"/>
                <w:sz w:val="16"/>
                <w:szCs w:val="16"/>
              </w:rPr>
              <w:t xml:space="preserve">MediBec private medical centre: Montreal head office and data centre, 10 clinics (Montreal, Quebec City, Gatineau, Saguenay).</w:t>
            </w:r>
          </w:p>
        </w:tc>
      </w:tr>
      <w:tr>
        <w:tc>
          <w:tcPr>
            <w:tcW w:type="dxa" w:w="1684"/>
            <w:shd w:fill="F2F2F2" w:color="auto" w:val="clear"/>
            <w:tcMar>
              <w:top w:type="dxa" w:w="50"/>
              <w:left w:type="dxa" w:w="80"/>
              <w:bottom w:type="dxa" w:w="50"/>
              <w:right w:type="dxa" w:w="80"/>
            </w:tcMar>
          </w:tcPr>
          <w:p>
            <w:r>
              <w:rPr>
                <w:rFonts w:ascii="Arial" w:cs="Arial" w:eastAsia="Arial" w:hAnsi="Arial"/>
                <w:sz w:val="16"/>
                <w:szCs w:val="16"/>
              </w:rPr>
              <w:t xml:space="preserve">In scope</w:t>
            </w:r>
          </w:p>
        </w:tc>
        <w:tc>
          <w:tcPr>
            <w:tcW w:type="dxa" w:w="7676"/>
            <w:shd w:fill="F2F2F2" w:color="auto" w:val="clear"/>
            <w:tcMar>
              <w:top w:type="dxa" w:w="50"/>
              <w:left w:type="dxa" w:w="80"/>
              <w:bottom w:type="dxa" w:w="50"/>
              <w:right w:type="dxa" w:w="80"/>
            </w:tcMar>
          </w:tcPr>
          <w:p>
            <w:r>
              <w:rPr>
                <w:rFonts w:ascii="Arial" w:cs="Arial" w:eastAsia="Arial" w:hAnsi="Arial"/>
                <w:sz w:val="16"/>
                <w:szCs w:val="16"/>
              </w:rPr>
              <w:t xml:space="preserve">EHR and clinical systems (radiology, laboratory, pharmacy), scheduling and online services, billing and administration, identity and remote access, cloud storage, data centre, WAN, backups, clinic networks and Wi-Fi, connected medical equipment, critical vendors.</w:t>
            </w:r>
          </w:p>
        </w:tc>
      </w:tr>
      <w:tr>
        <w:tc>
          <w:tcPr>
            <w:tcW w:type="dxa" w:w="1684"/>
            <w:tcMar>
              <w:top w:type="dxa" w:w="50"/>
              <w:left w:type="dxa" w:w="80"/>
              <w:bottom w:type="dxa" w:w="50"/>
              <w:right w:type="dxa" w:w="80"/>
            </w:tcMar>
          </w:tcPr>
          <w:p>
            <w:r>
              <w:rPr>
                <w:rFonts w:ascii="Arial" w:cs="Arial" w:eastAsia="Arial" w:hAnsi="Arial"/>
                <w:sz w:val="16"/>
                <w:szCs w:val="16"/>
              </w:rPr>
              <w:t xml:space="preserve">Period</w:t>
            </w:r>
          </w:p>
        </w:tc>
        <w:tc>
          <w:tcPr>
            <w:tcW w:type="dxa" w:w="7676"/>
            <w:tcMar>
              <w:top w:type="dxa" w:w="50"/>
              <w:left w:type="dxa" w:w="80"/>
              <w:bottom w:type="dxa" w:w="50"/>
              <w:right w:type="dxa" w:w="80"/>
            </w:tcMar>
          </w:tcPr>
          <w:p>
            <w:r>
              <w:rPr>
                <w:rFonts w:ascii="Arial" w:cs="Arial" w:eastAsia="Arial" w:hAnsi="Arial"/>
                <w:sz w:val="16"/>
                <w:szCs w:val="16"/>
              </w:rPr>
              <w:t xml:space="preserve">Next 12 months (October 2026 - September 2027); roadmap extends to 24 months and aligns with the 2024-2030 planning horizon.</w:t>
            </w:r>
          </w:p>
        </w:tc>
      </w:tr>
      <w:tr>
        <w:tc>
          <w:tcPr>
            <w:tcW w:type="dxa" w:w="1684"/>
            <w:shd w:fill="F2F2F2" w:color="auto" w:val="clear"/>
            <w:tcMar>
              <w:top w:type="dxa" w:w="50"/>
              <w:left w:type="dxa" w:w="80"/>
              <w:bottom w:type="dxa" w:w="50"/>
              <w:right w:type="dxa" w:w="80"/>
            </w:tcMar>
          </w:tcPr>
          <w:p>
            <w:r>
              <w:rPr>
                <w:rFonts w:ascii="Arial" w:cs="Arial" w:eastAsia="Arial" w:hAnsi="Arial"/>
                <w:sz w:val="16"/>
                <w:szCs w:val="16"/>
              </w:rPr>
              <w:t xml:space="preserve">Risk perspective</w:t>
            </w:r>
          </w:p>
        </w:tc>
        <w:tc>
          <w:tcPr>
            <w:tcW w:type="dxa" w:w="7676"/>
            <w:shd w:fill="F2F2F2" w:color="auto" w:val="clear"/>
            <w:tcMar>
              <w:top w:type="dxa" w:w="50"/>
              <w:left w:type="dxa" w:w="80"/>
              <w:bottom w:type="dxa" w:w="50"/>
              <w:right w:type="dxa" w:w="80"/>
            </w:tcMar>
          </w:tcPr>
          <w:p>
            <w:r>
              <w:rPr>
                <w:rFonts w:ascii="Arial" w:cs="Arial" w:eastAsia="Arial" w:hAnsi="Arial"/>
                <w:sz w:val="16"/>
                <w:szCs w:val="16"/>
              </w:rPr>
              <w:t xml:space="preserve">Confidentiality, integrity, availability, privacy, patient safety, operations, finance, legal/regulatory compliance, reputation, strategy.</w:t>
            </w:r>
          </w:p>
        </w:tc>
      </w:tr>
      <w:tr>
        <w:tc>
          <w:tcPr>
            <w:tcW w:type="dxa" w:w="1684"/>
            <w:tcMar>
              <w:top w:type="dxa" w:w="50"/>
              <w:left w:type="dxa" w:w="80"/>
              <w:bottom w:type="dxa" w:w="50"/>
              <w:right w:type="dxa" w:w="80"/>
            </w:tcMar>
          </w:tcPr>
          <w:p>
            <w:r>
              <w:rPr>
                <w:rFonts w:ascii="Arial" w:cs="Arial" w:eastAsia="Arial" w:hAnsi="Arial"/>
                <w:sz w:val="16"/>
                <w:szCs w:val="16"/>
              </w:rPr>
              <w:t xml:space="preserve">Exclusions</w:t>
            </w:r>
          </w:p>
        </w:tc>
        <w:tc>
          <w:tcPr>
            <w:tcW w:type="dxa" w:w="7676"/>
            <w:tcMar>
              <w:top w:type="dxa" w:w="50"/>
              <w:left w:type="dxa" w:w="80"/>
              <w:bottom w:type="dxa" w:w="50"/>
              <w:right w:type="dxa" w:w="80"/>
            </w:tcMar>
          </w:tcPr>
          <w:p>
            <w:r>
              <w:rPr>
                <w:rFonts w:ascii="Arial" w:cs="Arial" w:eastAsia="Arial" w:hAnsi="Arial"/>
                <w:sz w:val="16"/>
                <w:szCs w:val="16"/>
              </w:rPr>
              <w:t xml:space="preserve">Physical security, non-malicious data-centre outages (candidate C16 - referred to BCP/DR review), payment-card scope, detailed legal analysis.</w:t>
            </w:r>
          </w:p>
        </w:tc>
      </w:tr>
      <w:tr>
        <w:tc>
          <w:tcPr>
            <w:tcW w:type="dxa" w:w="1684"/>
            <w:shd w:fill="F2F2F2" w:color="auto" w:val="clear"/>
            <w:tcMar>
              <w:top w:type="dxa" w:w="50"/>
              <w:left w:type="dxa" w:w="80"/>
              <w:bottom w:type="dxa" w:w="50"/>
              <w:right w:type="dxa" w:w="80"/>
            </w:tcMar>
          </w:tcPr>
          <w:p>
            <w:r>
              <w:rPr>
                <w:rFonts w:ascii="Arial" w:cs="Arial" w:eastAsia="Arial" w:hAnsi="Arial"/>
                <w:sz w:val="16"/>
                <w:szCs w:val="16"/>
              </w:rPr>
              <w:t xml:space="preserve">Evidence limits</w:t>
            </w:r>
          </w:p>
        </w:tc>
        <w:tc>
          <w:tcPr>
            <w:tcW w:type="dxa" w:w="7676"/>
            <w:shd w:fill="F2F2F2" w:color="auto" w:val="clear"/>
            <w:tcMar>
              <w:top w:type="dxa" w:w="50"/>
              <w:left w:type="dxa" w:w="80"/>
              <w:bottom w:type="dxa" w:w="50"/>
              <w:right w:type="dxa" w:w="80"/>
            </w:tcMar>
          </w:tcPr>
          <w:p>
            <w:r>
              <w:rPr>
                <w:rFonts w:ascii="Arial" w:cs="Arial" w:eastAsia="Arial" w:hAnsi="Arial"/>
                <w:sz w:val="16"/>
                <w:szCs w:val="16"/>
              </w:rPr>
              <w:t xml:space="preserve">No asset inventory, architecture diagrams, scan results, audit reports, contracts or incident records were supplied. Incident injects (Appendices A-B of the case) are treated as illustrative indicators to validate, not confirmed facts.</w:t>
            </w:r>
          </w:p>
        </w:tc>
      </w:tr>
    </w:tbl>
    <w:p>
      <w:pPr>
        <w:pStyle w:val="Heading2"/>
      </w:pPr>
      <w:r>
        <w:rPr>
          <w:rFonts w:ascii="Arial" w:cs="Arial" w:eastAsia="Arial" w:hAnsi="Arial"/>
        </w:rPr>
        <w:t xml:space="preserve">2.2 Method</w:t>
      </w:r>
    </w:p>
    <w:p>
      <w:pPr>
        <w:spacing w:after="120"/>
      </w:pPr>
      <w:r>
        <w:rPr>
          <w:rFonts w:ascii="Arial" w:cs="Arial" w:eastAsia="Arial" w:hAnsi="Arial"/>
        </w:rPr>
        <w:t xml:space="preserve">The assessment follows the CyberRiskGuardian method: context and crown jewels, risk appetite, 20 candidate scenarios screened to 10, detailed causal-chain scenarios, six parameters on a 0-1 scale, CVSS v4.0 base score (CVSS-B) for a representative weakness, KRI calculation, treatment portfolio with shared-control allocation, residual-risk recalculation, sensitivity analysis and multi-criteria prioritization.</w:t>
      </w:r>
    </w:p>
    <w:p>
      <w:pPr>
        <w:spacing w:after="120"/>
      </w:pPr>
      <w:r>
        <w:rPr>
          <w:rFonts w:ascii="Arial" w:cs="Arial" w:eastAsia="Arial" w:hAnsi="Arial"/>
          <w:b/>
          <w:bCs/>
        </w:rPr>
        <w:t xml:space="preserve">Formulas (Excel Guide v1.0c, s.11 - used without modification):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Indicator</w:t>
            </w:r>
          </w:p>
        </w:tc>
        <w:tc>
          <w:tcPr>
            <w:tcW w:type="dxa" w:w="7020"/>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Formula</w:t>
            </w:r>
          </w:p>
        </w:tc>
      </w:tr>
      <w:tr>
        <w:tc>
          <w:tcPr>
            <w:tcW w:type="dxa" w:w="2340"/>
            <w:tcMar>
              <w:top w:type="dxa" w:w="50"/>
              <w:left w:type="dxa" w:w="80"/>
              <w:bottom w:type="dxa" w:w="50"/>
              <w:right w:type="dxa" w:w="80"/>
            </w:tcMar>
          </w:tcPr>
          <w:p>
            <w:r>
              <w:rPr>
                <w:rFonts w:ascii="Arial" w:cs="Arial" w:eastAsia="Arial" w:hAnsi="Arial"/>
                <w:sz w:val="16"/>
                <w:szCs w:val="16"/>
              </w:rPr>
              <w:t xml:space="preserve">Estimated risk (Re)</w:t>
            </w:r>
          </w:p>
        </w:tc>
        <w:tc>
          <w:tcPr>
            <w:tcW w:type="dxa" w:w="7020"/>
            <w:tcMar>
              <w:top w:type="dxa" w:w="50"/>
              <w:left w:type="dxa" w:w="80"/>
              <w:bottom w:type="dxa" w:w="50"/>
              <w:right w:type="dxa" w:w="80"/>
            </w:tcMar>
          </w:tcPr>
          <w:p>
            <w:r>
              <w:rPr>
                <w:rFonts w:ascii="Arial" w:cs="Arial" w:eastAsia="Arial" w:hAnsi="Arial"/>
                <w:sz w:val="16"/>
                <w:szCs w:val="16"/>
              </w:rPr>
              <w:t xml:space="preserve">Pb(A) x Pb(psi,A) x CVSS x ((de + dm) / 2) x mu(E) / theta x Factor</w:t>
            </w:r>
          </w:p>
        </w:tc>
      </w:tr>
      <w:tr>
        <w:tc>
          <w:tcPr>
            <w:tcW w:type="dxa" w:w="2340"/>
            <w:shd w:fill="F2F2F2" w:color="auto" w:val="clear"/>
            <w:tcMar>
              <w:top w:type="dxa" w:w="50"/>
              <w:left w:type="dxa" w:w="80"/>
              <w:bottom w:type="dxa" w:w="50"/>
              <w:right w:type="dxa" w:w="80"/>
            </w:tcMar>
          </w:tcPr>
          <w:p>
            <w:r>
              <w:rPr>
                <w:rFonts w:ascii="Arial" w:cs="Arial" w:eastAsia="Arial" w:hAnsi="Arial"/>
                <w:sz w:val="16"/>
                <w:szCs w:val="16"/>
              </w:rPr>
              <w:t xml:space="preserve">Tolerated risk (Rt)</w:t>
            </w:r>
          </w:p>
        </w:tc>
        <w:tc>
          <w:tcPr>
            <w:tcW w:type="dxa" w:w="7020"/>
            <w:shd w:fill="F2F2F2" w:color="auto" w:val="clear"/>
            <w:tcMar>
              <w:top w:type="dxa" w:w="50"/>
              <w:left w:type="dxa" w:w="80"/>
              <w:bottom w:type="dxa" w:w="50"/>
              <w:right w:type="dxa" w:w="80"/>
            </w:tcMar>
          </w:tcPr>
          <w:p>
            <w:r>
              <w:rPr>
                <w:rFonts w:ascii="Arial" w:cs="Arial" w:eastAsia="Arial" w:hAnsi="Arial"/>
                <w:sz w:val="16"/>
                <w:szCs w:val="16"/>
              </w:rPr>
              <w:t xml:space="preserve">Pb(A) x Pb(psi,A) x CVSS x Appetite x mu(E) / theta x Factor</w:t>
            </w:r>
          </w:p>
        </w:tc>
      </w:tr>
      <w:tr>
        <w:tc>
          <w:tcPr>
            <w:tcW w:type="dxa" w:w="2340"/>
            <w:tcMar>
              <w:top w:type="dxa" w:w="50"/>
              <w:left w:type="dxa" w:w="80"/>
              <w:bottom w:type="dxa" w:w="50"/>
              <w:right w:type="dxa" w:w="80"/>
            </w:tcMar>
          </w:tcPr>
          <w:p>
            <w:r>
              <w:rPr>
                <w:rFonts w:ascii="Arial" w:cs="Arial" w:eastAsia="Arial" w:hAnsi="Arial"/>
                <w:sz w:val="16"/>
                <w:szCs w:val="16"/>
              </w:rPr>
              <w:t xml:space="preserve">Mitigated amount</w:t>
            </w:r>
          </w:p>
        </w:tc>
        <w:tc>
          <w:tcPr>
            <w:tcW w:type="dxa" w:w="7020"/>
            <w:tcMar>
              <w:top w:type="dxa" w:w="50"/>
              <w:left w:type="dxa" w:w="80"/>
              <w:bottom w:type="dxa" w:w="50"/>
              <w:right w:type="dxa" w:w="80"/>
            </w:tcMar>
          </w:tcPr>
          <w:p>
            <w:r>
              <w:rPr>
                <w:rFonts w:ascii="Arial" w:cs="Arial" w:eastAsia="Arial" w:hAnsi="Arial"/>
                <w:sz w:val="16"/>
                <w:szCs w:val="16"/>
              </w:rPr>
              <w:t xml:space="preserve">Re x Probability reduction x Impact reduction</w:t>
            </w:r>
          </w:p>
        </w:tc>
      </w:tr>
      <w:tr>
        <w:tc>
          <w:tcPr>
            <w:tcW w:type="dxa" w:w="2340"/>
            <w:shd w:fill="F2F2F2" w:color="auto" w:val="clear"/>
            <w:tcMar>
              <w:top w:type="dxa" w:w="50"/>
              <w:left w:type="dxa" w:w="80"/>
              <w:bottom w:type="dxa" w:w="50"/>
              <w:right w:type="dxa" w:w="80"/>
            </w:tcMar>
          </w:tcPr>
          <w:p>
            <w:r>
              <w:rPr>
                <w:rFonts w:ascii="Arial" w:cs="Arial" w:eastAsia="Arial" w:hAnsi="Arial"/>
                <w:sz w:val="16"/>
                <w:szCs w:val="16"/>
              </w:rPr>
              <w:t xml:space="preserve">Residual risk</w:t>
            </w:r>
          </w:p>
        </w:tc>
        <w:tc>
          <w:tcPr>
            <w:tcW w:type="dxa" w:w="7020"/>
            <w:shd w:fill="F2F2F2" w:color="auto" w:val="clear"/>
            <w:tcMar>
              <w:top w:type="dxa" w:w="50"/>
              <w:left w:type="dxa" w:w="80"/>
              <w:bottom w:type="dxa" w:w="50"/>
              <w:right w:type="dxa" w:w="80"/>
            </w:tcMar>
          </w:tcPr>
          <w:p>
            <w:r>
              <w:rPr>
                <w:rFonts w:ascii="Arial" w:cs="Arial" w:eastAsia="Arial" w:hAnsi="Arial"/>
                <w:sz w:val="16"/>
                <w:szCs w:val="16"/>
              </w:rPr>
              <w:t xml:space="preserve">Re - Mitigated (the template's ABS() is equivalent because reductions are kept within 0-1)</w:t>
            </w:r>
          </w:p>
        </w:tc>
      </w:tr>
      <w:tr>
        <w:tc>
          <w:tcPr>
            <w:tcW w:type="dxa" w:w="2340"/>
            <w:tcMar>
              <w:top w:type="dxa" w:w="50"/>
              <w:left w:type="dxa" w:w="80"/>
              <w:bottom w:type="dxa" w:w="50"/>
              <w:right w:type="dxa" w:w="80"/>
            </w:tcMar>
          </w:tcPr>
          <w:p>
            <w:r>
              <w:rPr>
                <w:rFonts w:ascii="Arial" w:cs="Arial" w:eastAsia="Arial" w:hAnsi="Arial"/>
                <w:sz w:val="16"/>
                <w:szCs w:val="16"/>
              </w:rPr>
              <w:t xml:space="preserve">Risk-to-tolerance ratio</w:t>
            </w:r>
          </w:p>
        </w:tc>
        <w:tc>
          <w:tcPr>
            <w:tcW w:type="dxa" w:w="7020"/>
            <w:tcMar>
              <w:top w:type="dxa" w:w="50"/>
              <w:left w:type="dxa" w:w="80"/>
              <w:bottom w:type="dxa" w:w="50"/>
              <w:right w:type="dxa" w:w="80"/>
            </w:tcMar>
          </w:tcPr>
          <w:p>
            <w:r>
              <w:rPr>
                <w:rFonts w:ascii="Arial" w:cs="Arial" w:eastAsia="Arial" w:hAnsi="Arial"/>
                <w:sz w:val="16"/>
                <w:szCs w:val="16"/>
              </w:rPr>
              <w:t xml:space="preserve">Residual / Tolerated.  &lt; 0.90 below;  0.90-1.10 approximately at;  &gt; 1.10 above tolerance</w:t>
            </w:r>
          </w:p>
        </w:tc>
      </w:tr>
      <w:tr>
        <w:tc>
          <w:tcPr>
            <w:tcW w:type="dxa" w:w="2340"/>
            <w:shd w:fill="F2F2F2" w:color="auto" w:val="clear"/>
            <w:tcMar>
              <w:top w:type="dxa" w:w="50"/>
              <w:left w:type="dxa" w:w="80"/>
              <w:bottom w:type="dxa" w:w="50"/>
              <w:right w:type="dxa" w:w="80"/>
            </w:tcMar>
          </w:tcPr>
          <w:p>
            <w:r>
              <w:rPr>
                <w:rFonts w:ascii="Arial" w:cs="Arial" w:eastAsia="Arial" w:hAnsi="Arial"/>
                <w:sz w:val="16"/>
                <w:szCs w:val="16"/>
              </w:rPr>
              <w:t xml:space="preserve">Cost-effectiveness</w:t>
            </w:r>
          </w:p>
        </w:tc>
        <w:tc>
          <w:tcPr>
            <w:tcW w:type="dxa" w:w="7020"/>
            <w:shd w:fill="F2F2F2" w:color="auto" w:val="clear"/>
            <w:tcMar>
              <w:top w:type="dxa" w:w="50"/>
              <w:left w:type="dxa" w:w="80"/>
              <w:bottom w:type="dxa" w:w="50"/>
              <w:right w:type="dxa" w:w="80"/>
            </w:tcMar>
          </w:tcPr>
          <w:p>
            <w:r>
              <w:rPr>
                <w:rFonts w:ascii="Arial" w:cs="Arial" w:eastAsia="Arial" w:hAnsi="Arial"/>
                <w:sz w:val="16"/>
                <w:szCs w:val="16"/>
              </w:rPr>
              <w:t xml:space="preserve">(Re - Residual) / allocated Year-1 cost x 1,000 (risk units removed per $1,000)</w:t>
            </w:r>
          </w:p>
        </w:tc>
      </w:tr>
    </w:tbl>
    <w:p>
      <w:pPr>
        <w:spacing w:after="80"/>
      </w:pPr>
    </w:p>
    <w:p>
      <w:pPr>
        <w:spacing w:after="120"/>
      </w:pPr>
      <w:r>
        <w:rPr>
          <w:rFonts w:ascii="Arial" w:cs="Arial" w:eastAsia="Arial" w:hAnsi="Arial"/>
        </w:rPr>
        <w:t xml:space="preserve">Factor = 1,000 for every scenario. Parameters: Pb(A) threat presence; Pb(psi,A) exploitation; de expected damage; dm maximum damage; theta organizational resilience (higher = stronger); mu(E) criticality of the affected service. Confidence is rated High / Medium / Low for each value. The 'approximately at' band of +/-10% is an analyst convention reflecting estimate precision.</w:t>
      </w:r>
    </w:p>
    <w:p>
      <w:pPr>
        <w:pStyle w:val="Heading2"/>
      </w:pPr>
      <w:r>
        <w:rPr>
          <w:rFonts w:ascii="Arial" w:cs="Arial" w:eastAsia="Arial" w:hAnsi="Arial"/>
        </w:rPr>
        <w:t xml:space="preserve">2.3 Evidence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
        <w:gridCol w:w="2808"/>
        <w:gridCol w:w="1591"/>
        <w:gridCol w:w="4400"/>
      </w:tblGrid>
      <w:tr>
        <w:trPr>
          <w:tblHeader/>
        </w:trPr>
        <w:tc>
          <w:tcPr>
            <w:tcW w:type="dxa" w:w="56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ID</w:t>
            </w:r>
          </w:p>
        </w:tc>
        <w:tc>
          <w:tcPr>
            <w:tcW w:type="dxa" w:w="2808"/>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Source</w:t>
            </w:r>
          </w:p>
        </w:tc>
        <w:tc>
          <w:tcPr>
            <w:tcW w:type="dxa" w:w="159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Basis</w:t>
            </w:r>
          </w:p>
        </w:tc>
        <w:tc>
          <w:tcPr>
            <w:tcW w:type="dxa" w:w="4400"/>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Content used</w:t>
            </w:r>
          </w:p>
        </w:tc>
      </w:tr>
      <w:tr>
        <w:tc>
          <w:tcPr>
            <w:tcW w:type="dxa" w:w="561"/>
            <w:tcMar>
              <w:top w:type="dxa" w:w="50"/>
              <w:left w:type="dxa" w:w="80"/>
              <w:bottom w:type="dxa" w:w="50"/>
              <w:right w:type="dxa" w:w="80"/>
            </w:tcMar>
          </w:tcPr>
          <w:p>
            <w:r>
              <w:rPr>
                <w:rFonts w:ascii="Arial" w:cs="Arial" w:eastAsia="Arial" w:hAnsi="Arial"/>
                <w:sz w:val="15"/>
                <w:szCs w:val="15"/>
              </w:rPr>
              <w:t xml:space="preserve">E1</w:t>
            </w:r>
          </w:p>
        </w:tc>
        <w:tc>
          <w:tcPr>
            <w:tcW w:type="dxa" w:w="2808"/>
            <w:tcMar>
              <w:top w:type="dxa" w:w="50"/>
              <w:left w:type="dxa" w:w="80"/>
              <w:bottom w:type="dxa" w:w="50"/>
              <w:right w:type="dxa" w:w="80"/>
            </w:tcMar>
          </w:tcPr>
          <w:p>
            <w:r>
              <w:rPr>
                <w:rFonts w:ascii="Arial" w:cs="Arial" w:eastAsia="Arial" w:hAnsi="Arial"/>
                <w:sz w:val="15"/>
                <w:szCs w:val="15"/>
              </w:rPr>
              <w:t xml:space="preserve">MediBec business case v2.0b, s.3 - Background and healthcare profile</w:t>
            </w:r>
          </w:p>
        </w:tc>
        <w:tc>
          <w:tcPr>
            <w:tcW w:type="dxa" w:w="1591"/>
            <w:tcMar>
              <w:top w:type="dxa" w:w="50"/>
              <w:left w:type="dxa" w:w="80"/>
              <w:bottom w:type="dxa" w:w="50"/>
              <w:right w:type="dxa" w:w="80"/>
            </w:tcMar>
          </w:tcPr>
          <w:p>
            <w:r>
              <w:rPr>
                <w:rFonts w:ascii="Arial" w:cs="Arial" w:eastAsia="Arial" w:hAnsi="Arial"/>
                <w:sz w:val="15"/>
                <w:szCs w:val="15"/>
              </w:rPr>
              <w:t xml:space="preserve">Documented (case)</w:t>
            </w:r>
          </w:p>
        </w:tc>
        <w:tc>
          <w:tcPr>
            <w:tcW w:type="dxa" w:w="4400"/>
            <w:tcMar>
              <w:top w:type="dxa" w:w="50"/>
              <w:left w:type="dxa" w:w="80"/>
              <w:bottom w:type="dxa" w:w="50"/>
              <w:right w:type="dxa" w:w="80"/>
            </w:tcMar>
          </w:tcPr>
          <w:p>
            <w:r>
              <w:rPr>
                <w:rFonts w:ascii="Arial" w:cs="Arial" w:eastAsia="Arial" w:hAnsi="Arial"/>
                <w:sz w:val="15"/>
                <w:szCs w:val="15"/>
              </w:rPr>
              <w:t xml:space="preserve">HQ Montreal; 10 clinics (Montreal, Quebec City, Gatineau, Saguenay); EHR, radiology, lab, pharmacy, billing, communications; sensitive health data.</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Business case s.4 - Technology environment table</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Documented (case)</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Central network hub in Montreal, WAN fibre to clinics, firewalls, IDS/IPS, antivirus/antimalware; Montreal data centre, local clinic storage, on-site and off-site backups, encrypted storage; cloud-based remote access; interconnected medical equipment.</w:t>
            </w:r>
          </w:p>
        </w:tc>
      </w:tr>
      <w:tr>
        <w:tc>
          <w:tcPr>
            <w:tcW w:type="dxa" w:w="561"/>
            <w:tcMar>
              <w:top w:type="dxa" w:w="50"/>
              <w:left w:type="dxa" w:w="80"/>
              <w:bottom w:type="dxa" w:w="50"/>
              <w:right w:type="dxa" w:w="80"/>
            </w:tcMar>
          </w:tcPr>
          <w:p>
            <w:r>
              <w:rPr>
                <w:rFonts w:ascii="Arial" w:cs="Arial" w:eastAsia="Arial" w:hAnsi="Arial"/>
                <w:sz w:val="15"/>
                <w:szCs w:val="15"/>
              </w:rPr>
              <w:t xml:space="preserve">E3</w:t>
            </w:r>
          </w:p>
        </w:tc>
        <w:tc>
          <w:tcPr>
            <w:tcW w:type="dxa" w:w="2808"/>
            <w:tcMar>
              <w:top w:type="dxa" w:w="50"/>
              <w:left w:type="dxa" w:w="80"/>
              <w:bottom w:type="dxa" w:w="50"/>
              <w:right w:type="dxa" w:w="80"/>
            </w:tcMar>
          </w:tcPr>
          <w:p>
            <w:r>
              <w:rPr>
                <w:rFonts w:ascii="Arial" w:cs="Arial" w:eastAsia="Arial" w:hAnsi="Arial"/>
                <w:sz w:val="15"/>
                <w:szCs w:val="15"/>
              </w:rPr>
              <w:t xml:space="preserve">Business case s.4 - Operating model and budget context</w:t>
            </w:r>
          </w:p>
        </w:tc>
        <w:tc>
          <w:tcPr>
            <w:tcW w:type="dxa" w:w="1591"/>
            <w:tcMar>
              <w:top w:type="dxa" w:w="50"/>
              <w:left w:type="dxa" w:w="80"/>
              <w:bottom w:type="dxa" w:w="50"/>
              <w:right w:type="dxa" w:w="80"/>
            </w:tcMar>
          </w:tcPr>
          <w:p>
            <w:r>
              <w:rPr>
                <w:rFonts w:ascii="Arial" w:cs="Arial" w:eastAsia="Arial" w:hAnsi="Arial"/>
                <w:sz w:val="15"/>
                <w:szCs w:val="15"/>
              </w:rPr>
              <w:t xml:space="preserve">Documented (case)</w:t>
            </w:r>
          </w:p>
        </w:tc>
        <w:tc>
          <w:tcPr>
            <w:tcW w:type="dxa" w:w="4400"/>
            <w:tcMar>
              <w:top w:type="dxa" w:w="50"/>
              <w:left w:type="dxa" w:w="80"/>
              <w:bottom w:type="dxa" w:w="50"/>
              <w:right w:type="dxa" w:w="80"/>
            </w:tcMar>
          </w:tcPr>
          <w:p>
            <w:r>
              <w:rPr>
                <w:rFonts w:ascii="Arial" w:cs="Arial" w:eastAsia="Arial" w:hAnsi="Arial"/>
                <w:sz w:val="15"/>
                <w:szCs w:val="15"/>
              </w:rPr>
              <w:t xml:space="preserve">15-person IT department, 2 dedicated cybersecurity staff; stated IT budget CAD 100M incl. salaries; 2024-2030 roadmap; medical-device certification and clinical change constraints.</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E4</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Business case s.5 - Threat context</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Documented (case)</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Multiple unsuccessful attack attempts since 2020, increasing recently; no confirmed successful breach; open questions on log sufficiency, device inventories, cloud configuration.</w:t>
            </w:r>
          </w:p>
        </w:tc>
      </w:tr>
      <w:tr>
        <w:tc>
          <w:tcPr>
            <w:tcW w:type="dxa" w:w="561"/>
            <w:tcMar>
              <w:top w:type="dxa" w:w="50"/>
              <w:left w:type="dxa" w:w="80"/>
              <w:bottom w:type="dxa" w:w="50"/>
              <w:right w:type="dxa" w:w="80"/>
            </w:tcMar>
          </w:tcPr>
          <w:p>
            <w:r>
              <w:rPr>
                <w:rFonts w:ascii="Arial" w:cs="Arial" w:eastAsia="Arial" w:hAnsi="Arial"/>
                <w:sz w:val="15"/>
                <w:szCs w:val="15"/>
              </w:rPr>
              <w:t xml:space="preserve">E5</w:t>
            </w:r>
          </w:p>
        </w:tc>
        <w:tc>
          <w:tcPr>
            <w:tcW w:type="dxa" w:w="2808"/>
            <w:tcMar>
              <w:top w:type="dxa" w:w="50"/>
              <w:left w:type="dxa" w:w="80"/>
              <w:bottom w:type="dxa" w:w="50"/>
              <w:right w:type="dxa" w:w="80"/>
            </w:tcMar>
          </w:tcPr>
          <w:p>
            <w:r>
              <w:rPr>
                <w:rFonts w:ascii="Arial" w:cs="Arial" w:eastAsia="Arial" w:hAnsi="Arial"/>
                <w:sz w:val="15"/>
                <w:szCs w:val="15"/>
              </w:rPr>
              <w:t xml:space="preserve">Business case s.8 - Risk appetite statement</w:t>
            </w:r>
          </w:p>
        </w:tc>
        <w:tc>
          <w:tcPr>
            <w:tcW w:type="dxa" w:w="1591"/>
            <w:tcMar>
              <w:top w:type="dxa" w:w="50"/>
              <w:left w:type="dxa" w:w="80"/>
              <w:bottom w:type="dxa" w:w="50"/>
              <w:right w:type="dxa" w:w="80"/>
            </w:tcMar>
          </w:tcPr>
          <w:p>
            <w:r>
              <w:rPr>
                <w:rFonts w:ascii="Arial" w:cs="Arial" w:eastAsia="Arial" w:hAnsi="Arial"/>
                <w:sz w:val="15"/>
                <w:szCs w:val="15"/>
              </w:rPr>
              <w:t xml:space="preserve">Documented (case)</w:t>
            </w:r>
          </w:p>
        </w:tc>
        <w:tc>
          <w:tcPr>
            <w:tcW w:type="dxa" w:w="4400"/>
            <w:tcMar>
              <w:top w:type="dxa" w:w="50"/>
              <w:left w:type="dxa" w:w="80"/>
              <w:bottom w:type="dxa" w:w="50"/>
              <w:right w:type="dxa" w:w="80"/>
            </w:tcMar>
          </w:tcPr>
          <w:p>
            <w:r>
              <w:rPr>
                <w:rFonts w:ascii="Arial" w:cs="Arial" w:eastAsia="Arial" w:hAnsi="Arial"/>
                <w:sz w:val="15"/>
                <w:szCs w:val="15"/>
              </w:rPr>
              <w:t xml:space="preserve">Low appetite for patient safety, health-data confidentiality, compliance, public trust; moderate for governed innovation; normalized tolerance 0.40; residual &gt;0.25 executive review, &gt;0.40 Board acceptance.</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Business case s.6 and Appendices A-B - Incident injects and technical evidence</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Exercise evidence (illustrative - validate)</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Phishing with .docm macro; EDR PowerShell alert closed as low severity; remote login from unusual geography with MFA push approved; cloud medical</w:t>
            </w:r>
            <w:r>
              <w:rPr>
                <w:rFonts w:ascii="Arial" w:cs="Arial" w:eastAsia="Arial" w:hAnsi="Arial"/>
                <w:i/>
                <w:iCs/>
                <w:sz w:val="15"/>
                <w:szCs w:val="15"/>
              </w:rPr>
              <w:t xml:space="preserve">image</w:t>
            </w:r>
            <w:r>
              <w:rPr>
                <w:rFonts w:ascii="Arial" w:cs="Arial" w:eastAsia="Arial" w:hAnsi="Arial"/>
                <w:sz w:val="15"/>
                <w:szCs w:val="15"/>
              </w:rPr>
              <w:t xml:space="preserve">export.zip downloaded from unknown IP; ehr-sync-svc service account unusual query volume; clinic backup failures.</w:t>
            </w:r>
          </w:p>
        </w:tc>
      </w:tr>
      <w:tr>
        <w:tc>
          <w:tcPr>
            <w:tcW w:type="dxa" w:w="561"/>
            <w:tcMar>
              <w:top w:type="dxa" w:w="50"/>
              <w:left w:type="dxa" w:w="80"/>
              <w:bottom w:type="dxa" w:w="50"/>
              <w:right w:type="dxa" w:w="80"/>
            </w:tcMar>
          </w:tcPr>
          <w:p>
            <w:r>
              <w:rPr>
                <w:rFonts w:ascii="Arial" w:cs="Arial" w:eastAsia="Arial" w:hAnsi="Arial"/>
                <w:sz w:val="15"/>
                <w:szCs w:val="15"/>
              </w:rPr>
              <w:t xml:space="preserve">E7</w:t>
            </w:r>
          </w:p>
        </w:tc>
        <w:tc>
          <w:tcPr>
            <w:tcW w:type="dxa" w:w="2808"/>
            <w:tcMar>
              <w:top w:type="dxa" w:w="50"/>
              <w:left w:type="dxa" w:w="80"/>
              <w:bottom w:type="dxa" w:w="50"/>
              <w:right w:type="dxa" w:w="80"/>
            </w:tcMar>
          </w:tcPr>
          <w:p>
            <w:r>
              <w:rPr>
                <w:rFonts w:ascii="Arial" w:cs="Arial" w:eastAsia="Arial" w:hAnsi="Arial"/>
                <w:sz w:val="15"/>
                <w:szCs w:val="15"/>
              </w:rPr>
              <w:t xml:space="preserve">Business case s.7 - Audit universe</w:t>
            </w:r>
          </w:p>
        </w:tc>
        <w:tc>
          <w:tcPr>
            <w:tcW w:type="dxa" w:w="1591"/>
            <w:tcMar>
              <w:top w:type="dxa" w:w="50"/>
              <w:left w:type="dxa" w:w="80"/>
              <w:bottom w:type="dxa" w:w="50"/>
              <w:right w:type="dxa" w:w="80"/>
            </w:tcMar>
          </w:tcPr>
          <w:p>
            <w:r>
              <w:rPr>
                <w:rFonts w:ascii="Arial" w:cs="Arial" w:eastAsia="Arial" w:hAnsi="Arial"/>
                <w:sz w:val="15"/>
                <w:szCs w:val="15"/>
              </w:rPr>
              <w:t xml:space="preserve">Documented (case)</w:t>
            </w:r>
          </w:p>
        </w:tc>
        <w:tc>
          <w:tcPr>
            <w:tcW w:type="dxa" w:w="4400"/>
            <w:tcMar>
              <w:top w:type="dxa" w:w="50"/>
              <w:left w:type="dxa" w:w="80"/>
              <w:bottom w:type="dxa" w:w="50"/>
              <w:right w:type="dxa" w:w="80"/>
            </w:tcMar>
          </w:tcPr>
          <w:p>
            <w:r>
              <w:rPr>
                <w:rFonts w:ascii="Arial" w:cs="Arial" w:eastAsia="Arial" w:hAnsi="Arial"/>
                <w:sz w:val="15"/>
                <w:szCs w:val="15"/>
              </w:rPr>
              <w:t xml:space="preserve">Auditable areas incl. EHR access/IAM, cloud/remote access, backup, medical device/IoT, Wi-Fi, patching, IDS/SIEM, privacy, third parties, API keys, awareness, remediation governance.</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E8</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Business case s.9 - Scenario library MED-CYR-01 to 15</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Documented (case)</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Fifteen candidate scenario themes with suggested control families.</w:t>
            </w:r>
          </w:p>
        </w:tc>
      </w:tr>
      <w:tr>
        <w:tc>
          <w:tcPr>
            <w:tcW w:type="dxa" w:w="561"/>
            <w:tcMar>
              <w:top w:type="dxa" w:w="50"/>
              <w:left w:type="dxa" w:w="80"/>
              <w:bottom w:type="dxa" w:w="50"/>
              <w:right w:type="dxa" w:w="80"/>
            </w:tcMar>
          </w:tcPr>
          <w:p>
            <w:r>
              <w:rPr>
                <w:rFonts w:ascii="Arial" w:cs="Arial" w:eastAsia="Arial" w:hAnsi="Arial"/>
                <w:sz w:val="15"/>
                <w:szCs w:val="15"/>
              </w:rPr>
              <w:t xml:space="preserve">E9</w:t>
            </w:r>
          </w:p>
        </w:tc>
        <w:tc>
          <w:tcPr>
            <w:tcW w:type="dxa" w:w="2808"/>
            <w:tcMar>
              <w:top w:type="dxa" w:w="50"/>
              <w:left w:type="dxa" w:w="80"/>
              <w:bottom w:type="dxa" w:w="50"/>
              <w:right w:type="dxa" w:w="80"/>
            </w:tcMar>
          </w:tcPr>
          <w:p>
            <w:r>
              <w:rPr>
                <w:rFonts w:ascii="Arial" w:cs="Arial" w:eastAsia="Arial" w:hAnsi="Arial"/>
                <w:sz w:val="15"/>
                <w:szCs w:val="15"/>
              </w:rPr>
              <w:t xml:space="preserve">Business case Instructor Annex A - Detailed scenarios</w:t>
            </w:r>
          </w:p>
        </w:tc>
        <w:tc>
          <w:tcPr>
            <w:tcW w:type="dxa" w:w="1591"/>
            <w:tcMar>
              <w:top w:type="dxa" w:w="50"/>
              <w:left w:type="dxa" w:w="80"/>
              <w:bottom w:type="dxa" w:w="50"/>
              <w:right w:type="dxa" w:w="80"/>
            </w:tcMar>
          </w:tcPr>
          <w:p>
            <w:r>
              <w:rPr>
                <w:rFonts w:ascii="Arial" w:cs="Arial" w:eastAsia="Arial" w:hAnsi="Arial"/>
                <w:sz w:val="15"/>
                <w:szCs w:val="15"/>
              </w:rPr>
              <w:t xml:space="preserve">Illustrative values (calibration only)</w:t>
            </w:r>
          </w:p>
        </w:tc>
        <w:tc>
          <w:tcPr>
            <w:tcW w:type="dxa" w:w="4400"/>
            <w:tcMar>
              <w:top w:type="dxa" w:w="50"/>
              <w:left w:type="dxa" w:w="80"/>
              <w:bottom w:type="dxa" w:w="50"/>
              <w:right w:type="dxa" w:w="80"/>
            </w:tcMar>
          </w:tcPr>
          <w:p>
            <w:r>
              <w:rPr>
                <w:rFonts w:ascii="Arial" w:cs="Arial" w:eastAsia="Arial" w:hAnsi="Arial"/>
                <w:sz w:val="15"/>
                <w:szCs w:val="15"/>
              </w:rPr>
              <w:t xml:space="preserve">Illustrative probabilities, damages, resilience, CVSS v3.1 and budgets. Used only as a calibration cross-check; not adopted as evidence.</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E10</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Project KB - Cybersecurity Risk Assessment Excel Guide v1.0c</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Methodology</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Authoritative KRI formulas; CVSS v4.0; multiplication factor 1,000 in worked example; reductions must stay within 0-1.</w:t>
            </w:r>
          </w:p>
        </w:tc>
      </w:tr>
      <w:tr>
        <w:tc>
          <w:tcPr>
            <w:tcW w:type="dxa" w:w="561"/>
            <w:tcMar>
              <w:top w:type="dxa" w:w="50"/>
              <w:left w:type="dxa" w:w="80"/>
              <w:bottom w:type="dxa" w:w="50"/>
              <w:right w:type="dxa" w:w="80"/>
            </w:tcMar>
          </w:tcPr>
          <w:p>
            <w:r>
              <w:rPr>
                <w:rFonts w:ascii="Arial" w:cs="Arial" w:eastAsia="Arial" w:hAnsi="Arial"/>
                <w:sz w:val="15"/>
                <w:szCs w:val="15"/>
              </w:rPr>
              <w:t xml:space="preserve">E11</w:t>
            </w:r>
          </w:p>
        </w:tc>
        <w:tc>
          <w:tcPr>
            <w:tcW w:type="dxa" w:w="2808"/>
            <w:tcMar>
              <w:top w:type="dxa" w:w="50"/>
              <w:left w:type="dxa" w:w="80"/>
              <w:bottom w:type="dxa" w:w="50"/>
              <w:right w:type="dxa" w:w="80"/>
            </w:tcMar>
          </w:tcPr>
          <w:p>
            <w:r>
              <w:rPr>
                <w:rFonts w:ascii="Arial" w:cs="Arial" w:eastAsia="Arial" w:hAnsi="Arial"/>
                <w:sz w:val="15"/>
                <w:szCs w:val="15"/>
              </w:rPr>
              <w:t xml:space="preserve">Project KB - Master task specification / Scenario development guide</w:t>
            </w:r>
          </w:p>
        </w:tc>
        <w:tc>
          <w:tcPr>
            <w:tcW w:type="dxa" w:w="1591"/>
            <w:tcMar>
              <w:top w:type="dxa" w:w="50"/>
              <w:left w:type="dxa" w:w="80"/>
              <w:bottom w:type="dxa" w:w="50"/>
              <w:right w:type="dxa" w:w="80"/>
            </w:tcMar>
          </w:tcPr>
          <w:p>
            <w:r>
              <w:rPr>
                <w:rFonts w:ascii="Arial" w:cs="Arial" w:eastAsia="Arial" w:hAnsi="Arial"/>
                <w:sz w:val="15"/>
                <w:szCs w:val="15"/>
              </w:rPr>
              <w:t xml:space="preserve">Methodology</w:t>
            </w:r>
          </w:p>
        </w:tc>
        <w:tc>
          <w:tcPr>
            <w:tcW w:type="dxa" w:w="4400"/>
            <w:tcMar>
              <w:top w:type="dxa" w:w="50"/>
              <w:left w:type="dxa" w:w="80"/>
              <w:bottom w:type="dxa" w:w="50"/>
              <w:right w:type="dxa" w:w="80"/>
            </w:tcMar>
          </w:tcPr>
          <w:p>
            <w:r>
              <w:rPr>
                <w:rFonts w:ascii="Arial" w:cs="Arial" w:eastAsia="Arial" w:hAnsi="Arial"/>
                <w:sz w:val="15"/>
                <w:szCs w:val="15"/>
              </w:rPr>
              <w:t xml:space="preserve">Scenario construction standard, 20-to-10 screening, reporting structure, QC checklist.</w:t>
            </w:r>
          </w:p>
        </w:tc>
      </w:tr>
      <w:tr>
        <w:tc>
          <w:tcPr>
            <w:tcW w:type="dxa" w:w="561"/>
            <w:shd w:fill="F2F2F2" w:color="auto" w:val="clear"/>
            <w:tcMar>
              <w:top w:type="dxa" w:w="50"/>
              <w:left w:type="dxa" w:w="80"/>
              <w:bottom w:type="dxa" w:w="50"/>
              <w:right w:type="dxa" w:w="80"/>
            </w:tcMar>
          </w:tcPr>
          <w:p>
            <w:r>
              <w:rPr>
                <w:rFonts w:ascii="Arial" w:cs="Arial" w:eastAsia="Arial" w:hAnsi="Arial"/>
                <w:sz w:val="15"/>
                <w:szCs w:val="15"/>
              </w:rPr>
              <w:t xml:space="preserve">E12</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FIRST CVSS v4.0 specification (computed with the 'cvss' Python library)</w:t>
            </w:r>
          </w:p>
        </w:tc>
        <w:tc>
          <w:tcPr>
            <w:tcW w:type="dxa" w:w="1591"/>
            <w:shd w:fill="F2F2F2" w:color="auto" w:val="clear"/>
            <w:tcMar>
              <w:top w:type="dxa" w:w="50"/>
              <w:left w:type="dxa" w:w="80"/>
              <w:bottom w:type="dxa" w:w="50"/>
              <w:right w:type="dxa" w:w="80"/>
            </w:tcMar>
          </w:tcPr>
          <w:p>
            <w:r>
              <w:rPr>
                <w:rFonts w:ascii="Arial" w:cs="Arial" w:eastAsia="Arial" w:hAnsi="Arial"/>
                <w:sz w:val="15"/>
                <w:szCs w:val="15"/>
              </w:rPr>
              <w:t xml:space="preserve">External reference</w:t>
            </w:r>
          </w:p>
        </w:tc>
        <w:tc>
          <w:tcPr>
            <w:tcW w:type="dxa" w:w="4400"/>
            <w:shd w:fill="F2F2F2" w:color="auto" w:val="clear"/>
            <w:tcMar>
              <w:top w:type="dxa" w:w="50"/>
              <w:left w:type="dxa" w:w="80"/>
              <w:bottom w:type="dxa" w:w="50"/>
              <w:right w:type="dxa" w:w="80"/>
            </w:tcMar>
          </w:tcPr>
          <w:p>
            <w:r>
              <w:rPr>
                <w:rFonts w:ascii="Arial" w:cs="Arial" w:eastAsia="Arial" w:hAnsi="Arial"/>
                <w:sz w:val="15"/>
                <w:szCs w:val="15"/>
              </w:rPr>
              <w:t xml:space="preserve">Base scores (CVSS-B) computed from the documented vectors.</w:t>
            </w:r>
          </w:p>
        </w:tc>
      </w:tr>
    </w:tbl>
    <w:p>
      <w:pPr>
        <w:spacing w:after="80"/>
      </w:pPr>
    </w:p>
    <w:p>
      <w:pPr>
        <w:spacing w:after="120"/>
      </w:pPr>
      <w:r>
        <w:rPr>
          <w:rFonts w:ascii="Arial" w:cs="Arial" w:eastAsia="Arial" w:hAnsi="Arial"/>
        </w:rPr>
        <w:t xml:space="preserve">Basis tags used in this report: </w:t>
      </w:r>
      <w:r>
        <w:rPr>
          <w:rFonts w:ascii="Arial" w:cs="Arial" w:eastAsia="Arial" w:hAnsi="Arial"/>
          <w:b/>
          <w:bCs/>
        </w:rPr>
        <w:t xml:space="preserve">(E#)</w:t>
      </w:r>
      <w:r>
        <w:rPr>
          <w:rFonts w:ascii="Arial" w:cs="Arial" w:eastAsia="Arial" w:hAnsi="Arial"/>
        </w:rPr>
        <w:t xml:space="preserve"> documented case evidence; </w:t>
      </w:r>
      <w:r>
        <w:rPr>
          <w:rFonts w:ascii="Arial" w:cs="Arial" w:eastAsia="Arial" w:hAnsi="Arial"/>
          <w:b/>
          <w:bCs/>
        </w:rPr>
        <w:t xml:space="preserve">Exercise evidence</w:t>
      </w:r>
      <w:r>
        <w:rPr>
          <w:rFonts w:ascii="Arial" w:cs="Arial" w:eastAsia="Arial" w:hAnsi="Arial"/>
        </w:rPr>
        <w:t xml:space="preserve"> simulated injects - validate; </w:t>
      </w:r>
      <w:r>
        <w:rPr>
          <w:rFonts w:ascii="Arial" w:cs="Arial" w:eastAsia="Arial" w:hAnsi="Arial"/>
          <w:b/>
          <w:bCs/>
        </w:rPr>
        <w:t xml:space="preserve">Analyst assumption</w:t>
      </w:r>
      <w:r>
        <w:rPr>
          <w:rFonts w:ascii="Arial" w:cs="Arial" w:eastAsia="Arial" w:hAnsi="Arial"/>
        </w:rPr>
        <w:t xml:space="preserve"> / </w:t>
      </w:r>
      <w:r>
        <w:rPr>
          <w:rFonts w:ascii="Arial" w:cs="Arial" w:eastAsia="Arial" w:hAnsi="Arial"/>
          <w:b/>
          <w:bCs/>
        </w:rPr>
        <w:t xml:space="preserve">Analyst estimate - validation required</w:t>
      </w:r>
      <w:r>
        <w:rPr>
          <w:rFonts w:ascii="Arial" w:cs="Arial" w:eastAsia="Arial" w:hAnsi="Arial"/>
        </w:rPr>
        <w:t xml:space="preserve">; </w:t>
      </w:r>
      <w:r>
        <w:rPr>
          <w:rFonts w:ascii="Arial" w:cs="Arial" w:eastAsia="Arial" w:hAnsi="Arial"/>
          <w:b/>
          <w:bCs/>
        </w:rPr>
        <w:t xml:space="preserve">Evidence gap - organizational input required</w:t>
      </w:r>
      <w:r>
        <w:rPr>
          <w:rFonts w:ascii="Arial" w:cs="Arial" w:eastAsia="Arial" w:hAnsi="Arial"/>
        </w:rPr>
        <w:t xml:space="preserve">. Instructor Annex A values were used only as a calibration cross-check: the estimates here fall in a comparable range (e.g. resilience 0.30-0.40 vs. 0.38-0.55 in the annex), but were derived independently.</w:t>
      </w:r>
    </w:p>
    <w:p>
      <w:pPr>
        <w:pStyle w:val="Heading1"/>
        <w:pageBreakBefore/>
      </w:pPr>
      <w:r>
        <w:rPr>
          <w:rFonts w:ascii="Arial" w:cs="Arial" w:eastAsia="Arial" w:hAnsi="Arial"/>
        </w:rPr>
        <w:t xml:space="preserve">3. Organizational and technology context</w:t>
      </w:r>
    </w:p>
    <w:p>
      <w:pPr>
        <w:spacing w:after="120"/>
      </w:pPr>
      <w:r>
        <w:rPr>
          <w:rFonts w:ascii="Arial" w:cs="Arial" w:eastAsia="Arial" w:hAnsi="Arial"/>
        </w:rPr>
        <w:t xml:space="preserve">MediBec's mission is to deliver high-quality healthcare supported by modern technology, efficient clinical workflows and secure access to patient information (E1). Its risk is therefore not only data theft: an outage or integrity failure can delay diagnosis, disrupt medication management and cancel appointments across four regions.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3931"/>
        <w:gridCol w:w="3932"/>
      </w:tblGrid>
      <w:tr>
        <w:trPr>
          <w:tblHeader/>
        </w:trPr>
        <w:tc>
          <w:tcPr>
            <w:tcW w:type="dxa" w:w="1497"/>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Area</w:t>
            </w:r>
          </w:p>
        </w:tc>
        <w:tc>
          <w:tcPr>
            <w:tcW w:type="dxa" w:w="393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Documented facts (E1-E4)</w:t>
            </w:r>
          </w:p>
        </w:tc>
        <w:tc>
          <w:tcPr>
            <w:tcW w:type="dxa" w:w="3932"/>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Implication for risk</w:t>
            </w:r>
          </w:p>
        </w:tc>
      </w:tr>
      <w:tr>
        <w:tc>
          <w:tcPr>
            <w:tcW w:type="dxa" w:w="1497"/>
            <w:tcMar>
              <w:top w:type="dxa" w:w="50"/>
              <w:left w:type="dxa" w:w="80"/>
              <w:bottom w:type="dxa" w:w="50"/>
              <w:right w:type="dxa" w:w="80"/>
            </w:tcMar>
          </w:tcPr>
          <w:p>
            <w:r>
              <w:rPr>
                <w:rFonts w:ascii="Arial" w:cs="Arial" w:eastAsia="Arial" w:hAnsi="Arial"/>
                <w:sz w:val="16"/>
                <w:szCs w:val="16"/>
              </w:rPr>
              <w:t xml:space="preserve">Network</w:t>
            </w:r>
          </w:p>
        </w:tc>
        <w:tc>
          <w:tcPr>
            <w:tcW w:type="dxa" w:w="3931"/>
            <w:tcMar>
              <w:top w:type="dxa" w:w="50"/>
              <w:left w:type="dxa" w:w="80"/>
              <w:bottom w:type="dxa" w:w="50"/>
              <w:right w:type="dxa" w:w="80"/>
            </w:tcMar>
          </w:tcPr>
          <w:p>
            <w:r>
              <w:rPr>
                <w:rFonts w:ascii="Arial" w:cs="Arial" w:eastAsia="Arial" w:hAnsi="Arial"/>
                <w:sz w:val="16"/>
                <w:szCs w:val="16"/>
              </w:rPr>
              <w:t xml:space="preserve">Montreal hub, WAN fibre to clinics, firewalls, IDS/IPS, antivirus</w:t>
            </w:r>
          </w:p>
        </w:tc>
        <w:tc>
          <w:tcPr>
            <w:tcW w:type="dxa" w:w="3932"/>
            <w:tcMar>
              <w:top w:type="dxa" w:w="50"/>
              <w:left w:type="dxa" w:w="80"/>
              <w:bottom w:type="dxa" w:w="50"/>
              <w:right w:type="dxa" w:w="80"/>
            </w:tcMar>
          </w:tcPr>
          <w:p>
            <w:r>
              <w:rPr>
                <w:rFonts w:ascii="Arial" w:cs="Arial" w:eastAsia="Arial" w:hAnsi="Arial"/>
                <w:sz w:val="16"/>
                <w:szCs w:val="16"/>
              </w:rPr>
              <w:t xml:space="preserve">Perimeter controls exist; segmentation, east-west monitoring and Wi-Fi security unknown</w:t>
            </w:r>
          </w:p>
        </w:tc>
      </w:tr>
      <w:tr>
        <w:tc>
          <w:tcPr>
            <w:tcW w:type="dxa" w:w="1497"/>
            <w:shd w:fill="F2F2F2" w:color="auto" w:val="clear"/>
            <w:tcMar>
              <w:top w:type="dxa" w:w="50"/>
              <w:left w:type="dxa" w:w="80"/>
              <w:bottom w:type="dxa" w:w="50"/>
              <w:right w:type="dxa" w:w="80"/>
            </w:tcMar>
          </w:tcPr>
          <w:p>
            <w:r>
              <w:rPr>
                <w:rFonts w:ascii="Arial" w:cs="Arial" w:eastAsia="Arial" w:hAnsi="Arial"/>
                <w:sz w:val="16"/>
                <w:szCs w:val="16"/>
              </w:rPr>
              <w:t xml:space="preserve">Data centre and storage</w:t>
            </w:r>
          </w:p>
        </w:tc>
        <w:tc>
          <w:tcPr>
            <w:tcW w:type="dxa" w:w="3931"/>
            <w:shd w:fill="F2F2F2" w:color="auto" w:val="clear"/>
            <w:tcMar>
              <w:top w:type="dxa" w:w="50"/>
              <w:left w:type="dxa" w:w="80"/>
              <w:bottom w:type="dxa" w:w="50"/>
              <w:right w:type="dxa" w:w="80"/>
            </w:tcMar>
          </w:tcPr>
          <w:p>
            <w:r>
              <w:rPr>
                <w:rFonts w:ascii="Arial" w:cs="Arial" w:eastAsia="Arial" w:hAnsi="Arial"/>
                <w:sz w:val="16"/>
                <w:szCs w:val="16"/>
              </w:rPr>
              <w:t xml:space="preserve">Montreal DC, local clinic storage, on-site and off-site backups, encrypted storage</w:t>
            </w:r>
          </w:p>
        </w:tc>
        <w:tc>
          <w:tcPr>
            <w:tcW w:type="dxa" w:w="3932"/>
            <w:shd w:fill="F2F2F2" w:color="auto" w:val="clear"/>
            <w:tcMar>
              <w:top w:type="dxa" w:w="50"/>
              <w:left w:type="dxa" w:w="80"/>
              <w:bottom w:type="dxa" w:w="50"/>
              <w:right w:type="dxa" w:w="80"/>
            </w:tcMar>
          </w:tcPr>
          <w:p>
            <w:r>
              <w:rPr>
                <w:rFonts w:ascii="Arial" w:cs="Arial" w:eastAsia="Arial" w:hAnsi="Arial"/>
                <w:sz w:val="16"/>
                <w:szCs w:val="16"/>
              </w:rPr>
              <w:t xml:space="preserve">Concentration on one hub; backup isolation and restore testing not evidenced</w:t>
            </w:r>
          </w:p>
        </w:tc>
      </w:tr>
      <w:tr>
        <w:tc>
          <w:tcPr>
            <w:tcW w:type="dxa" w:w="1497"/>
            <w:tcMar>
              <w:top w:type="dxa" w:w="50"/>
              <w:left w:type="dxa" w:w="80"/>
              <w:bottom w:type="dxa" w:w="50"/>
              <w:right w:type="dxa" w:w="80"/>
            </w:tcMar>
          </w:tcPr>
          <w:p>
            <w:r>
              <w:rPr>
                <w:rFonts w:ascii="Arial" w:cs="Arial" w:eastAsia="Arial" w:hAnsi="Arial"/>
                <w:sz w:val="16"/>
                <w:szCs w:val="16"/>
              </w:rPr>
              <w:t xml:space="preserve">Cloud and remote access</w:t>
            </w:r>
          </w:p>
        </w:tc>
        <w:tc>
          <w:tcPr>
            <w:tcW w:type="dxa" w:w="3931"/>
            <w:tcMar>
              <w:top w:type="dxa" w:w="50"/>
              <w:left w:type="dxa" w:w="80"/>
              <w:bottom w:type="dxa" w:w="50"/>
              <w:right w:type="dxa" w:w="80"/>
            </w:tcMar>
          </w:tcPr>
          <w:p>
            <w:r>
              <w:rPr>
                <w:rFonts w:ascii="Arial" w:cs="Arial" w:eastAsia="Arial" w:hAnsi="Arial"/>
                <w:sz w:val="16"/>
                <w:szCs w:val="16"/>
              </w:rPr>
              <w:t xml:space="preserve">Cloud-based remote data access for staff and clinicians</w:t>
            </w:r>
          </w:p>
        </w:tc>
        <w:tc>
          <w:tcPr>
            <w:tcW w:type="dxa" w:w="3932"/>
            <w:tcMar>
              <w:top w:type="dxa" w:w="50"/>
              <w:left w:type="dxa" w:w="80"/>
              <w:bottom w:type="dxa" w:w="50"/>
              <w:right w:type="dxa" w:w="80"/>
            </w:tcMar>
          </w:tcPr>
          <w:p>
            <w:r>
              <w:rPr>
                <w:rFonts w:ascii="Arial" w:cs="Arial" w:eastAsia="Arial" w:hAnsi="Arial"/>
                <w:sz w:val="16"/>
                <w:szCs w:val="16"/>
              </w:rPr>
              <w:t xml:space="preserve">Identity is the new perimeter; cloud configuration and logging unknown</w:t>
            </w:r>
          </w:p>
        </w:tc>
      </w:tr>
      <w:tr>
        <w:tc>
          <w:tcPr>
            <w:tcW w:type="dxa" w:w="1497"/>
            <w:shd w:fill="F2F2F2" w:color="auto" w:val="clear"/>
            <w:tcMar>
              <w:top w:type="dxa" w:w="50"/>
              <w:left w:type="dxa" w:w="80"/>
              <w:bottom w:type="dxa" w:w="50"/>
              <w:right w:type="dxa" w:w="80"/>
            </w:tcMar>
          </w:tcPr>
          <w:p>
            <w:r>
              <w:rPr>
                <w:rFonts w:ascii="Arial" w:cs="Arial" w:eastAsia="Arial" w:hAnsi="Arial"/>
                <w:sz w:val="16"/>
                <w:szCs w:val="16"/>
              </w:rPr>
              <w:t xml:space="preserve">Endpoints and devices</w:t>
            </w:r>
          </w:p>
        </w:tc>
        <w:tc>
          <w:tcPr>
            <w:tcW w:type="dxa" w:w="3931"/>
            <w:shd w:fill="F2F2F2" w:color="auto" w:val="clear"/>
            <w:tcMar>
              <w:top w:type="dxa" w:w="50"/>
              <w:left w:type="dxa" w:w="80"/>
              <w:bottom w:type="dxa" w:w="50"/>
              <w:right w:type="dxa" w:w="80"/>
            </w:tcMar>
          </w:tcPr>
          <w:p>
            <w:r>
              <w:rPr>
                <w:rFonts w:ascii="Arial" w:cs="Arial" w:eastAsia="Arial" w:hAnsi="Arial"/>
                <w:sz w:val="16"/>
                <w:szCs w:val="16"/>
              </w:rPr>
              <w:t xml:space="preserve">Workstations, tablets, handhelds, interconnected medical equipment</w:t>
            </w:r>
          </w:p>
        </w:tc>
        <w:tc>
          <w:tcPr>
            <w:tcW w:type="dxa" w:w="3932"/>
            <w:shd w:fill="F2F2F2" w:color="auto" w:val="clear"/>
            <w:tcMar>
              <w:top w:type="dxa" w:w="50"/>
              <w:left w:type="dxa" w:w="80"/>
              <w:bottom w:type="dxa" w:w="50"/>
              <w:right w:type="dxa" w:w="80"/>
            </w:tcMar>
          </w:tcPr>
          <w:p>
            <w:r>
              <w:rPr>
                <w:rFonts w:ascii="Arial" w:cs="Arial" w:eastAsia="Arial" w:hAnsi="Arial"/>
                <w:sz w:val="16"/>
                <w:szCs w:val="16"/>
              </w:rPr>
              <w:t xml:space="preserve">Device inventory and patch status unknown; certification limits patching</w:t>
            </w:r>
          </w:p>
        </w:tc>
      </w:tr>
      <w:tr>
        <w:tc>
          <w:tcPr>
            <w:tcW w:type="dxa" w:w="1497"/>
            <w:tcMar>
              <w:top w:type="dxa" w:w="50"/>
              <w:left w:type="dxa" w:w="80"/>
              <w:bottom w:type="dxa" w:w="50"/>
              <w:right w:type="dxa" w:w="80"/>
            </w:tcMar>
          </w:tcPr>
          <w:p>
            <w:r>
              <w:rPr>
                <w:rFonts w:ascii="Arial" w:cs="Arial" w:eastAsia="Arial" w:hAnsi="Arial"/>
                <w:sz w:val="16"/>
                <w:szCs w:val="16"/>
              </w:rPr>
              <w:t xml:space="preserve">Applications</w:t>
            </w:r>
          </w:p>
        </w:tc>
        <w:tc>
          <w:tcPr>
            <w:tcW w:type="dxa" w:w="3931"/>
            <w:tcMar>
              <w:top w:type="dxa" w:w="50"/>
              <w:left w:type="dxa" w:w="80"/>
              <w:bottom w:type="dxa" w:w="50"/>
              <w:right w:type="dxa" w:w="80"/>
            </w:tcMar>
          </w:tcPr>
          <w:p>
            <w:r>
              <w:rPr>
                <w:rFonts w:ascii="Arial" w:cs="Arial" w:eastAsia="Arial" w:hAnsi="Arial"/>
                <w:sz w:val="16"/>
                <w:szCs w:val="16"/>
              </w:rPr>
              <w:t xml:space="preserve">Integrated EHR, radiology, lab, pharmacy, billing, communications</w:t>
            </w:r>
          </w:p>
        </w:tc>
        <w:tc>
          <w:tcPr>
            <w:tcW w:type="dxa" w:w="3932"/>
            <w:tcMar>
              <w:top w:type="dxa" w:w="50"/>
              <w:left w:type="dxa" w:w="80"/>
              <w:bottom w:type="dxa" w:w="50"/>
              <w:right w:type="dxa" w:w="80"/>
            </w:tcMar>
          </w:tcPr>
          <w:p>
            <w:r>
              <w:rPr>
                <w:rFonts w:ascii="Arial" w:cs="Arial" w:eastAsia="Arial" w:hAnsi="Arial"/>
                <w:sz w:val="16"/>
                <w:szCs w:val="16"/>
              </w:rPr>
              <w:t xml:space="preserve">Highly interdependent; one compromise spreads across clinical workflows</w:t>
            </w:r>
          </w:p>
        </w:tc>
      </w:tr>
      <w:tr>
        <w:tc>
          <w:tcPr>
            <w:tcW w:type="dxa" w:w="1497"/>
            <w:shd w:fill="F2F2F2" w:color="auto" w:val="clear"/>
            <w:tcMar>
              <w:top w:type="dxa" w:w="50"/>
              <w:left w:type="dxa" w:w="80"/>
              <w:bottom w:type="dxa" w:w="50"/>
              <w:right w:type="dxa" w:w="80"/>
            </w:tcMar>
          </w:tcPr>
          <w:p>
            <w:r>
              <w:rPr>
                <w:rFonts w:ascii="Arial" w:cs="Arial" w:eastAsia="Arial" w:hAnsi="Arial"/>
                <w:sz w:val="16"/>
                <w:szCs w:val="16"/>
              </w:rPr>
              <w:t xml:space="preserve">People and budget</w:t>
            </w:r>
          </w:p>
        </w:tc>
        <w:tc>
          <w:tcPr>
            <w:tcW w:type="dxa" w:w="3931"/>
            <w:shd w:fill="F2F2F2" w:color="auto" w:val="clear"/>
            <w:tcMar>
              <w:top w:type="dxa" w:w="50"/>
              <w:left w:type="dxa" w:w="80"/>
              <w:bottom w:type="dxa" w:w="50"/>
              <w:right w:type="dxa" w:w="80"/>
            </w:tcMar>
          </w:tcPr>
          <w:p>
            <w:r>
              <w:rPr>
                <w:rFonts w:ascii="Arial" w:cs="Arial" w:eastAsia="Arial" w:hAnsi="Arial"/>
                <w:sz w:val="16"/>
                <w:szCs w:val="16"/>
              </w:rPr>
              <w:t xml:space="preserve">15 IT staff, 2 cybersecurity; IT budget stated as CAD 100M incl. salaries</w:t>
            </w:r>
          </w:p>
        </w:tc>
        <w:tc>
          <w:tcPr>
            <w:tcW w:type="dxa" w:w="3932"/>
            <w:shd w:fill="F2F2F2" w:color="auto" w:val="clear"/>
            <w:tcMar>
              <w:top w:type="dxa" w:w="50"/>
              <w:left w:type="dxa" w:w="80"/>
              <w:bottom w:type="dxa" w:w="50"/>
              <w:right w:type="dxa" w:w="80"/>
            </w:tcMar>
          </w:tcPr>
          <w:p>
            <w:r>
              <w:rPr>
                <w:rFonts w:ascii="Arial" w:cs="Arial" w:eastAsia="Arial" w:hAnsi="Arial"/>
                <w:sz w:val="16"/>
                <w:szCs w:val="16"/>
              </w:rPr>
              <w:t xml:space="preserve">Capacity is the binding constraint. </w:t>
            </w:r>
            <w:r>
              <w:rPr>
                <w:rFonts w:ascii="Arial" w:cs="Arial" w:eastAsia="Arial" w:hAnsi="Arial"/>
                <w:sz w:val="16"/>
                <w:szCs w:val="16"/>
              </w:rPr>
              <w:t xml:space="preserve">Evidence gap</w:t>
            </w:r>
            <w:r>
              <w:rPr>
                <w:rFonts w:ascii="Arial" w:cs="Arial" w:eastAsia="Arial" w:hAnsi="Arial"/>
                <w:sz w:val="16"/>
                <w:szCs w:val="16"/>
              </w:rPr>
              <w:t xml:space="preserve"> - the stated budget appears high relative to 15 staff; cybersecurity budget share not stated</w:t>
            </w:r>
          </w:p>
        </w:tc>
      </w:tr>
      <w:tr>
        <w:tc>
          <w:tcPr>
            <w:tcW w:type="dxa" w:w="1497"/>
            <w:tcMar>
              <w:top w:type="dxa" w:w="50"/>
              <w:left w:type="dxa" w:w="80"/>
              <w:bottom w:type="dxa" w:w="50"/>
              <w:right w:type="dxa" w:w="80"/>
            </w:tcMar>
          </w:tcPr>
          <w:p>
            <w:r>
              <w:rPr>
                <w:rFonts w:ascii="Arial" w:cs="Arial" w:eastAsia="Arial" w:hAnsi="Arial"/>
                <w:sz w:val="16"/>
                <w:szCs w:val="16"/>
              </w:rPr>
              <w:t xml:space="preserve">Governance</w:t>
            </w:r>
          </w:p>
        </w:tc>
        <w:tc>
          <w:tcPr>
            <w:tcW w:type="dxa" w:w="3931"/>
            <w:tcMar>
              <w:top w:type="dxa" w:w="50"/>
              <w:left w:type="dxa" w:w="80"/>
              <w:bottom w:type="dxa" w:w="50"/>
              <w:right w:type="dxa" w:w="80"/>
            </w:tcMar>
          </w:tcPr>
          <w:p>
            <w:r>
              <w:rPr>
                <w:rFonts w:ascii="Arial" w:cs="Arial" w:eastAsia="Arial" w:hAnsi="Arial"/>
                <w:sz w:val="16"/>
                <w:szCs w:val="16"/>
              </w:rPr>
              <w:t xml:space="preserve">Steering Committee (teaching assumption); Board accepts material residual risk</w:t>
            </w:r>
          </w:p>
        </w:tc>
        <w:tc>
          <w:tcPr>
            <w:tcW w:type="dxa" w:w="3932"/>
            <w:tcMar>
              <w:top w:type="dxa" w:w="50"/>
              <w:left w:type="dxa" w:w="80"/>
              <w:bottom w:type="dxa" w:w="50"/>
              <w:right w:type="dxa" w:w="80"/>
            </w:tcMar>
          </w:tcPr>
          <w:p>
            <w:r>
              <w:rPr>
                <w:rFonts w:ascii="Arial" w:cs="Arial" w:eastAsia="Arial" w:hAnsi="Arial"/>
                <w:sz w:val="16"/>
                <w:szCs w:val="16"/>
              </w:rPr>
              <w:t xml:space="preserve">Structure exists on paper; operation and reporting unproven</w:t>
            </w:r>
          </w:p>
        </w:tc>
      </w:tr>
      <w:tr>
        <w:tc>
          <w:tcPr>
            <w:tcW w:type="dxa" w:w="1497"/>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3931"/>
            <w:shd w:fill="F2F2F2" w:color="auto" w:val="clear"/>
            <w:tcMar>
              <w:top w:type="dxa" w:w="50"/>
              <w:left w:type="dxa" w:w="80"/>
              <w:bottom w:type="dxa" w:w="50"/>
              <w:right w:type="dxa" w:w="80"/>
            </w:tcMar>
          </w:tcPr>
          <w:p>
            <w:r>
              <w:rPr>
                <w:rFonts w:ascii="Arial" w:cs="Arial" w:eastAsia="Arial" w:hAnsi="Arial"/>
                <w:sz w:val="16"/>
                <w:szCs w:val="16"/>
              </w:rPr>
              <w:t xml:space="preserve">Quebec and Canadian privacy expectations, health information confidentiality, professional obligations</w:t>
            </w:r>
          </w:p>
        </w:tc>
        <w:tc>
          <w:tcPr>
            <w:tcW w:type="dxa" w:w="3932"/>
            <w:shd w:fill="F2F2F2" w:color="auto" w:val="clear"/>
            <w:tcMar>
              <w:top w:type="dxa" w:w="50"/>
              <w:left w:type="dxa" w:w="80"/>
              <w:bottom w:type="dxa" w:w="50"/>
              <w:right w:type="dxa" w:w="80"/>
            </w:tcMar>
          </w:tcPr>
          <w:p>
            <w:r>
              <w:rPr>
                <w:rFonts w:ascii="Arial" w:cs="Arial" w:eastAsia="Arial" w:hAnsi="Arial"/>
                <w:sz w:val="16"/>
                <w:szCs w:val="16"/>
              </w:rPr>
              <w:t xml:space="preserve">Confidentiality incidents involving health data are likely to trigger register, assessment and notification duties - </w:t>
            </w:r>
            <w:r>
              <w:rPr>
                <w:rFonts w:ascii="Arial" w:cs="Arial" w:eastAsia="Arial" w:hAnsi="Arial"/>
                <w:sz w:val="16"/>
                <w:szCs w:val="16"/>
              </w:rPr>
              <w:t xml:space="preserve">legal counsel to confirm applicable regime</w:t>
            </w:r>
          </w:p>
        </w:tc>
      </w:tr>
    </w:tbl>
    <w:p>
      <w:pPr>
        <w:pStyle w:val="Heading2"/>
      </w:pPr>
      <w:r>
        <w:rPr>
          <w:rFonts w:ascii="Arial" w:cs="Arial" w:eastAsia="Arial" w:hAnsi="Arial"/>
        </w:rPr>
        <w:t xml:space="preserve">3.1 Crown-jewel assets and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1404"/>
        <w:gridCol w:w="1404"/>
        <w:gridCol w:w="1310"/>
        <w:gridCol w:w="655"/>
        <w:gridCol w:w="655"/>
        <w:gridCol w:w="655"/>
        <w:gridCol w:w="1591"/>
        <w:gridCol w:w="1218"/>
      </w:tblGrid>
      <w:tr>
        <w:trPr>
          <w:tblHeader/>
        </w:trPr>
        <w:tc>
          <w:tcPr>
            <w:tcW w:type="dxa" w:w="46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ID</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Asset / service</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Business purpose</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Owner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C</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A</w:t>
            </w:r>
          </w:p>
        </w:tc>
        <w:tc>
          <w:tcPr>
            <w:tcW w:type="dxa" w:w="1591"/>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Technical dependencies</w:t>
            </w:r>
          </w:p>
        </w:tc>
        <w:tc>
          <w:tcPr>
            <w:tcW w:type="dxa" w:w="121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Third parties</w:t>
            </w:r>
          </w:p>
        </w:tc>
      </w:tr>
      <w:tr>
        <w:tc>
          <w:tcPr>
            <w:tcW w:type="dxa" w:w="468"/>
            <w:tcMar>
              <w:top w:type="dxa" w:w="50"/>
              <w:left w:type="dxa" w:w="80"/>
              <w:bottom w:type="dxa" w:w="50"/>
              <w:right w:type="dxa" w:w="80"/>
            </w:tcMar>
          </w:tcPr>
          <w:p>
            <w:r>
              <w:rPr>
                <w:rFonts w:ascii="Arial" w:cs="Arial" w:eastAsia="Arial" w:hAnsi="Arial"/>
                <w:sz w:val="14"/>
                <w:szCs w:val="14"/>
              </w:rPr>
              <w:t xml:space="preserve">CJ1</w:t>
            </w:r>
          </w:p>
        </w:tc>
        <w:tc>
          <w:tcPr>
            <w:tcW w:type="dxa" w:w="1404"/>
            <w:tcMar>
              <w:top w:type="dxa" w:w="50"/>
              <w:left w:type="dxa" w:w="80"/>
              <w:bottom w:type="dxa" w:w="50"/>
              <w:right w:type="dxa" w:w="80"/>
            </w:tcMar>
          </w:tcPr>
          <w:p>
            <w:r>
              <w:rPr>
                <w:rFonts w:ascii="Arial" w:cs="Arial" w:eastAsia="Arial" w:hAnsi="Arial"/>
                <w:sz w:val="14"/>
                <w:szCs w:val="14"/>
              </w:rPr>
              <w:t xml:space="preserve">Integrated EHR and clinical record data</w:t>
            </w:r>
          </w:p>
        </w:tc>
        <w:tc>
          <w:tcPr>
            <w:tcW w:type="dxa" w:w="1404"/>
            <w:tcMar>
              <w:top w:type="dxa" w:w="50"/>
              <w:left w:type="dxa" w:w="80"/>
              <w:bottom w:type="dxa" w:w="50"/>
              <w:right w:type="dxa" w:w="80"/>
            </w:tcMar>
          </w:tcPr>
          <w:p>
            <w:r>
              <w:rPr>
                <w:rFonts w:ascii="Arial" w:cs="Arial" w:eastAsia="Arial" w:hAnsi="Arial"/>
                <w:sz w:val="14"/>
                <w:szCs w:val="14"/>
              </w:rPr>
              <w:t xml:space="preserve">Clinical documentation, decision support, continuity of care across 10 clinics</w:t>
            </w:r>
          </w:p>
        </w:tc>
        <w:tc>
          <w:tcPr>
            <w:tcW w:type="dxa" w:w="1310"/>
            <w:tcMar>
              <w:top w:type="dxa" w:w="50"/>
              <w:left w:type="dxa" w:w="80"/>
              <w:bottom w:type="dxa" w:w="50"/>
              <w:right w:type="dxa" w:w="80"/>
            </w:tcMar>
          </w:tcPr>
          <w:p>
            <w:r>
              <w:rPr>
                <w:rFonts w:ascii="Arial" w:cs="Arial" w:eastAsia="Arial" w:hAnsi="Arial"/>
                <w:sz w:val="14"/>
                <w:szCs w:val="14"/>
              </w:rPr>
              <w:t xml:space="preserve">Chief Medical Officer / Clinical Ops (business); CIO (technical)</w:t>
            </w:r>
          </w:p>
        </w:tc>
        <w:tc>
          <w:tcPr>
            <w:tcW w:type="dxa" w:w="655"/>
            <w:tcMar>
              <w:top w:type="dxa" w:w="50"/>
              <w:left w:type="dxa" w:w="80"/>
              <w:bottom w:type="dxa" w:w="50"/>
              <w:right w:type="dxa" w:w="80"/>
            </w:tcMar>
          </w:tcPr>
          <w:p>
            <w:r>
              <w:rPr>
                <w:rFonts w:ascii="Arial" w:cs="Arial" w:eastAsia="Arial" w:hAnsi="Arial"/>
                <w:sz w:val="14"/>
                <w:szCs w:val="14"/>
              </w:rPr>
              <w:t xml:space="preserve">Very high</w:t>
            </w:r>
          </w:p>
        </w:tc>
        <w:tc>
          <w:tcPr>
            <w:tcW w:type="dxa" w:w="655"/>
            <w:tcMar>
              <w:top w:type="dxa" w:w="50"/>
              <w:left w:type="dxa" w:w="80"/>
              <w:bottom w:type="dxa" w:w="50"/>
              <w:right w:type="dxa" w:w="80"/>
            </w:tcMar>
          </w:tcPr>
          <w:p>
            <w:r>
              <w:rPr>
                <w:rFonts w:ascii="Arial" w:cs="Arial" w:eastAsia="Arial" w:hAnsi="Arial"/>
                <w:sz w:val="14"/>
                <w:szCs w:val="14"/>
              </w:rPr>
              <w:t xml:space="preserve">Very high</w:t>
            </w:r>
          </w:p>
        </w:tc>
        <w:tc>
          <w:tcPr>
            <w:tcW w:type="dxa" w:w="655"/>
            <w:tcMar>
              <w:top w:type="dxa" w:w="50"/>
              <w:left w:type="dxa" w:w="80"/>
              <w:bottom w:type="dxa" w:w="50"/>
              <w:right w:type="dxa" w:w="80"/>
            </w:tcMar>
          </w:tcPr>
          <w:p>
            <w:r>
              <w:rPr>
                <w:rFonts w:ascii="Arial" w:cs="Arial" w:eastAsia="Arial" w:hAnsi="Arial"/>
                <w:sz w:val="14"/>
                <w:szCs w:val="14"/>
              </w:rPr>
              <w:t xml:space="preserve">High</w:t>
            </w:r>
          </w:p>
        </w:tc>
        <w:tc>
          <w:tcPr>
            <w:tcW w:type="dxa" w:w="1591"/>
            <w:tcMar>
              <w:top w:type="dxa" w:w="50"/>
              <w:left w:type="dxa" w:w="80"/>
              <w:bottom w:type="dxa" w:w="50"/>
              <w:right w:type="dxa" w:w="80"/>
            </w:tcMar>
          </w:tcPr>
          <w:p>
            <w:r>
              <w:rPr>
                <w:rFonts w:ascii="Arial" w:cs="Arial" w:eastAsia="Arial" w:hAnsi="Arial"/>
                <w:sz w:val="14"/>
                <w:szCs w:val="14"/>
              </w:rPr>
              <w:t xml:space="preserve">Identity/directory, Montreal DC, WAN, EHR database, ehr-sync-svc integration</w:t>
            </w:r>
          </w:p>
        </w:tc>
        <w:tc>
          <w:tcPr>
            <w:tcW w:type="dxa" w:w="1218"/>
            <w:tcMar>
              <w:top w:type="dxa" w:w="50"/>
              <w:left w:type="dxa" w:w="80"/>
              <w:bottom w:type="dxa" w:w="50"/>
              <w:right w:type="dxa" w:w="80"/>
            </w:tcMar>
          </w:tcPr>
          <w:p>
            <w:r>
              <w:rPr>
                <w:rFonts w:ascii="Arial" w:cs="Arial" w:eastAsia="Arial" w:hAnsi="Arial"/>
                <w:sz w:val="14"/>
                <w:szCs w:val="14"/>
              </w:rPr>
              <w:t xml:space="preserve">EHR vendor (identity not stated)</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CJ2</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Diagnostic systems - radiology imaging, laboratory, pharmacy</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Diagnosis, results, medication management</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Clinical Ops; department heads</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Very 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1591"/>
            <w:shd w:fill="F2F2F2" w:color="auto" w:val="clear"/>
            <w:tcMar>
              <w:top w:type="dxa" w:w="50"/>
              <w:left w:type="dxa" w:w="80"/>
              <w:bottom w:type="dxa" w:w="50"/>
              <w:right w:type="dxa" w:w="80"/>
            </w:tcMar>
          </w:tcPr>
          <w:p>
            <w:r>
              <w:rPr>
                <w:rFonts w:ascii="Arial" w:cs="Arial" w:eastAsia="Arial" w:hAnsi="Arial"/>
                <w:sz w:val="14"/>
                <w:szCs w:val="14"/>
              </w:rPr>
              <w:t xml:space="preserve">EHR interfaces, cloud image transfer, medical equipment</w:t>
            </w:r>
          </w:p>
        </w:tc>
        <w:tc>
          <w:tcPr>
            <w:tcW w:type="dxa" w:w="1218"/>
            <w:shd w:fill="F2F2F2" w:color="auto" w:val="clear"/>
            <w:tcMar>
              <w:top w:type="dxa" w:w="50"/>
              <w:left w:type="dxa" w:w="80"/>
              <w:bottom w:type="dxa" w:w="50"/>
              <w:right w:type="dxa" w:w="80"/>
            </w:tcMar>
          </w:tcPr>
          <w:p>
            <w:r>
              <w:rPr>
                <w:rFonts w:ascii="Arial" w:cs="Arial" w:eastAsia="Arial" w:hAnsi="Arial"/>
                <w:sz w:val="14"/>
                <w:szCs w:val="14"/>
              </w:rPr>
              <w:t xml:space="preserve">Imaging, lab and pharmacy system vendors</w:t>
            </w:r>
          </w:p>
        </w:tc>
      </w:tr>
      <w:tr>
        <w:tc>
          <w:tcPr>
            <w:tcW w:type="dxa" w:w="468"/>
            <w:tcMar>
              <w:top w:type="dxa" w:w="50"/>
              <w:left w:type="dxa" w:w="80"/>
              <w:bottom w:type="dxa" w:w="50"/>
              <w:right w:type="dxa" w:w="80"/>
            </w:tcMar>
          </w:tcPr>
          <w:p>
            <w:r>
              <w:rPr>
                <w:rFonts w:ascii="Arial" w:cs="Arial" w:eastAsia="Arial" w:hAnsi="Arial"/>
                <w:sz w:val="14"/>
                <w:szCs w:val="14"/>
              </w:rPr>
              <w:t xml:space="preserve">CJ3</w:t>
            </w:r>
          </w:p>
        </w:tc>
        <w:tc>
          <w:tcPr>
            <w:tcW w:type="dxa" w:w="1404"/>
            <w:tcMar>
              <w:top w:type="dxa" w:w="50"/>
              <w:left w:type="dxa" w:w="80"/>
              <w:bottom w:type="dxa" w:w="50"/>
              <w:right w:type="dxa" w:w="80"/>
            </w:tcMar>
          </w:tcPr>
          <w:p>
            <w:r>
              <w:rPr>
                <w:rFonts w:ascii="Arial" w:cs="Arial" w:eastAsia="Arial" w:hAnsi="Arial"/>
                <w:sz w:val="14"/>
                <w:szCs w:val="14"/>
              </w:rPr>
              <w:t xml:space="preserve">Scheduling, appointments and patient online services</w:t>
            </w:r>
          </w:p>
        </w:tc>
        <w:tc>
          <w:tcPr>
            <w:tcW w:type="dxa" w:w="1404"/>
            <w:tcMar>
              <w:top w:type="dxa" w:w="50"/>
              <w:left w:type="dxa" w:w="80"/>
              <w:bottom w:type="dxa" w:w="50"/>
              <w:right w:type="dxa" w:w="80"/>
            </w:tcMar>
          </w:tcPr>
          <w:p>
            <w:r>
              <w:rPr>
                <w:rFonts w:ascii="Arial" w:cs="Arial" w:eastAsia="Arial" w:hAnsi="Arial"/>
                <w:sz w:val="14"/>
                <w:szCs w:val="14"/>
              </w:rPr>
              <w:t xml:space="preserve">Patient access, clinic throughput</w:t>
            </w:r>
          </w:p>
        </w:tc>
        <w:tc>
          <w:tcPr>
            <w:tcW w:type="dxa" w:w="1310"/>
            <w:tcMar>
              <w:top w:type="dxa" w:w="50"/>
              <w:left w:type="dxa" w:w="80"/>
              <w:bottom w:type="dxa" w:w="50"/>
              <w:right w:type="dxa" w:w="80"/>
            </w:tcMar>
          </w:tcPr>
          <w:p>
            <w:r>
              <w:rPr>
                <w:rFonts w:ascii="Arial" w:cs="Arial" w:eastAsia="Arial" w:hAnsi="Arial"/>
                <w:sz w:val="14"/>
                <w:szCs w:val="14"/>
              </w:rPr>
              <w:t xml:space="preserve">Clinic managers; COO-equivalent</w:t>
            </w:r>
          </w:p>
        </w:tc>
        <w:tc>
          <w:tcPr>
            <w:tcW w:type="dxa" w:w="655"/>
            <w:tcMar>
              <w:top w:type="dxa" w:w="50"/>
              <w:left w:type="dxa" w:w="80"/>
              <w:bottom w:type="dxa" w:w="50"/>
              <w:right w:type="dxa" w:w="80"/>
            </w:tcMar>
          </w:tcPr>
          <w:p>
            <w:r>
              <w:rPr>
                <w:rFonts w:ascii="Arial" w:cs="Arial" w:eastAsia="Arial" w:hAnsi="Arial"/>
                <w:sz w:val="14"/>
                <w:szCs w:val="14"/>
              </w:rPr>
              <w:t xml:space="preserve">Medium</w:t>
            </w:r>
          </w:p>
        </w:tc>
        <w:tc>
          <w:tcPr>
            <w:tcW w:type="dxa" w:w="655"/>
            <w:tcMar>
              <w:top w:type="dxa" w:w="50"/>
              <w:left w:type="dxa" w:w="80"/>
              <w:bottom w:type="dxa" w:w="50"/>
              <w:right w:type="dxa" w:w="80"/>
            </w:tcMar>
          </w:tcPr>
          <w:p>
            <w:r>
              <w:rPr>
                <w:rFonts w:ascii="Arial" w:cs="Arial" w:eastAsia="Arial" w:hAnsi="Arial"/>
                <w:sz w:val="14"/>
                <w:szCs w:val="14"/>
              </w:rPr>
              <w:t xml:space="preserve">High</w:t>
            </w:r>
          </w:p>
        </w:tc>
        <w:tc>
          <w:tcPr>
            <w:tcW w:type="dxa" w:w="655"/>
            <w:tcMar>
              <w:top w:type="dxa" w:w="50"/>
              <w:left w:type="dxa" w:w="80"/>
              <w:bottom w:type="dxa" w:w="50"/>
              <w:right w:type="dxa" w:w="80"/>
            </w:tcMar>
          </w:tcPr>
          <w:p>
            <w:r>
              <w:rPr>
                <w:rFonts w:ascii="Arial" w:cs="Arial" w:eastAsia="Arial" w:hAnsi="Arial"/>
                <w:sz w:val="14"/>
                <w:szCs w:val="14"/>
              </w:rPr>
              <w:t xml:space="preserve">High</w:t>
            </w:r>
          </w:p>
        </w:tc>
        <w:tc>
          <w:tcPr>
            <w:tcW w:type="dxa" w:w="1591"/>
            <w:tcMar>
              <w:top w:type="dxa" w:w="50"/>
              <w:left w:type="dxa" w:w="80"/>
              <w:bottom w:type="dxa" w:w="50"/>
              <w:right w:type="dxa" w:w="80"/>
            </w:tcMar>
          </w:tcPr>
          <w:p>
            <w:r>
              <w:rPr>
                <w:rFonts w:ascii="Arial" w:cs="Arial" w:eastAsia="Arial" w:hAnsi="Arial"/>
                <w:sz w:val="14"/>
                <w:szCs w:val="14"/>
              </w:rPr>
              <w:t xml:space="preserve">Web front end, EHR, communications</w:t>
            </w:r>
          </w:p>
        </w:tc>
        <w:tc>
          <w:tcPr>
            <w:tcW w:type="dxa" w:w="1218"/>
            <w:tcMar>
              <w:top w:type="dxa" w:w="50"/>
              <w:left w:type="dxa" w:w="80"/>
              <w:bottom w:type="dxa" w:w="50"/>
              <w:right w:type="dxa" w:w="80"/>
            </w:tcMar>
          </w:tcPr>
          <w:p>
            <w:r>
              <w:rPr>
                <w:rFonts w:ascii="Arial" w:cs="Arial" w:eastAsia="Arial" w:hAnsi="Arial"/>
                <w:sz w:val="14"/>
                <w:szCs w:val="14"/>
              </w:rPr>
              <w:t xml:space="preserve">Hosting / online service providers</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CJ4</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Billing and administrative systems</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Revenue cycle, payer claims</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Finance lead</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Medium</w:t>
            </w:r>
          </w:p>
        </w:tc>
        <w:tc>
          <w:tcPr>
            <w:tcW w:type="dxa" w:w="1591"/>
            <w:shd w:fill="F2F2F2" w:color="auto" w:val="clear"/>
            <w:tcMar>
              <w:top w:type="dxa" w:w="50"/>
              <w:left w:type="dxa" w:w="80"/>
              <w:bottom w:type="dxa" w:w="50"/>
              <w:right w:type="dxa" w:w="80"/>
            </w:tcMar>
          </w:tcPr>
          <w:p>
            <w:r>
              <w:rPr>
                <w:rFonts w:ascii="Arial" w:cs="Arial" w:eastAsia="Arial" w:hAnsi="Arial"/>
                <w:sz w:val="14"/>
                <w:szCs w:val="14"/>
              </w:rPr>
              <w:t xml:space="preserve">Directory, database, email</w:t>
            </w:r>
          </w:p>
        </w:tc>
        <w:tc>
          <w:tcPr>
            <w:tcW w:type="dxa" w:w="1218"/>
            <w:shd w:fill="F2F2F2" w:color="auto" w:val="clear"/>
            <w:tcMar>
              <w:top w:type="dxa" w:w="50"/>
              <w:left w:type="dxa" w:w="80"/>
              <w:bottom w:type="dxa" w:w="50"/>
              <w:right w:type="dxa" w:w="80"/>
            </w:tcMar>
          </w:tcPr>
          <w:p>
            <w:r>
              <w:rPr>
                <w:rFonts w:ascii="Arial" w:cs="Arial" w:eastAsia="Arial" w:hAnsi="Arial"/>
                <w:sz w:val="14"/>
                <w:szCs w:val="14"/>
              </w:rPr>
              <w:t xml:space="preserve">Billing software vendor</w:t>
            </w:r>
          </w:p>
        </w:tc>
      </w:tr>
      <w:tr>
        <w:tc>
          <w:tcPr>
            <w:tcW w:type="dxa" w:w="468"/>
            <w:tcMar>
              <w:top w:type="dxa" w:w="50"/>
              <w:left w:type="dxa" w:w="80"/>
              <w:bottom w:type="dxa" w:w="50"/>
              <w:right w:type="dxa" w:w="80"/>
            </w:tcMar>
          </w:tcPr>
          <w:p>
            <w:r>
              <w:rPr>
                <w:rFonts w:ascii="Arial" w:cs="Arial" w:eastAsia="Arial" w:hAnsi="Arial"/>
                <w:sz w:val="14"/>
                <w:szCs w:val="14"/>
              </w:rPr>
              <w:t xml:space="preserve">CJ5</w:t>
            </w:r>
          </w:p>
        </w:tc>
        <w:tc>
          <w:tcPr>
            <w:tcW w:type="dxa" w:w="1404"/>
            <w:tcMar>
              <w:top w:type="dxa" w:w="50"/>
              <w:left w:type="dxa" w:w="80"/>
              <w:bottom w:type="dxa" w:w="50"/>
              <w:right w:type="dxa" w:w="80"/>
            </w:tcMar>
          </w:tcPr>
          <w:p>
            <w:r>
              <w:rPr>
                <w:rFonts w:ascii="Arial" w:cs="Arial" w:eastAsia="Arial" w:hAnsi="Arial"/>
                <w:sz w:val="14"/>
                <w:szCs w:val="14"/>
              </w:rPr>
              <w:t xml:space="preserve">Identity, remote access and cloud access</w:t>
            </w:r>
          </w:p>
        </w:tc>
        <w:tc>
          <w:tcPr>
            <w:tcW w:type="dxa" w:w="1404"/>
            <w:tcMar>
              <w:top w:type="dxa" w:w="50"/>
              <w:left w:type="dxa" w:w="80"/>
              <w:bottom w:type="dxa" w:w="50"/>
              <w:right w:type="dxa" w:w="80"/>
            </w:tcMar>
          </w:tcPr>
          <w:p>
            <w:r>
              <w:rPr>
                <w:rFonts w:ascii="Arial" w:cs="Arial" w:eastAsia="Arial" w:hAnsi="Arial"/>
                <w:sz w:val="14"/>
                <w:szCs w:val="14"/>
              </w:rPr>
              <w:t xml:space="preserve">Enables every clinical and administrative service</w:t>
            </w:r>
          </w:p>
        </w:tc>
        <w:tc>
          <w:tcPr>
            <w:tcW w:type="dxa" w:w="1310"/>
            <w:tcMar>
              <w:top w:type="dxa" w:w="50"/>
              <w:left w:type="dxa" w:w="80"/>
              <w:bottom w:type="dxa" w:w="50"/>
              <w:right w:type="dxa" w:w="80"/>
            </w:tcMar>
          </w:tcPr>
          <w:p>
            <w:r>
              <w:rPr>
                <w:rFonts w:ascii="Arial" w:cs="Arial" w:eastAsia="Arial" w:hAnsi="Arial"/>
                <w:sz w:val="14"/>
                <w:szCs w:val="14"/>
              </w:rPr>
              <w:t xml:space="preserve">CIO / Cybersecurity lead</w:t>
            </w:r>
          </w:p>
        </w:tc>
        <w:tc>
          <w:tcPr>
            <w:tcW w:type="dxa" w:w="655"/>
            <w:tcMar>
              <w:top w:type="dxa" w:w="50"/>
              <w:left w:type="dxa" w:w="80"/>
              <w:bottom w:type="dxa" w:w="50"/>
              <w:right w:type="dxa" w:w="80"/>
            </w:tcMar>
          </w:tcPr>
          <w:p>
            <w:r>
              <w:rPr>
                <w:rFonts w:ascii="Arial" w:cs="Arial" w:eastAsia="Arial" w:hAnsi="Arial"/>
                <w:sz w:val="14"/>
                <w:szCs w:val="14"/>
              </w:rPr>
              <w:t xml:space="preserve">High</w:t>
            </w:r>
          </w:p>
        </w:tc>
        <w:tc>
          <w:tcPr>
            <w:tcW w:type="dxa" w:w="655"/>
            <w:tcMar>
              <w:top w:type="dxa" w:w="50"/>
              <w:left w:type="dxa" w:w="80"/>
              <w:bottom w:type="dxa" w:w="50"/>
              <w:right w:type="dxa" w:w="80"/>
            </w:tcMar>
          </w:tcPr>
          <w:p>
            <w:r>
              <w:rPr>
                <w:rFonts w:ascii="Arial" w:cs="Arial" w:eastAsia="Arial" w:hAnsi="Arial"/>
                <w:sz w:val="14"/>
                <w:szCs w:val="14"/>
              </w:rPr>
              <w:t xml:space="preserve">Very high</w:t>
            </w:r>
          </w:p>
        </w:tc>
        <w:tc>
          <w:tcPr>
            <w:tcW w:type="dxa" w:w="655"/>
            <w:tcMar>
              <w:top w:type="dxa" w:w="50"/>
              <w:left w:type="dxa" w:w="80"/>
              <w:bottom w:type="dxa" w:w="50"/>
              <w:right w:type="dxa" w:w="80"/>
            </w:tcMar>
          </w:tcPr>
          <w:p>
            <w:r>
              <w:rPr>
                <w:rFonts w:ascii="Arial" w:cs="Arial" w:eastAsia="Arial" w:hAnsi="Arial"/>
                <w:sz w:val="14"/>
                <w:szCs w:val="14"/>
              </w:rPr>
              <w:t xml:space="preserve">Very high</w:t>
            </w:r>
          </w:p>
        </w:tc>
        <w:tc>
          <w:tcPr>
            <w:tcW w:type="dxa" w:w="1591"/>
            <w:tcMar>
              <w:top w:type="dxa" w:w="50"/>
              <w:left w:type="dxa" w:w="80"/>
              <w:bottom w:type="dxa" w:w="50"/>
              <w:right w:type="dxa" w:w="80"/>
            </w:tcMar>
          </w:tcPr>
          <w:p>
            <w:r>
              <w:rPr>
                <w:rFonts w:ascii="Arial" w:cs="Arial" w:eastAsia="Arial" w:hAnsi="Arial"/>
                <w:sz w:val="14"/>
                <w:szCs w:val="14"/>
              </w:rPr>
              <w:t xml:space="preserve">Directory, MFA (push), remote access gateway, cloud IdP</w:t>
            </w:r>
          </w:p>
        </w:tc>
        <w:tc>
          <w:tcPr>
            <w:tcW w:type="dxa" w:w="1218"/>
            <w:tcMar>
              <w:top w:type="dxa" w:w="50"/>
              <w:left w:type="dxa" w:w="80"/>
              <w:bottom w:type="dxa" w:w="50"/>
              <w:right w:type="dxa" w:w="80"/>
            </w:tcMar>
          </w:tcPr>
          <w:p>
            <w:r>
              <w:rPr>
                <w:rFonts w:ascii="Arial" w:cs="Arial" w:eastAsia="Arial" w:hAnsi="Arial"/>
                <w:sz w:val="14"/>
                <w:szCs w:val="14"/>
              </w:rPr>
              <w:t xml:space="preserve">Cloud / MFA providers</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CJ6</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Montreal data centre, WAN and backup environment</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Hosting, connectivity, recoverability</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CIO (Infrastructure)</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Very high</w:t>
            </w:r>
          </w:p>
        </w:tc>
        <w:tc>
          <w:tcPr>
            <w:tcW w:type="dxa" w:w="1591"/>
            <w:shd w:fill="F2F2F2" w:color="auto" w:val="clear"/>
            <w:tcMar>
              <w:top w:type="dxa" w:w="50"/>
              <w:left w:type="dxa" w:w="80"/>
              <w:bottom w:type="dxa" w:w="50"/>
              <w:right w:type="dxa" w:w="80"/>
            </w:tcMar>
          </w:tcPr>
          <w:p>
            <w:r>
              <w:rPr>
                <w:rFonts w:ascii="Arial" w:cs="Arial" w:eastAsia="Arial" w:hAnsi="Arial"/>
                <w:sz w:val="14"/>
                <w:szCs w:val="14"/>
              </w:rPr>
              <w:t xml:space="preserve">Power, WAN links, backup servers, off-site copies, local clinic storage</w:t>
            </w:r>
          </w:p>
        </w:tc>
        <w:tc>
          <w:tcPr>
            <w:tcW w:type="dxa" w:w="1218"/>
            <w:shd w:fill="F2F2F2" w:color="auto" w:val="clear"/>
            <w:tcMar>
              <w:top w:type="dxa" w:w="50"/>
              <w:left w:type="dxa" w:w="80"/>
              <w:bottom w:type="dxa" w:w="50"/>
              <w:right w:type="dxa" w:w="80"/>
            </w:tcMar>
          </w:tcPr>
          <w:p>
            <w:r>
              <w:rPr>
                <w:rFonts w:ascii="Arial" w:cs="Arial" w:eastAsia="Arial" w:hAnsi="Arial"/>
                <w:sz w:val="14"/>
                <w:szCs w:val="14"/>
              </w:rPr>
              <w:t xml:space="preserve">Telecom carriers, off-site backup provider</w:t>
            </w:r>
          </w:p>
        </w:tc>
      </w:tr>
      <w:tr>
        <w:tc>
          <w:tcPr>
            <w:tcW w:type="dxa" w:w="468"/>
            <w:tcMar>
              <w:top w:type="dxa" w:w="50"/>
              <w:left w:type="dxa" w:w="80"/>
              <w:bottom w:type="dxa" w:w="50"/>
              <w:right w:type="dxa" w:w="80"/>
            </w:tcMar>
          </w:tcPr>
          <w:p>
            <w:r>
              <w:rPr>
                <w:rFonts w:ascii="Arial" w:cs="Arial" w:eastAsia="Arial" w:hAnsi="Arial"/>
                <w:sz w:val="14"/>
                <w:szCs w:val="14"/>
              </w:rPr>
              <w:t xml:space="preserve">CJ7</w:t>
            </w:r>
          </w:p>
        </w:tc>
        <w:tc>
          <w:tcPr>
            <w:tcW w:type="dxa" w:w="1404"/>
            <w:tcMar>
              <w:top w:type="dxa" w:w="50"/>
              <w:left w:type="dxa" w:w="80"/>
              <w:bottom w:type="dxa" w:w="50"/>
              <w:right w:type="dxa" w:w="80"/>
            </w:tcMar>
          </w:tcPr>
          <w:p>
            <w:r>
              <w:rPr>
                <w:rFonts w:ascii="Arial" w:cs="Arial" w:eastAsia="Arial" w:hAnsi="Arial"/>
                <w:sz w:val="14"/>
                <w:szCs w:val="14"/>
              </w:rPr>
              <w:t xml:space="preserve">Cloud storage for medical-image transfer and exports</w:t>
            </w:r>
          </w:p>
        </w:tc>
        <w:tc>
          <w:tcPr>
            <w:tcW w:type="dxa" w:w="1404"/>
            <w:tcMar>
              <w:top w:type="dxa" w:w="50"/>
              <w:left w:type="dxa" w:w="80"/>
              <w:bottom w:type="dxa" w:w="50"/>
              <w:right w:type="dxa" w:w="80"/>
            </w:tcMar>
          </w:tcPr>
          <w:p>
            <w:r>
              <w:rPr>
                <w:rFonts w:ascii="Arial" w:cs="Arial" w:eastAsia="Arial" w:hAnsi="Arial"/>
                <w:sz w:val="14"/>
                <w:szCs w:val="14"/>
              </w:rPr>
              <w:t xml:space="preserve">Sharing images and exports with clinicians/partners</w:t>
            </w:r>
          </w:p>
        </w:tc>
        <w:tc>
          <w:tcPr>
            <w:tcW w:type="dxa" w:w="1310"/>
            <w:tcMar>
              <w:top w:type="dxa" w:w="50"/>
              <w:left w:type="dxa" w:w="80"/>
              <w:bottom w:type="dxa" w:w="50"/>
              <w:right w:type="dxa" w:w="80"/>
            </w:tcMar>
          </w:tcPr>
          <w:p>
            <w:r>
              <w:rPr>
                <w:rFonts w:ascii="Arial" w:cs="Arial" w:eastAsia="Arial" w:hAnsi="Arial"/>
                <w:sz w:val="14"/>
                <w:szCs w:val="14"/>
              </w:rPr>
              <w:t xml:space="preserve">Radiology lead; CIO</w:t>
            </w:r>
          </w:p>
        </w:tc>
        <w:tc>
          <w:tcPr>
            <w:tcW w:type="dxa" w:w="655"/>
            <w:tcMar>
              <w:top w:type="dxa" w:w="50"/>
              <w:left w:type="dxa" w:w="80"/>
              <w:bottom w:type="dxa" w:w="50"/>
              <w:right w:type="dxa" w:w="80"/>
            </w:tcMar>
          </w:tcPr>
          <w:p>
            <w:r>
              <w:rPr>
                <w:rFonts w:ascii="Arial" w:cs="Arial" w:eastAsia="Arial" w:hAnsi="Arial"/>
                <w:sz w:val="14"/>
                <w:szCs w:val="14"/>
              </w:rPr>
              <w:t xml:space="preserve">Very high</w:t>
            </w:r>
          </w:p>
        </w:tc>
        <w:tc>
          <w:tcPr>
            <w:tcW w:type="dxa" w:w="655"/>
            <w:tcMar>
              <w:top w:type="dxa" w:w="50"/>
              <w:left w:type="dxa" w:w="80"/>
              <w:bottom w:type="dxa" w:w="50"/>
              <w:right w:type="dxa" w:w="80"/>
            </w:tcMar>
          </w:tcPr>
          <w:p>
            <w:r>
              <w:rPr>
                <w:rFonts w:ascii="Arial" w:cs="Arial" w:eastAsia="Arial" w:hAnsi="Arial"/>
                <w:sz w:val="14"/>
                <w:szCs w:val="14"/>
              </w:rPr>
              <w:t xml:space="preserve">High</w:t>
            </w:r>
          </w:p>
        </w:tc>
        <w:tc>
          <w:tcPr>
            <w:tcW w:type="dxa" w:w="655"/>
            <w:tcMar>
              <w:top w:type="dxa" w:w="50"/>
              <w:left w:type="dxa" w:w="80"/>
              <w:bottom w:type="dxa" w:w="50"/>
              <w:right w:type="dxa" w:w="80"/>
            </w:tcMar>
          </w:tcPr>
          <w:p>
            <w:r>
              <w:rPr>
                <w:rFonts w:ascii="Arial" w:cs="Arial" w:eastAsia="Arial" w:hAnsi="Arial"/>
                <w:sz w:val="14"/>
                <w:szCs w:val="14"/>
              </w:rPr>
              <w:t xml:space="preserve">Medium</w:t>
            </w:r>
          </w:p>
        </w:tc>
        <w:tc>
          <w:tcPr>
            <w:tcW w:type="dxa" w:w="1591"/>
            <w:tcMar>
              <w:top w:type="dxa" w:w="50"/>
              <w:left w:type="dxa" w:w="80"/>
              <w:bottom w:type="dxa" w:w="50"/>
              <w:right w:type="dxa" w:w="80"/>
            </w:tcMar>
          </w:tcPr>
          <w:p>
            <w:r>
              <w:rPr>
                <w:rFonts w:ascii="Arial" w:cs="Arial" w:eastAsia="Arial" w:hAnsi="Arial"/>
                <w:sz w:val="14"/>
                <w:szCs w:val="14"/>
              </w:rPr>
              <w:t xml:space="preserve">Cloud tenant, IAM, sharing links</w:t>
            </w:r>
          </w:p>
        </w:tc>
        <w:tc>
          <w:tcPr>
            <w:tcW w:type="dxa" w:w="1218"/>
            <w:tcMar>
              <w:top w:type="dxa" w:w="50"/>
              <w:left w:type="dxa" w:w="80"/>
              <w:bottom w:type="dxa" w:w="50"/>
              <w:right w:type="dxa" w:w="80"/>
            </w:tcMar>
          </w:tcPr>
          <w:p>
            <w:r>
              <w:rPr>
                <w:rFonts w:ascii="Arial" w:cs="Arial" w:eastAsia="Arial" w:hAnsi="Arial"/>
                <w:sz w:val="14"/>
                <w:szCs w:val="14"/>
              </w:rPr>
              <w:t xml:space="preserve">Cloud service provider</w:t>
            </w:r>
          </w:p>
        </w:tc>
      </w:tr>
      <w:tr>
        <w:tc>
          <w:tcPr>
            <w:tcW w:type="dxa" w:w="468"/>
            <w:shd w:fill="F2F2F2" w:color="auto" w:val="clear"/>
            <w:tcMar>
              <w:top w:type="dxa" w:w="50"/>
              <w:left w:type="dxa" w:w="80"/>
              <w:bottom w:type="dxa" w:w="50"/>
              <w:right w:type="dxa" w:w="80"/>
            </w:tcMar>
          </w:tcPr>
          <w:p>
            <w:r>
              <w:rPr>
                <w:rFonts w:ascii="Arial" w:cs="Arial" w:eastAsia="Arial" w:hAnsi="Arial"/>
                <w:sz w:val="14"/>
                <w:szCs w:val="14"/>
              </w:rPr>
              <w:t xml:space="preserve">CJ8</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Connected medical equipment and IoT</w:t>
            </w:r>
          </w:p>
        </w:tc>
        <w:tc>
          <w:tcPr>
            <w:tcW w:type="dxa" w:w="1404"/>
            <w:shd w:fill="F2F2F2" w:color="auto" w:val="clear"/>
            <w:tcMar>
              <w:top w:type="dxa" w:w="50"/>
              <w:left w:type="dxa" w:w="80"/>
              <w:bottom w:type="dxa" w:w="50"/>
              <w:right w:type="dxa" w:w="80"/>
            </w:tcMar>
          </w:tcPr>
          <w:p>
            <w:r>
              <w:rPr>
                <w:rFonts w:ascii="Arial" w:cs="Arial" w:eastAsia="Arial" w:hAnsi="Arial"/>
                <w:sz w:val="14"/>
                <w:szCs w:val="14"/>
              </w:rPr>
              <w:t xml:space="preserve">Diagnostics and treatment devices feeding the EHR</w:t>
            </w:r>
          </w:p>
        </w:tc>
        <w:tc>
          <w:tcPr>
            <w:tcW w:type="dxa" w:w="1310"/>
            <w:shd w:fill="F2F2F2" w:color="auto" w:val="clear"/>
            <w:tcMar>
              <w:top w:type="dxa" w:w="50"/>
              <w:left w:type="dxa" w:w="80"/>
              <w:bottom w:type="dxa" w:w="50"/>
              <w:right w:type="dxa" w:w="80"/>
            </w:tcMar>
          </w:tcPr>
          <w:p>
            <w:r>
              <w:rPr>
                <w:rFonts w:ascii="Arial" w:cs="Arial" w:eastAsia="Arial" w:hAnsi="Arial"/>
                <w:sz w:val="14"/>
                <w:szCs w:val="14"/>
              </w:rPr>
              <w:t xml:space="preserve">Biomedical engineering / Clinical Ops</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Very high</w:t>
            </w:r>
          </w:p>
        </w:tc>
        <w:tc>
          <w:tcPr>
            <w:tcW w:type="dxa" w:w="655"/>
            <w:shd w:fill="F2F2F2" w:color="auto" w:val="clear"/>
            <w:tcMar>
              <w:top w:type="dxa" w:w="50"/>
              <w:left w:type="dxa" w:w="80"/>
              <w:bottom w:type="dxa" w:w="50"/>
              <w:right w:type="dxa" w:w="80"/>
            </w:tcMar>
          </w:tcPr>
          <w:p>
            <w:r>
              <w:rPr>
                <w:rFonts w:ascii="Arial" w:cs="Arial" w:eastAsia="Arial" w:hAnsi="Arial"/>
                <w:sz w:val="14"/>
                <w:szCs w:val="14"/>
              </w:rPr>
              <w:t xml:space="preserve">High</w:t>
            </w:r>
          </w:p>
        </w:tc>
        <w:tc>
          <w:tcPr>
            <w:tcW w:type="dxa" w:w="1591"/>
            <w:shd w:fill="F2F2F2" w:color="auto" w:val="clear"/>
            <w:tcMar>
              <w:top w:type="dxa" w:w="50"/>
              <w:left w:type="dxa" w:w="80"/>
              <w:bottom w:type="dxa" w:w="50"/>
              <w:right w:type="dxa" w:w="80"/>
            </w:tcMar>
          </w:tcPr>
          <w:p>
            <w:r>
              <w:rPr>
                <w:rFonts w:ascii="Arial" w:cs="Arial" w:eastAsia="Arial" w:hAnsi="Arial"/>
                <w:sz w:val="14"/>
                <w:szCs w:val="14"/>
              </w:rPr>
              <w:t xml:space="preserve">Clinic LAN, EHR interfaces</w:t>
            </w:r>
          </w:p>
        </w:tc>
        <w:tc>
          <w:tcPr>
            <w:tcW w:type="dxa" w:w="1218"/>
            <w:shd w:fill="F2F2F2" w:color="auto" w:val="clear"/>
            <w:tcMar>
              <w:top w:type="dxa" w:w="50"/>
              <w:left w:type="dxa" w:w="80"/>
              <w:bottom w:type="dxa" w:w="50"/>
              <w:right w:type="dxa" w:w="80"/>
            </w:tcMar>
          </w:tcPr>
          <w:p>
            <w:r>
              <w:rPr>
                <w:rFonts w:ascii="Arial" w:cs="Arial" w:eastAsia="Arial" w:hAnsi="Arial"/>
                <w:sz w:val="14"/>
                <w:szCs w:val="14"/>
              </w:rPr>
              <w:t xml:space="preserve">Device manufacturers (patching, certification)</w:t>
            </w:r>
          </w:p>
        </w:tc>
      </w:tr>
    </w:tbl>
    <w:p>
      <w:pPr>
        <w:spacing w:after="80"/>
      </w:pPr>
    </w:p>
    <w:p>
      <w:pPr>
        <w:spacing w:after="120"/>
      </w:pPr>
      <w:r>
        <w:rPr>
          <w:rFonts w:ascii="Arial" w:cs="Arial" w:eastAsia="Arial" w:hAnsi="Arial"/>
        </w:rPr>
        <w:t xml:space="preserve">Owners are proposed roles, not documented appointments - </w:t>
      </w:r>
      <w:r>
        <w:rPr>
          <w:rFonts w:ascii="Arial" w:cs="Arial" w:eastAsia="Arial" w:hAnsi="Arial"/>
          <w:b/>
          <w:bCs/>
        </w:rPr>
        <w:t xml:space="preserve">Evidence gap - organizational input required</w:t>
      </w:r>
      <w:r>
        <w:rPr>
          <w:rFonts w:ascii="Arial" w:cs="Arial" w:eastAsia="Arial" w:hAnsi="Arial"/>
        </w:rPr>
        <w:t xml:space="preserve">.</w:t>
      </w:r>
    </w:p>
    <w:p>
      <w:pPr>
        <w:pStyle w:val="Heading1"/>
        <w:pageBreakBefore/>
      </w:pPr>
      <w:r>
        <w:rPr>
          <w:rFonts w:ascii="Arial" w:cs="Arial" w:eastAsia="Arial" w:hAnsi="Arial"/>
        </w:rPr>
        <w:t xml:space="preserve">4. Risk appetite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Estimated Risk Appetite: 0.30</w:t>
            </w:r>
            <w:r>
              <w:rPr>
                <w:rFonts w:ascii="Arial" w:cs="Arial" w:eastAsia="Arial" w:hAnsi="Arial"/>
                <w:sz w:val="19"/>
                <w:szCs w:val="19"/>
              </w:rPr>
              <w:t xml:space="preserve"> (risk averse). Analyst estimate - validation required.</w:t>
            </w:r>
          </w:p>
        </w:tc>
      </w:tr>
    </w:tbl>
    <w:p>
      <w:pPr>
        <w:spacing w:after="80"/>
      </w:pPr>
    </w:p>
    <w:p>
      <w:pPr>
        <w:spacing w:after="120"/>
      </w:pPr>
      <w:r>
        <w:rPr>
          <w:rFonts w:ascii="Arial" w:cs="Arial" w:eastAsia="Arial" w:hAnsi="Arial"/>
          <w:b/>
          <w:bCs/>
        </w:rPr>
        <w:t xml:space="preserve">Rationale.</w:t>
      </w:r>
    </w:p>
    <w:p>
      <w:pPr>
        <w:pStyle w:val="ListParagraph"/>
        <w:numPr>
          <w:ilvl w:val="0"/>
          <w:numId w:val="2"/>
        </w:numPr>
        <w:spacing w:after="60"/>
      </w:pPr>
      <w:r>
        <w:rPr>
          <w:rFonts w:ascii="Arial" w:cs="Arial" w:eastAsia="Arial" w:hAnsi="Arial"/>
          <w:b/>
          <w:bCs/>
        </w:rPr>
        <w:t xml:space="preserve">Sector and mission</w:t>
      </w:r>
      <w:r>
        <w:rPr>
          <w:rFonts w:ascii="Arial" w:cs="Arial" w:eastAsia="Arial" w:hAnsi="Arial"/>
        </w:rPr>
        <w:t xml:space="preserve"> - healthcare delivery where cyber events can affect clinical decisions; MediBec states a </w:t>
      </w:r>
      <w:r>
        <w:rPr>
          <w:rFonts w:ascii="Arial" w:cs="Arial" w:eastAsia="Arial" w:hAnsi="Arial"/>
          <w:b/>
          <w:bCs/>
        </w:rPr>
        <w:t xml:space="preserve">low</w:t>
      </w:r>
      <w:r>
        <w:rPr>
          <w:rFonts w:ascii="Arial" w:cs="Arial" w:eastAsia="Arial" w:hAnsi="Arial"/>
        </w:rPr>
        <w:t xml:space="preserve"> appetite for risks to patient safety, health-data confidentiality, compliance and public trust (E5).</w:t>
      </w:r>
    </w:p>
    <w:p>
      <w:pPr>
        <w:pStyle w:val="ListParagraph"/>
        <w:numPr>
          <w:ilvl w:val="0"/>
          <w:numId w:val="2"/>
        </w:numPr>
        <w:spacing w:after="60"/>
      </w:pPr>
      <w:r>
        <w:rPr>
          <w:rFonts w:ascii="Arial" w:cs="Arial" w:eastAsia="Arial" w:hAnsi="Arial"/>
          <w:b/>
          <w:bCs/>
        </w:rPr>
        <w:t xml:space="preserve">Information sensitivity</w:t>
      </w:r>
      <w:r>
        <w:rPr>
          <w:rFonts w:ascii="Arial" w:cs="Arial" w:eastAsia="Arial" w:hAnsi="Arial"/>
        </w:rPr>
        <w:t xml:space="preserve"> - EHR, imaging, lab, pharmacy and billing data are among the most sensitive personal information.</w:t>
      </w:r>
    </w:p>
    <w:p>
      <w:pPr>
        <w:pStyle w:val="ListParagraph"/>
        <w:numPr>
          <w:ilvl w:val="0"/>
          <w:numId w:val="2"/>
        </w:numPr>
        <w:spacing w:after="60"/>
      </w:pPr>
      <w:r>
        <w:rPr>
          <w:rFonts w:ascii="Arial" w:cs="Arial" w:eastAsia="Arial" w:hAnsi="Arial"/>
          <w:b/>
          <w:bCs/>
        </w:rPr>
        <w:t xml:space="preserve">Regulatory exposure</w:t>
      </w:r>
      <w:r>
        <w:rPr>
          <w:rFonts w:ascii="Arial" w:cs="Arial" w:eastAsia="Arial" w:hAnsi="Arial"/>
        </w:rPr>
        <w:t xml:space="preserve"> - privacy-incident obligations and professional duties amplify the consequences of any breach.</w:t>
      </w:r>
    </w:p>
    <w:p>
      <w:pPr>
        <w:pStyle w:val="ListParagraph"/>
        <w:numPr>
          <w:ilvl w:val="0"/>
          <w:numId w:val="2"/>
        </w:numPr>
        <w:spacing w:after="60"/>
      </w:pPr>
      <w:r>
        <w:rPr>
          <w:rFonts w:ascii="Arial" w:cs="Arial" w:eastAsia="Arial" w:hAnsi="Arial"/>
          <w:b/>
          <w:bCs/>
        </w:rPr>
        <w:t xml:space="preserve">Operational dependence</w:t>
      </w:r>
      <w:r>
        <w:rPr>
          <w:rFonts w:ascii="Arial" w:cs="Arial" w:eastAsia="Arial" w:hAnsi="Arial"/>
        </w:rPr>
        <w:t xml:space="preserve"> - all 10 clinics depend on central services; a single failure has network-wide effects.</w:t>
      </w:r>
    </w:p>
    <w:p>
      <w:pPr>
        <w:pStyle w:val="ListParagraph"/>
        <w:numPr>
          <w:ilvl w:val="0"/>
          <w:numId w:val="2"/>
        </w:numPr>
        <w:spacing w:after="60"/>
      </w:pPr>
      <w:r>
        <w:rPr>
          <w:rFonts w:ascii="Arial" w:cs="Arial" w:eastAsia="Arial" w:hAnsi="Arial"/>
          <w:b/>
          <w:bCs/>
        </w:rPr>
        <w:t xml:space="preserve">Capacity</w:t>
      </w:r>
      <w:r>
        <w:rPr>
          <w:rFonts w:ascii="Arial" w:cs="Arial" w:eastAsia="Arial" w:hAnsi="Arial"/>
        </w:rPr>
        <w:t xml:space="preserve"> - a two-person team limits MediBec's ability to absorb and respond to incidents, arguing against a neutral appetite.</w:t>
      </w:r>
    </w:p>
    <w:p>
      <w:pPr>
        <w:pStyle w:val="ListParagraph"/>
        <w:numPr>
          <w:ilvl w:val="0"/>
          <w:numId w:val="2"/>
        </w:numPr>
        <w:spacing w:after="60"/>
      </w:pPr>
      <w:r>
        <w:rPr>
          <w:rFonts w:ascii="Arial" w:cs="Arial" w:eastAsia="Arial" w:hAnsi="Arial"/>
          <w:b/>
          <w:bCs/>
        </w:rPr>
        <w:t xml:space="preserve">Moderating factor</w:t>
      </w:r>
      <w:r>
        <w:rPr>
          <w:rFonts w:ascii="Arial" w:cs="Arial" w:eastAsia="Arial" w:hAnsi="Arial"/>
        </w:rPr>
        <w:t xml:space="preserve"> - MediBec accepts moderate risk for governed innovation (E5), which argues against an extreme (0.1-0.2) value.</w:t>
      </w:r>
    </w:p>
    <w:p>
      <w:pPr>
        <w:spacing w:after="120"/>
      </w:pPr>
      <w:r>
        <w:rPr>
          <w:rFonts w:ascii="Arial" w:cs="Arial" w:eastAsia="Arial" w:hAnsi="Arial"/>
          <w:b/>
          <w:bCs/>
        </w:rPr>
        <w:t xml:space="preserve">Relationship to the case value.</w:t>
      </w:r>
      <w:r>
        <w:rPr>
          <w:rFonts w:ascii="Arial" w:cs="Arial" w:eastAsia="Arial" w:hAnsi="Arial"/>
        </w:rPr>
        <w:t xml:space="preserve"> The case gives a normalized tolerance of 0.40, blending low appetite for clinical and privacy risk with moderate appetite for innovation, and designed for a different scoring scale (T x E x I). Every scenario in this assessment involves health data or patient care, so the stricter 0.30 is proposed. Because the choice changes outcomes, it is shown below as a sensitivity. </w:t>
      </w:r>
      <w:r>
        <w:rPr>
          <w:rFonts w:ascii="Arial" w:cs="Arial" w:eastAsia="Arial" w:hAnsi="Arial"/>
          <w:b/>
          <w:bCs/>
        </w:rPr>
        <w:t xml:space="preserve">Management decision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1404"/>
        <w:gridCol w:w="1404"/>
        <w:gridCol w:w="1404"/>
      </w:tblGrid>
      <w:tr>
        <w:trPr>
          <w:tblHeader/>
        </w:trPr>
        <w:tc>
          <w:tcPr>
            <w:tcW w:type="dxa" w:w="5148"/>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Scenario</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Ratio @ 0.20</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Ratio @ 0.30 (base)</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Ratio @ 0.40 (case)</w:t>
            </w:r>
          </w:p>
        </w:tc>
      </w:tr>
      <w:tr>
        <w:tc>
          <w:tcPr>
            <w:tcW w:type="dxa" w:w="5148"/>
            <w:tcMar>
              <w:top w:type="dxa" w:w="50"/>
              <w:left w:type="dxa" w:w="80"/>
              <w:bottom w:type="dxa" w:w="50"/>
              <w:right w:type="dxa" w:w="80"/>
            </w:tcMar>
          </w:tcPr>
          <w:p>
            <w:r>
              <w:rPr>
                <w:rFonts w:ascii="Arial" w:cs="Arial" w:eastAsia="Arial" w:hAnsi="Arial"/>
                <w:sz w:val="16"/>
                <w:szCs w:val="16"/>
              </w:rPr>
              <w:t xml:space="preserve">S1 Credential compromise of clinical administrator accounts through phishing and MFA fatigue</w:t>
            </w:r>
          </w:p>
        </w:tc>
        <w:tc>
          <w:tcPr>
            <w:tcW w:type="dxa" w:w="1404"/>
            <w:shd w:fill="F4CCCC" w:color="auto" w:val="clear"/>
            <w:tcMar>
              <w:top w:type="dxa" w:w="50"/>
              <w:left w:type="dxa" w:w="80"/>
              <w:bottom w:type="dxa" w:w="50"/>
              <w:right w:type="dxa" w:w="80"/>
            </w:tcMar>
          </w:tcPr>
          <w:p>
            <w:r>
              <w:rPr>
                <w:rFonts w:ascii="Arial" w:cs="Arial" w:eastAsia="Arial" w:hAnsi="Arial"/>
                <w:sz w:val="16"/>
                <w:szCs w:val="16"/>
              </w:rPr>
              <w:t xml:space="preserve">1.40</w:t>
            </w:r>
          </w:p>
        </w:tc>
        <w:tc>
          <w:tcPr>
            <w:tcW w:type="dxa" w:w="1404"/>
            <w:shd w:fill="FFF2CC" w:color="auto" w:val="clear"/>
            <w:tcMar>
              <w:top w:type="dxa" w:w="50"/>
              <w:left w:type="dxa" w:w="80"/>
              <w:bottom w:type="dxa" w:w="50"/>
              <w:right w:type="dxa" w:w="80"/>
            </w:tcMar>
          </w:tcPr>
          <w:p>
            <w:r>
              <w:rPr>
                <w:rFonts w:ascii="Arial" w:cs="Arial" w:eastAsia="Arial" w:hAnsi="Arial"/>
                <w:sz w:val="16"/>
                <w:szCs w:val="16"/>
              </w:rPr>
              <w:t xml:space="preserve">0.93</w:t>
            </w:r>
          </w:p>
        </w:tc>
        <w:tc>
          <w:tcPr>
            <w:tcW w:type="dxa" w:w="1404"/>
            <w:shd w:fill="D9EAD3" w:color="auto" w:val="clear"/>
            <w:tcMar>
              <w:top w:type="dxa" w:w="50"/>
              <w:left w:type="dxa" w:w="80"/>
              <w:bottom w:type="dxa" w:w="50"/>
              <w:right w:type="dxa" w:w="80"/>
            </w:tcMar>
          </w:tcPr>
          <w:p>
            <w:r>
              <w:rPr>
                <w:rFonts w:ascii="Arial" w:cs="Arial" w:eastAsia="Arial" w:hAnsi="Arial"/>
                <w:sz w:val="16"/>
                <w:szCs w:val="16"/>
              </w:rPr>
              <w:t xml:space="preserve">0.70</w:t>
            </w:r>
          </w:p>
        </w:tc>
      </w:tr>
      <w:tr>
        <w:tc>
          <w:tcPr>
            <w:tcW w:type="dxa" w:w="5148"/>
            <w:tcMar>
              <w:top w:type="dxa" w:w="50"/>
              <w:left w:type="dxa" w:w="80"/>
              <w:bottom w:type="dxa" w:w="50"/>
              <w:right w:type="dxa" w:w="80"/>
            </w:tcMar>
          </w:tcPr>
          <w:p>
            <w:r>
              <w:rPr>
                <w:rFonts w:ascii="Arial" w:cs="Arial" w:eastAsia="Arial" w:hAnsi="Arial"/>
                <w:sz w:val="16"/>
                <w:szCs w:val="16"/>
              </w:rPr>
              <w:t xml:space="preserve">S2 Ransomware disrupting EHR access and clinic operations across the network</w:t>
            </w:r>
          </w:p>
        </w:tc>
        <w:tc>
          <w:tcPr>
            <w:tcW w:type="dxa" w:w="1404"/>
            <w:shd w:fill="F4CCCC" w:color="auto" w:val="clear"/>
            <w:tcMar>
              <w:top w:type="dxa" w:w="50"/>
              <w:left w:type="dxa" w:w="80"/>
              <w:bottom w:type="dxa" w:w="50"/>
              <w:right w:type="dxa" w:w="80"/>
            </w:tcMar>
          </w:tcPr>
          <w:p>
            <w:r>
              <w:rPr>
                <w:rFonts w:ascii="Arial" w:cs="Arial" w:eastAsia="Arial" w:hAnsi="Arial"/>
                <w:sz w:val="16"/>
                <w:szCs w:val="16"/>
              </w:rPr>
              <w:t xml:space="preserve">1.80</w:t>
            </w:r>
          </w:p>
        </w:tc>
        <w:tc>
          <w:tcPr>
            <w:tcW w:type="dxa" w:w="1404"/>
            <w:shd w:fill="F4CCCC" w:color="auto" w:val="clear"/>
            <w:tcMar>
              <w:top w:type="dxa" w:w="50"/>
              <w:left w:type="dxa" w:w="80"/>
              <w:bottom w:type="dxa" w:w="50"/>
              <w:right w:type="dxa" w:w="80"/>
            </w:tcMar>
          </w:tcPr>
          <w:p>
            <w:r>
              <w:rPr>
                <w:rFonts w:ascii="Arial" w:cs="Arial" w:eastAsia="Arial" w:hAnsi="Arial"/>
                <w:sz w:val="16"/>
                <w:szCs w:val="16"/>
              </w:rPr>
              <w:t xml:space="preserve">1.20</w:t>
            </w:r>
          </w:p>
        </w:tc>
        <w:tc>
          <w:tcPr>
            <w:tcW w:type="dxa" w:w="1404"/>
            <w:shd w:fill="FFF2CC" w:color="auto" w:val="clear"/>
            <w:tcMar>
              <w:top w:type="dxa" w:w="50"/>
              <w:left w:type="dxa" w:w="80"/>
              <w:bottom w:type="dxa" w:w="50"/>
              <w:right w:type="dxa" w:w="80"/>
            </w:tcMar>
          </w:tcPr>
          <w:p>
            <w:r>
              <w:rPr>
                <w:rFonts w:ascii="Arial" w:cs="Arial" w:eastAsia="Arial" w:hAnsi="Arial"/>
                <w:sz w:val="16"/>
                <w:szCs w:val="16"/>
              </w:rPr>
              <w:t xml:space="preserve">0.90</w:t>
            </w:r>
          </w:p>
        </w:tc>
      </w:tr>
      <w:tr>
        <w:tc>
          <w:tcPr>
            <w:tcW w:type="dxa" w:w="5148"/>
            <w:tcMar>
              <w:top w:type="dxa" w:w="50"/>
              <w:left w:type="dxa" w:w="80"/>
              <w:bottom w:type="dxa" w:w="50"/>
              <w:right w:type="dxa" w:w="80"/>
            </w:tcMar>
          </w:tcPr>
          <w:p>
            <w:r>
              <w:rPr>
                <w:rFonts w:ascii="Arial" w:cs="Arial" w:eastAsia="Arial" w:hAnsi="Arial"/>
                <w:sz w:val="16"/>
                <w:szCs w:val="16"/>
              </w:rPr>
              <w:t xml:space="preserve">S3 Backup environment compromised, preventing recovery after a destructive attack</w:t>
            </w:r>
          </w:p>
        </w:tc>
        <w:tc>
          <w:tcPr>
            <w:tcW w:type="dxa" w:w="1404"/>
            <w:shd w:fill="F4CCCC" w:color="auto" w:val="clear"/>
            <w:tcMar>
              <w:top w:type="dxa" w:w="50"/>
              <w:left w:type="dxa" w:w="80"/>
              <w:bottom w:type="dxa" w:w="50"/>
              <w:right w:type="dxa" w:w="80"/>
            </w:tcMar>
          </w:tcPr>
          <w:p>
            <w:r>
              <w:rPr>
                <w:rFonts w:ascii="Arial" w:cs="Arial" w:eastAsia="Arial" w:hAnsi="Arial"/>
                <w:sz w:val="16"/>
                <w:szCs w:val="16"/>
              </w:rPr>
              <w:t xml:space="preserve">1.20</w:t>
            </w:r>
          </w:p>
        </w:tc>
        <w:tc>
          <w:tcPr>
            <w:tcW w:type="dxa" w:w="1404"/>
            <w:shd w:fill="D9EAD3" w:color="auto" w:val="clear"/>
            <w:tcMar>
              <w:top w:type="dxa" w:w="50"/>
              <w:left w:type="dxa" w:w="80"/>
              <w:bottom w:type="dxa" w:w="50"/>
              <w:right w:type="dxa" w:w="80"/>
            </w:tcMar>
          </w:tcPr>
          <w:p>
            <w:r>
              <w:rPr>
                <w:rFonts w:ascii="Arial" w:cs="Arial" w:eastAsia="Arial" w:hAnsi="Arial"/>
                <w:sz w:val="16"/>
                <w:szCs w:val="16"/>
              </w:rPr>
              <w:t xml:space="preserve">0.80</w:t>
            </w:r>
          </w:p>
        </w:tc>
        <w:tc>
          <w:tcPr>
            <w:tcW w:type="dxa" w:w="1404"/>
            <w:shd w:fill="D9EAD3" w:color="auto" w:val="clear"/>
            <w:tcMar>
              <w:top w:type="dxa" w:w="50"/>
              <w:left w:type="dxa" w:w="80"/>
              <w:bottom w:type="dxa" w:w="50"/>
              <w:right w:type="dxa" w:w="80"/>
            </w:tcMar>
          </w:tcPr>
          <w:p>
            <w:r>
              <w:rPr>
                <w:rFonts w:ascii="Arial" w:cs="Arial" w:eastAsia="Arial" w:hAnsi="Arial"/>
                <w:sz w:val="16"/>
                <w:szCs w:val="16"/>
              </w:rPr>
              <w:t xml:space="preserve">0.60</w:t>
            </w:r>
          </w:p>
        </w:tc>
      </w:tr>
      <w:tr>
        <w:tc>
          <w:tcPr>
            <w:tcW w:type="dxa" w:w="5148"/>
            <w:tcMar>
              <w:top w:type="dxa" w:w="50"/>
              <w:left w:type="dxa" w:w="80"/>
              <w:bottom w:type="dxa" w:w="50"/>
              <w:right w:type="dxa" w:w="80"/>
            </w:tcMar>
          </w:tcPr>
          <w:p>
            <w:r>
              <w:rPr>
                <w:rFonts w:ascii="Arial" w:cs="Arial" w:eastAsia="Arial" w:hAnsi="Arial"/>
                <w:sz w:val="16"/>
                <w:szCs w:val="16"/>
              </w:rPr>
              <w:t xml:space="preserve">S4 Cloud medical-image transfer storage exposed, enabling bulk health-data exfiltration</w:t>
            </w:r>
          </w:p>
        </w:tc>
        <w:tc>
          <w:tcPr>
            <w:tcW w:type="dxa" w:w="1404"/>
            <w:shd w:fill="F4CCCC" w:color="auto" w:val="clear"/>
            <w:tcMar>
              <w:top w:type="dxa" w:w="50"/>
              <w:left w:type="dxa" w:w="80"/>
              <w:bottom w:type="dxa" w:w="50"/>
              <w:right w:type="dxa" w:w="80"/>
            </w:tcMar>
          </w:tcPr>
          <w:p>
            <w:r>
              <w:rPr>
                <w:rFonts w:ascii="Arial" w:cs="Arial" w:eastAsia="Arial" w:hAnsi="Arial"/>
                <w:sz w:val="16"/>
                <w:szCs w:val="16"/>
              </w:rPr>
              <w:t xml:space="preserve">1.37</w:t>
            </w:r>
          </w:p>
        </w:tc>
        <w:tc>
          <w:tcPr>
            <w:tcW w:type="dxa" w:w="1404"/>
            <w:shd w:fill="FFF2CC" w:color="auto" w:val="clear"/>
            <w:tcMar>
              <w:top w:type="dxa" w:w="50"/>
              <w:left w:type="dxa" w:w="80"/>
              <w:bottom w:type="dxa" w:w="50"/>
              <w:right w:type="dxa" w:w="80"/>
            </w:tcMar>
          </w:tcPr>
          <w:p>
            <w:r>
              <w:rPr>
                <w:rFonts w:ascii="Arial" w:cs="Arial" w:eastAsia="Arial" w:hAnsi="Arial"/>
                <w:sz w:val="16"/>
                <w:szCs w:val="16"/>
              </w:rPr>
              <w:t xml:space="preserve">0.91</w:t>
            </w:r>
          </w:p>
        </w:tc>
        <w:tc>
          <w:tcPr>
            <w:tcW w:type="dxa" w:w="1404"/>
            <w:shd w:fill="D9EAD3" w:color="auto" w:val="clear"/>
            <w:tcMar>
              <w:top w:type="dxa" w:w="50"/>
              <w:left w:type="dxa" w:w="80"/>
              <w:bottom w:type="dxa" w:w="50"/>
              <w:right w:type="dxa" w:w="80"/>
            </w:tcMar>
          </w:tcPr>
          <w:p>
            <w:r>
              <w:rPr>
                <w:rFonts w:ascii="Arial" w:cs="Arial" w:eastAsia="Arial" w:hAnsi="Arial"/>
                <w:sz w:val="16"/>
                <w:szCs w:val="16"/>
              </w:rPr>
              <w:t xml:space="preserve">0.68</w:t>
            </w:r>
          </w:p>
        </w:tc>
      </w:tr>
      <w:tr>
        <w:tc>
          <w:tcPr>
            <w:tcW w:type="dxa" w:w="5148"/>
            <w:tcMar>
              <w:top w:type="dxa" w:w="50"/>
              <w:left w:type="dxa" w:w="80"/>
              <w:bottom w:type="dxa" w:w="50"/>
              <w:right w:type="dxa" w:w="80"/>
            </w:tcMar>
          </w:tcPr>
          <w:p>
            <w:r>
              <w:rPr>
                <w:rFonts w:ascii="Arial" w:cs="Arial" w:eastAsia="Arial" w:hAnsi="Arial"/>
                <w:sz w:val="16"/>
                <w:szCs w:val="16"/>
              </w:rPr>
              <w:t xml:space="preserve">S5 Misuse of legitimate clinical, privileged or service-account access to extract patient records</w:t>
            </w:r>
          </w:p>
        </w:tc>
        <w:tc>
          <w:tcPr>
            <w:tcW w:type="dxa" w:w="1404"/>
            <w:shd w:fill="F4CCCC" w:color="auto" w:val="clear"/>
            <w:tcMar>
              <w:top w:type="dxa" w:w="50"/>
              <w:left w:type="dxa" w:w="80"/>
              <w:bottom w:type="dxa" w:w="50"/>
              <w:right w:type="dxa" w:w="80"/>
            </w:tcMar>
          </w:tcPr>
          <w:p>
            <w:r>
              <w:rPr>
                <w:rFonts w:ascii="Arial" w:cs="Arial" w:eastAsia="Arial" w:hAnsi="Arial"/>
                <w:sz w:val="16"/>
                <w:szCs w:val="16"/>
              </w:rPr>
              <w:t xml:space="preserve">1.83</w:t>
            </w:r>
          </w:p>
        </w:tc>
        <w:tc>
          <w:tcPr>
            <w:tcW w:type="dxa" w:w="1404"/>
            <w:shd w:fill="F4CCCC" w:color="auto" w:val="clear"/>
            <w:tcMar>
              <w:top w:type="dxa" w:w="50"/>
              <w:left w:type="dxa" w:w="80"/>
              <w:bottom w:type="dxa" w:w="50"/>
              <w:right w:type="dxa" w:w="80"/>
            </w:tcMar>
          </w:tcPr>
          <w:p>
            <w:r>
              <w:rPr>
                <w:rFonts w:ascii="Arial" w:cs="Arial" w:eastAsia="Arial" w:hAnsi="Arial"/>
                <w:sz w:val="16"/>
                <w:szCs w:val="16"/>
              </w:rPr>
              <w:t xml:space="preserve">1.22</w:t>
            </w:r>
          </w:p>
        </w:tc>
        <w:tc>
          <w:tcPr>
            <w:tcW w:type="dxa" w:w="1404"/>
            <w:shd w:fill="FFF2CC" w:color="auto" w:val="clear"/>
            <w:tcMar>
              <w:top w:type="dxa" w:w="50"/>
              <w:left w:type="dxa" w:w="80"/>
              <w:bottom w:type="dxa" w:w="50"/>
              <w:right w:type="dxa" w:w="80"/>
            </w:tcMar>
          </w:tcPr>
          <w:p>
            <w:r>
              <w:rPr>
                <w:rFonts w:ascii="Arial" w:cs="Arial" w:eastAsia="Arial" w:hAnsi="Arial"/>
                <w:sz w:val="16"/>
                <w:szCs w:val="16"/>
              </w:rPr>
              <w:t xml:space="preserve">0.91</w:t>
            </w:r>
          </w:p>
        </w:tc>
      </w:tr>
      <w:tr>
        <w:tc>
          <w:tcPr>
            <w:tcW w:type="dxa" w:w="5148"/>
            <w:tcMar>
              <w:top w:type="dxa" w:w="50"/>
              <w:left w:type="dxa" w:w="80"/>
              <w:bottom w:type="dxa" w:w="50"/>
              <w:right w:type="dxa" w:w="80"/>
            </w:tcMar>
          </w:tcPr>
          <w:p>
            <w:r>
              <w:rPr>
                <w:rFonts w:ascii="Arial" w:cs="Arial" w:eastAsia="Arial" w:hAnsi="Arial"/>
                <w:sz w:val="16"/>
                <w:szCs w:val="16"/>
              </w:rPr>
              <w:t xml:space="preserve">S6 Exploitation of unpatched internet-facing or end-of-life systems</w:t>
            </w:r>
          </w:p>
        </w:tc>
        <w:tc>
          <w:tcPr>
            <w:tcW w:type="dxa" w:w="1404"/>
            <w:shd w:fill="F4CCCC" w:color="auto" w:val="clear"/>
            <w:tcMar>
              <w:top w:type="dxa" w:w="50"/>
              <w:left w:type="dxa" w:w="80"/>
              <w:bottom w:type="dxa" w:w="50"/>
              <w:right w:type="dxa" w:w="80"/>
            </w:tcMar>
          </w:tcPr>
          <w:p>
            <w:r>
              <w:rPr>
                <w:rFonts w:ascii="Arial" w:cs="Arial" w:eastAsia="Arial" w:hAnsi="Arial"/>
                <w:sz w:val="16"/>
                <w:szCs w:val="16"/>
              </w:rPr>
              <w:t xml:space="preserve">1.52</w:t>
            </w:r>
          </w:p>
        </w:tc>
        <w:tc>
          <w:tcPr>
            <w:tcW w:type="dxa" w:w="1404"/>
            <w:shd w:fill="FFF2CC" w:color="auto" w:val="clear"/>
            <w:tcMar>
              <w:top w:type="dxa" w:w="50"/>
              <w:left w:type="dxa" w:w="80"/>
              <w:bottom w:type="dxa" w:w="50"/>
              <w:right w:type="dxa" w:w="80"/>
            </w:tcMar>
          </w:tcPr>
          <w:p>
            <w:r>
              <w:rPr>
                <w:rFonts w:ascii="Arial" w:cs="Arial" w:eastAsia="Arial" w:hAnsi="Arial"/>
                <w:sz w:val="16"/>
                <w:szCs w:val="16"/>
              </w:rPr>
              <w:t xml:space="preserve">1.01</w:t>
            </w:r>
          </w:p>
        </w:tc>
        <w:tc>
          <w:tcPr>
            <w:tcW w:type="dxa" w:w="1404"/>
            <w:shd w:fill="D9EAD3" w:color="auto" w:val="clear"/>
            <w:tcMar>
              <w:top w:type="dxa" w:w="50"/>
              <w:left w:type="dxa" w:w="80"/>
              <w:bottom w:type="dxa" w:w="50"/>
              <w:right w:type="dxa" w:w="80"/>
            </w:tcMar>
          </w:tcPr>
          <w:p>
            <w:r>
              <w:rPr>
                <w:rFonts w:ascii="Arial" w:cs="Arial" w:eastAsia="Arial" w:hAnsi="Arial"/>
                <w:sz w:val="16"/>
                <w:szCs w:val="16"/>
              </w:rPr>
              <w:t xml:space="preserve">0.76</w:t>
            </w:r>
          </w:p>
        </w:tc>
      </w:tr>
      <w:tr>
        <w:tc>
          <w:tcPr>
            <w:tcW w:type="dxa" w:w="5148"/>
            <w:tcMar>
              <w:top w:type="dxa" w:w="50"/>
              <w:left w:type="dxa" w:w="80"/>
              <w:bottom w:type="dxa" w:w="50"/>
              <w:right w:type="dxa" w:w="80"/>
            </w:tcMar>
          </w:tcPr>
          <w:p>
            <w:r>
              <w:rPr>
                <w:rFonts w:ascii="Arial" w:cs="Arial" w:eastAsia="Arial" w:hAnsi="Arial"/>
                <w:sz w:val="16"/>
                <w:szCs w:val="16"/>
              </w:rPr>
              <w:t xml:space="preserve">S7 Connected medical device used as a foothold to disrupt clinical equipment and reach the EHR network</w:t>
            </w:r>
          </w:p>
        </w:tc>
        <w:tc>
          <w:tcPr>
            <w:tcW w:type="dxa" w:w="1404"/>
            <w:shd w:fill="F4CCCC" w:color="auto" w:val="clear"/>
            <w:tcMar>
              <w:top w:type="dxa" w:w="50"/>
              <w:left w:type="dxa" w:w="80"/>
              <w:bottom w:type="dxa" w:w="50"/>
              <w:right w:type="dxa" w:w="80"/>
            </w:tcMar>
          </w:tcPr>
          <w:p>
            <w:r>
              <w:rPr>
                <w:rFonts w:ascii="Arial" w:cs="Arial" w:eastAsia="Arial" w:hAnsi="Arial"/>
                <w:sz w:val="16"/>
                <w:szCs w:val="16"/>
              </w:rPr>
              <w:t xml:space="preserve">2.18</w:t>
            </w:r>
          </w:p>
        </w:tc>
        <w:tc>
          <w:tcPr>
            <w:tcW w:type="dxa" w:w="1404"/>
            <w:shd w:fill="F4CCCC" w:color="auto" w:val="clear"/>
            <w:tcMar>
              <w:top w:type="dxa" w:w="50"/>
              <w:left w:type="dxa" w:w="80"/>
              <w:bottom w:type="dxa" w:w="50"/>
              <w:right w:type="dxa" w:w="80"/>
            </w:tcMar>
          </w:tcPr>
          <w:p>
            <w:r>
              <w:rPr>
                <w:rFonts w:ascii="Arial" w:cs="Arial" w:eastAsia="Arial" w:hAnsi="Arial"/>
                <w:sz w:val="16"/>
                <w:szCs w:val="16"/>
              </w:rPr>
              <w:t xml:space="preserve">1.45</w:t>
            </w:r>
          </w:p>
        </w:tc>
        <w:tc>
          <w:tcPr>
            <w:tcW w:type="dxa" w:w="1404"/>
            <w:shd w:fill="FFF2CC" w:color="auto" w:val="clear"/>
            <w:tcMar>
              <w:top w:type="dxa" w:w="50"/>
              <w:left w:type="dxa" w:w="80"/>
              <w:bottom w:type="dxa" w:w="50"/>
              <w:right w:type="dxa" w:w="80"/>
            </w:tcMar>
          </w:tcPr>
          <w:p>
            <w:r>
              <w:rPr>
                <w:rFonts w:ascii="Arial" w:cs="Arial" w:eastAsia="Arial" w:hAnsi="Arial"/>
                <w:sz w:val="16"/>
                <w:szCs w:val="16"/>
              </w:rPr>
              <w:t xml:space="preserve">1.09</w:t>
            </w:r>
          </w:p>
        </w:tc>
      </w:tr>
      <w:tr>
        <w:tc>
          <w:tcPr>
            <w:tcW w:type="dxa" w:w="5148"/>
            <w:tcMar>
              <w:top w:type="dxa" w:w="50"/>
              <w:left w:type="dxa" w:w="80"/>
              <w:bottom w:type="dxa" w:w="50"/>
              <w:right w:type="dxa" w:w="80"/>
            </w:tcMar>
          </w:tcPr>
          <w:p>
            <w:r>
              <w:rPr>
                <w:rFonts w:ascii="Arial" w:cs="Arial" w:eastAsia="Arial" w:hAnsi="Arial"/>
                <w:sz w:val="16"/>
                <w:szCs w:val="16"/>
              </w:rPr>
              <w:t xml:space="preserve">S8 Detection and response gaps allow an intrusion to persist and escalate</w:t>
            </w:r>
          </w:p>
        </w:tc>
        <w:tc>
          <w:tcPr>
            <w:tcW w:type="dxa" w:w="1404"/>
            <w:shd w:fill="F4CCCC" w:color="auto" w:val="clear"/>
            <w:tcMar>
              <w:top w:type="dxa" w:w="50"/>
              <w:left w:type="dxa" w:w="80"/>
              <w:bottom w:type="dxa" w:w="50"/>
              <w:right w:type="dxa" w:w="80"/>
            </w:tcMar>
          </w:tcPr>
          <w:p>
            <w:r>
              <w:rPr>
                <w:rFonts w:ascii="Arial" w:cs="Arial" w:eastAsia="Arial" w:hAnsi="Arial"/>
                <w:sz w:val="16"/>
                <w:szCs w:val="16"/>
              </w:rPr>
              <w:t xml:space="preserve">1.65</w:t>
            </w:r>
          </w:p>
        </w:tc>
        <w:tc>
          <w:tcPr>
            <w:tcW w:type="dxa" w:w="1404"/>
            <w:shd w:fill="FFF2CC" w:color="auto" w:val="clear"/>
            <w:tcMar>
              <w:top w:type="dxa" w:w="50"/>
              <w:left w:type="dxa" w:w="80"/>
              <w:bottom w:type="dxa" w:w="50"/>
              <w:right w:type="dxa" w:w="80"/>
            </w:tcMar>
          </w:tcPr>
          <w:p>
            <w:r>
              <w:rPr>
                <w:rFonts w:ascii="Arial" w:cs="Arial" w:eastAsia="Arial" w:hAnsi="Arial"/>
                <w:sz w:val="16"/>
                <w:szCs w:val="16"/>
              </w:rPr>
              <w:t xml:space="preserve">1.10</w:t>
            </w:r>
          </w:p>
        </w:tc>
        <w:tc>
          <w:tcPr>
            <w:tcW w:type="dxa" w:w="1404"/>
            <w:shd w:fill="D9EAD3" w:color="auto" w:val="clear"/>
            <w:tcMar>
              <w:top w:type="dxa" w:w="50"/>
              <w:left w:type="dxa" w:w="80"/>
              <w:bottom w:type="dxa" w:w="50"/>
              <w:right w:type="dxa" w:w="80"/>
            </w:tcMar>
          </w:tcPr>
          <w:p>
            <w:r>
              <w:rPr>
                <w:rFonts w:ascii="Arial" w:cs="Arial" w:eastAsia="Arial" w:hAnsi="Arial"/>
                <w:sz w:val="16"/>
                <w:szCs w:val="16"/>
              </w:rPr>
              <w:t xml:space="preserve">0.82</w:t>
            </w:r>
          </w:p>
        </w:tc>
      </w:tr>
      <w:tr>
        <w:tc>
          <w:tcPr>
            <w:tcW w:type="dxa" w:w="5148"/>
            <w:tcMar>
              <w:top w:type="dxa" w:w="50"/>
              <w:left w:type="dxa" w:w="80"/>
              <w:bottom w:type="dxa" w:w="50"/>
              <w:right w:type="dxa" w:w="80"/>
            </w:tcMar>
          </w:tcPr>
          <w:p>
            <w:r>
              <w:rPr>
                <w:rFonts w:ascii="Arial" w:cs="Arial" w:eastAsia="Arial" w:hAnsi="Arial"/>
                <w:sz w:val="16"/>
                <w:szCs w:val="16"/>
              </w:rPr>
              <w:t xml:space="preserve">S9 Compromise of a critical vendor with remote access to MediBec systems</w:t>
            </w:r>
          </w:p>
        </w:tc>
        <w:tc>
          <w:tcPr>
            <w:tcW w:type="dxa" w:w="1404"/>
            <w:shd w:fill="F4CCCC" w:color="auto" w:val="clear"/>
            <w:tcMar>
              <w:top w:type="dxa" w:w="50"/>
              <w:left w:type="dxa" w:w="80"/>
              <w:bottom w:type="dxa" w:w="50"/>
              <w:right w:type="dxa" w:w="80"/>
            </w:tcMar>
          </w:tcPr>
          <w:p>
            <w:r>
              <w:rPr>
                <w:rFonts w:ascii="Arial" w:cs="Arial" w:eastAsia="Arial" w:hAnsi="Arial"/>
                <w:sz w:val="16"/>
                <w:szCs w:val="16"/>
              </w:rPr>
              <w:t xml:space="preserve">2.31</w:t>
            </w:r>
          </w:p>
        </w:tc>
        <w:tc>
          <w:tcPr>
            <w:tcW w:type="dxa" w:w="1404"/>
            <w:shd w:fill="F4CCCC" w:color="auto" w:val="clear"/>
            <w:tcMar>
              <w:top w:type="dxa" w:w="50"/>
              <w:left w:type="dxa" w:w="80"/>
              <w:bottom w:type="dxa" w:w="50"/>
              <w:right w:type="dxa" w:w="80"/>
            </w:tcMar>
          </w:tcPr>
          <w:p>
            <w:r>
              <w:rPr>
                <w:rFonts w:ascii="Arial" w:cs="Arial" w:eastAsia="Arial" w:hAnsi="Arial"/>
                <w:sz w:val="16"/>
                <w:szCs w:val="16"/>
              </w:rPr>
              <w:t xml:space="preserve">1.54</w:t>
            </w:r>
          </w:p>
        </w:tc>
        <w:tc>
          <w:tcPr>
            <w:tcW w:type="dxa" w:w="1404"/>
            <w:shd w:fill="F4CCCC" w:color="auto" w:val="clear"/>
            <w:tcMar>
              <w:top w:type="dxa" w:w="50"/>
              <w:left w:type="dxa" w:w="80"/>
              <w:bottom w:type="dxa" w:w="50"/>
              <w:right w:type="dxa" w:w="80"/>
            </w:tcMar>
          </w:tcPr>
          <w:p>
            <w:r>
              <w:rPr>
                <w:rFonts w:ascii="Arial" w:cs="Arial" w:eastAsia="Arial" w:hAnsi="Arial"/>
                <w:sz w:val="16"/>
                <w:szCs w:val="16"/>
              </w:rPr>
              <w:t xml:space="preserve">1.15</w:t>
            </w:r>
          </w:p>
        </w:tc>
      </w:tr>
      <w:tr>
        <w:tc>
          <w:tcPr>
            <w:tcW w:type="dxa" w:w="5148"/>
            <w:tcMar>
              <w:top w:type="dxa" w:w="50"/>
              <w:left w:type="dxa" w:w="80"/>
              <w:bottom w:type="dxa" w:w="50"/>
              <w:right w:type="dxa" w:w="80"/>
            </w:tcMar>
          </w:tcPr>
          <w:p>
            <w:r>
              <w:rPr>
                <w:rFonts w:ascii="Arial" w:cs="Arial" w:eastAsia="Arial" w:hAnsi="Arial"/>
                <w:sz w:val="16"/>
                <w:szCs w:val="16"/>
              </w:rPr>
              <w:t xml:space="preserve">S10 Manipulation of patient, medication or billing records undermining clinical decisions</w:t>
            </w:r>
          </w:p>
        </w:tc>
        <w:tc>
          <w:tcPr>
            <w:tcW w:type="dxa" w:w="1404"/>
            <w:shd w:fill="F4CCCC" w:color="auto" w:val="clear"/>
            <w:tcMar>
              <w:top w:type="dxa" w:w="50"/>
              <w:left w:type="dxa" w:w="80"/>
              <w:bottom w:type="dxa" w:w="50"/>
              <w:right w:type="dxa" w:w="80"/>
            </w:tcMar>
          </w:tcPr>
          <w:p>
            <w:r>
              <w:rPr>
                <w:rFonts w:ascii="Arial" w:cs="Arial" w:eastAsia="Arial" w:hAnsi="Arial"/>
                <w:sz w:val="16"/>
                <w:szCs w:val="16"/>
              </w:rPr>
              <w:t xml:space="preserve">1.78</w:t>
            </w:r>
          </w:p>
        </w:tc>
        <w:tc>
          <w:tcPr>
            <w:tcW w:type="dxa" w:w="1404"/>
            <w:shd w:fill="F4CCCC" w:color="auto" w:val="clear"/>
            <w:tcMar>
              <w:top w:type="dxa" w:w="50"/>
              <w:left w:type="dxa" w:w="80"/>
              <w:bottom w:type="dxa" w:w="50"/>
              <w:right w:type="dxa" w:w="80"/>
            </w:tcMar>
          </w:tcPr>
          <w:p>
            <w:r>
              <w:rPr>
                <w:rFonts w:ascii="Arial" w:cs="Arial" w:eastAsia="Arial" w:hAnsi="Arial"/>
                <w:sz w:val="16"/>
                <w:szCs w:val="16"/>
              </w:rPr>
              <w:t xml:space="preserve">1.19</w:t>
            </w:r>
          </w:p>
        </w:tc>
        <w:tc>
          <w:tcPr>
            <w:tcW w:type="dxa" w:w="1404"/>
            <w:shd w:fill="D9EAD3" w:color="auto" w:val="clear"/>
            <w:tcMar>
              <w:top w:type="dxa" w:w="50"/>
              <w:left w:type="dxa" w:w="80"/>
              <w:bottom w:type="dxa" w:w="50"/>
              <w:right w:type="dxa" w:w="80"/>
            </w:tcMar>
          </w:tcPr>
          <w:p>
            <w:r>
              <w:rPr>
                <w:rFonts w:ascii="Arial" w:cs="Arial" w:eastAsia="Arial" w:hAnsi="Arial"/>
                <w:sz w:val="16"/>
                <w:szCs w:val="16"/>
              </w:rPr>
              <w:t xml:space="preserve">0.89</w:t>
            </w:r>
          </w:p>
        </w:tc>
      </w:tr>
    </w:tbl>
    <w:p>
      <w:pPr>
        <w:spacing w:after="80"/>
      </w:pPr>
    </w:p>
    <w:p>
      <w:pPr>
        <w:spacing w:after="120"/>
      </w:pPr>
      <w:r>
        <w:rPr>
          <w:rFonts w:ascii="Arial" w:cs="Arial" w:eastAsia="Arial" w:hAnsi="Arial"/>
        </w:rPr>
        <w:t xml:space="preserve">Residual risk / tolerated risk after treatment. At 0.40, only S9 (vendors) stays above tolerance and S7 (medical devices) sits at the upper edge (1.09); at 0.20 all ten would be above.</w:t>
      </w:r>
    </w:p>
    <w:p>
      <w:pPr>
        <w:pStyle w:val="Heading1"/>
        <w:pageBreakBefore/>
      </w:pPr>
      <w:r>
        <w:rPr>
          <w:rFonts w:ascii="Arial" w:cs="Arial" w:eastAsia="Arial" w:hAnsi="Arial"/>
        </w:rPr>
        <w:t xml:space="preserve">5. Scenario development and selection</w:t>
      </w:r>
    </w:p>
    <w:p>
      <w:pPr>
        <w:spacing w:after="120"/>
      </w:pPr>
      <w:r>
        <w:rPr>
          <w:rFonts w:ascii="Arial" w:cs="Arial" w:eastAsia="Arial" w:hAnsi="Arial"/>
        </w:rPr>
        <w:t xml:space="preserve">Twenty candidates were generated from six perspectives - top-down (clinical continuity, privacy), bottom-up (documented weaknesses), threat-driven, asset-driven (crown jewels), third-party and human - using the case scenario library (MED-CYR-01 to 15), the exercise evidence and the extended catalogue. Each is expressed as threat source, condition, asset and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
        <w:gridCol w:w="1404"/>
        <w:gridCol w:w="842"/>
        <w:gridCol w:w="1310"/>
        <w:gridCol w:w="655"/>
        <w:gridCol w:w="936"/>
        <w:gridCol w:w="748"/>
        <w:gridCol w:w="842"/>
        <w:gridCol w:w="2249"/>
      </w:tblGrid>
      <w:tr>
        <w:trPr>
          <w:tblHeader/>
        </w:trPr>
        <w:tc>
          <w:tcPr>
            <w:tcW w:type="dxa" w:w="374"/>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ID</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Candidate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Threat source</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Vulnerability / condition</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Asset</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Outcome</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Ref</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Decision</w:t>
            </w:r>
          </w:p>
        </w:tc>
        <w:tc>
          <w:tcPr>
            <w:tcW w:type="dxa" w:w="2249"/>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Rationale</w:t>
            </w:r>
          </w:p>
        </w:tc>
      </w:tr>
      <w:tr>
        <w:tc>
          <w:tcPr>
            <w:tcW w:type="dxa" w:w="374"/>
            <w:tcMar>
              <w:top w:type="dxa" w:w="50"/>
              <w:left w:type="dxa" w:w="80"/>
              <w:bottom w:type="dxa" w:w="50"/>
              <w:right w:type="dxa" w:w="80"/>
            </w:tcMar>
          </w:tcPr>
          <w:p>
            <w:r>
              <w:rPr>
                <w:rFonts w:ascii="Arial" w:cs="Arial" w:eastAsia="Arial" w:hAnsi="Arial"/>
                <w:sz w:val="13"/>
                <w:szCs w:val="13"/>
              </w:rPr>
              <w:t xml:space="preserve">C01</w:t>
            </w:r>
          </w:p>
        </w:tc>
        <w:tc>
          <w:tcPr>
            <w:tcW w:type="dxa" w:w="1404"/>
            <w:tcMar>
              <w:top w:type="dxa" w:w="50"/>
              <w:left w:type="dxa" w:w="80"/>
              <w:bottom w:type="dxa" w:w="50"/>
              <w:right w:type="dxa" w:w="80"/>
            </w:tcMar>
          </w:tcPr>
          <w:p>
            <w:r>
              <w:rPr>
                <w:rFonts w:ascii="Arial" w:cs="Arial" w:eastAsia="Arial" w:hAnsi="Arial"/>
                <w:sz w:val="13"/>
                <w:szCs w:val="13"/>
              </w:rPr>
              <w:t xml:space="preserve">Phishing-led compromise of clinic administrator credentials</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Push-based MFA susceptible to fatigue; macro attachments delivered</w:t>
            </w:r>
          </w:p>
        </w:tc>
        <w:tc>
          <w:tcPr>
            <w:tcW w:type="dxa" w:w="655"/>
            <w:tcMar>
              <w:top w:type="dxa" w:w="50"/>
              <w:left w:type="dxa" w:w="80"/>
              <w:bottom w:type="dxa" w:w="50"/>
              <w:right w:type="dxa" w:w="80"/>
            </w:tcMar>
          </w:tcPr>
          <w:p>
            <w:r>
              <w:rPr>
                <w:rFonts w:ascii="Arial" w:cs="Arial" w:eastAsia="Arial" w:hAnsi="Arial"/>
                <w:sz w:val="13"/>
                <w:szCs w:val="13"/>
              </w:rPr>
              <w:t xml:space="preserve">CJ5 / CJ1</w:t>
            </w:r>
          </w:p>
        </w:tc>
        <w:tc>
          <w:tcPr>
            <w:tcW w:type="dxa" w:w="936"/>
            <w:tcMar>
              <w:top w:type="dxa" w:w="50"/>
              <w:left w:type="dxa" w:w="80"/>
              <w:bottom w:type="dxa" w:w="50"/>
              <w:right w:type="dxa" w:w="80"/>
            </w:tcMar>
          </w:tcPr>
          <w:p>
            <w:r>
              <w:rPr>
                <w:rFonts w:ascii="Arial" w:cs="Arial" w:eastAsia="Arial" w:hAnsi="Arial"/>
                <w:sz w:val="13"/>
                <w:szCs w:val="13"/>
              </w:rPr>
              <w:t xml:space="preserve">Unauthorized EHR and remote access</w:t>
            </w:r>
          </w:p>
        </w:tc>
        <w:tc>
          <w:tcPr>
            <w:tcW w:type="dxa" w:w="748"/>
            <w:tcMar>
              <w:top w:type="dxa" w:w="50"/>
              <w:left w:type="dxa" w:w="80"/>
              <w:bottom w:type="dxa" w:w="50"/>
              <w:right w:type="dxa" w:w="80"/>
            </w:tcMar>
          </w:tcPr>
          <w:p>
            <w:r>
              <w:rPr>
                <w:rFonts w:ascii="Arial" w:cs="Arial" w:eastAsia="Arial" w:hAnsi="Arial"/>
                <w:sz w:val="13"/>
                <w:szCs w:val="13"/>
              </w:rPr>
              <w:t xml:space="preserve">MED-CYR-01, 12</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w:t>
            </w:r>
          </w:p>
        </w:tc>
        <w:tc>
          <w:tcPr>
            <w:tcW w:type="dxa" w:w="2249"/>
            <w:tcMar>
              <w:top w:type="dxa" w:w="50"/>
              <w:left w:type="dxa" w:w="80"/>
              <w:bottom w:type="dxa" w:w="50"/>
              <w:right w:type="dxa" w:w="80"/>
            </w:tcMar>
          </w:tcPr>
          <w:p>
            <w:r>
              <w:rPr>
                <w:rFonts w:ascii="Arial" w:cs="Arial" w:eastAsia="Arial" w:hAnsi="Arial"/>
                <w:sz w:val="13"/>
                <w:szCs w:val="13"/>
              </w:rPr>
              <w:t xml:space="preserve">Most frequent initial-access path; directly evidenced by injects E6.</w:t>
            </w:r>
          </w:p>
        </w:tc>
      </w:tr>
      <w:tr>
        <w:tc>
          <w:tcPr>
            <w:tcW w:type="dxa" w:w="374"/>
            <w:tcMar>
              <w:top w:type="dxa" w:w="50"/>
              <w:left w:type="dxa" w:w="80"/>
              <w:bottom w:type="dxa" w:w="50"/>
              <w:right w:type="dxa" w:w="80"/>
            </w:tcMar>
          </w:tcPr>
          <w:p>
            <w:r>
              <w:rPr>
                <w:rFonts w:ascii="Arial" w:cs="Arial" w:eastAsia="Arial" w:hAnsi="Arial"/>
                <w:sz w:val="13"/>
                <w:szCs w:val="13"/>
              </w:rPr>
              <w:t xml:space="preserve">C02</w:t>
            </w:r>
          </w:p>
        </w:tc>
        <w:tc>
          <w:tcPr>
            <w:tcW w:type="dxa" w:w="1404"/>
            <w:tcMar>
              <w:top w:type="dxa" w:w="50"/>
              <w:left w:type="dxa" w:w="80"/>
              <w:bottom w:type="dxa" w:w="50"/>
              <w:right w:type="dxa" w:w="80"/>
            </w:tcMar>
          </w:tcPr>
          <w:p>
            <w:r>
              <w:rPr>
                <w:rFonts w:ascii="Arial" w:cs="Arial" w:eastAsia="Arial" w:hAnsi="Arial"/>
                <w:sz w:val="13"/>
                <w:szCs w:val="13"/>
              </w:rPr>
              <w:t xml:space="preserve">Ransomware encrypting EHR support systems, shared folders and scheduling</w:t>
            </w:r>
          </w:p>
        </w:tc>
        <w:tc>
          <w:tcPr>
            <w:tcW w:type="dxa" w:w="842"/>
            <w:tcMar>
              <w:top w:type="dxa" w:w="50"/>
              <w:left w:type="dxa" w:w="80"/>
              <w:bottom w:type="dxa" w:w="50"/>
              <w:right w:type="dxa" w:w="80"/>
            </w:tcMar>
          </w:tcPr>
          <w:p>
            <w:r>
              <w:rPr>
                <w:rFonts w:ascii="Arial" w:cs="Arial" w:eastAsia="Arial" w:hAnsi="Arial"/>
                <w:sz w:val="13"/>
                <w:szCs w:val="13"/>
              </w:rPr>
              <w:t xml:space="preserve">Ransomware group</w:t>
            </w:r>
          </w:p>
        </w:tc>
        <w:tc>
          <w:tcPr>
            <w:tcW w:type="dxa" w:w="1310"/>
            <w:tcMar>
              <w:top w:type="dxa" w:w="50"/>
              <w:left w:type="dxa" w:w="80"/>
              <w:bottom w:type="dxa" w:w="50"/>
              <w:right w:type="dxa" w:w="80"/>
            </w:tcMar>
          </w:tcPr>
          <w:p>
            <w:r>
              <w:rPr>
                <w:rFonts w:ascii="Arial" w:cs="Arial" w:eastAsia="Arial" w:hAnsi="Arial"/>
                <w:sz w:val="13"/>
                <w:szCs w:val="13"/>
              </w:rPr>
              <w:t xml:space="preserve">Flat internal network; weak alert triage; backups reachable</w:t>
            </w:r>
          </w:p>
        </w:tc>
        <w:tc>
          <w:tcPr>
            <w:tcW w:type="dxa" w:w="655"/>
            <w:tcMar>
              <w:top w:type="dxa" w:w="50"/>
              <w:left w:type="dxa" w:w="80"/>
              <w:bottom w:type="dxa" w:w="50"/>
              <w:right w:type="dxa" w:w="80"/>
            </w:tcMar>
          </w:tcPr>
          <w:p>
            <w:r>
              <w:rPr>
                <w:rFonts w:ascii="Arial" w:cs="Arial" w:eastAsia="Arial" w:hAnsi="Arial"/>
                <w:sz w:val="13"/>
                <w:szCs w:val="13"/>
              </w:rPr>
              <w:t xml:space="preserve">CJ1 / CJ3 / CJ6</w:t>
            </w:r>
          </w:p>
        </w:tc>
        <w:tc>
          <w:tcPr>
            <w:tcW w:type="dxa" w:w="936"/>
            <w:tcMar>
              <w:top w:type="dxa" w:w="50"/>
              <w:left w:type="dxa" w:w="80"/>
              <w:bottom w:type="dxa" w:w="50"/>
              <w:right w:type="dxa" w:w="80"/>
            </w:tcMar>
          </w:tcPr>
          <w:p>
            <w:r>
              <w:rPr>
                <w:rFonts w:ascii="Arial" w:cs="Arial" w:eastAsia="Arial" w:hAnsi="Arial"/>
                <w:sz w:val="13"/>
                <w:szCs w:val="13"/>
              </w:rPr>
              <w:t xml:space="preserve">Multi-clinic disruption and data theft</w:t>
            </w:r>
          </w:p>
        </w:tc>
        <w:tc>
          <w:tcPr>
            <w:tcW w:type="dxa" w:w="748"/>
            <w:tcMar>
              <w:top w:type="dxa" w:w="50"/>
              <w:left w:type="dxa" w:w="80"/>
              <w:bottom w:type="dxa" w:w="50"/>
              <w:right w:type="dxa" w:w="80"/>
            </w:tcMar>
          </w:tcPr>
          <w:p>
            <w:r>
              <w:rPr>
                <w:rFonts w:ascii="Arial" w:cs="Arial" w:eastAsia="Arial" w:hAnsi="Arial"/>
                <w:sz w:val="13"/>
                <w:szCs w:val="13"/>
              </w:rPr>
              <w:t xml:space="preserve">MED-CYR-02</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(S2)</w:t>
            </w:r>
          </w:p>
        </w:tc>
        <w:tc>
          <w:tcPr>
            <w:tcW w:type="dxa" w:w="2249"/>
            <w:tcMar>
              <w:top w:type="dxa" w:w="50"/>
              <w:left w:type="dxa" w:w="80"/>
              <w:bottom w:type="dxa" w:w="50"/>
              <w:right w:type="dxa" w:w="80"/>
            </w:tcMar>
          </w:tcPr>
          <w:p>
            <w:r>
              <w:rPr>
                <w:rFonts w:ascii="Arial" w:cs="Arial" w:eastAsia="Arial" w:hAnsi="Arial"/>
                <w:sz w:val="13"/>
                <w:szCs w:val="13"/>
              </w:rPr>
              <w:t xml:space="preserve">Highest combined clinical, privacy and operational consequence.</w:t>
            </w:r>
          </w:p>
        </w:tc>
      </w:tr>
      <w:tr>
        <w:tc>
          <w:tcPr>
            <w:tcW w:type="dxa" w:w="374"/>
            <w:tcMar>
              <w:top w:type="dxa" w:w="50"/>
              <w:left w:type="dxa" w:w="80"/>
              <w:bottom w:type="dxa" w:w="50"/>
              <w:right w:type="dxa" w:w="80"/>
            </w:tcMar>
          </w:tcPr>
          <w:p>
            <w:r>
              <w:rPr>
                <w:rFonts w:ascii="Arial" w:cs="Arial" w:eastAsia="Arial" w:hAnsi="Arial"/>
                <w:sz w:val="13"/>
                <w:szCs w:val="13"/>
              </w:rPr>
              <w:t xml:space="preserve">C03</w:t>
            </w:r>
          </w:p>
        </w:tc>
        <w:tc>
          <w:tcPr>
            <w:tcW w:type="dxa" w:w="1404"/>
            <w:tcMar>
              <w:top w:type="dxa" w:w="50"/>
              <w:left w:type="dxa" w:w="80"/>
              <w:bottom w:type="dxa" w:w="50"/>
              <w:right w:type="dxa" w:w="80"/>
            </w:tcMar>
          </w:tcPr>
          <w:p>
            <w:r>
              <w:rPr>
                <w:rFonts w:ascii="Arial" w:cs="Arial" w:eastAsia="Arial" w:hAnsi="Arial"/>
                <w:sz w:val="13"/>
                <w:szCs w:val="13"/>
              </w:rPr>
              <w:t xml:space="preserve">Backup environment compromised before encryption, recovery fails</w:t>
            </w:r>
          </w:p>
        </w:tc>
        <w:tc>
          <w:tcPr>
            <w:tcW w:type="dxa" w:w="842"/>
            <w:tcMar>
              <w:top w:type="dxa" w:w="50"/>
              <w:left w:type="dxa" w:w="80"/>
              <w:bottom w:type="dxa" w:w="50"/>
              <w:right w:type="dxa" w:w="80"/>
            </w:tcMar>
          </w:tcPr>
          <w:p>
            <w:r>
              <w:rPr>
                <w:rFonts w:ascii="Arial" w:cs="Arial" w:eastAsia="Arial" w:hAnsi="Arial"/>
                <w:sz w:val="13"/>
                <w:szCs w:val="13"/>
              </w:rPr>
              <w:t xml:space="preserve">Ransomware group / privileged attacker</w:t>
            </w:r>
          </w:p>
        </w:tc>
        <w:tc>
          <w:tcPr>
            <w:tcW w:type="dxa" w:w="1310"/>
            <w:tcMar>
              <w:top w:type="dxa" w:w="50"/>
              <w:left w:type="dxa" w:w="80"/>
              <w:bottom w:type="dxa" w:w="50"/>
              <w:right w:type="dxa" w:w="80"/>
            </w:tcMar>
          </w:tcPr>
          <w:p>
            <w:r>
              <w:rPr>
                <w:rFonts w:ascii="Arial" w:cs="Arial" w:eastAsia="Arial" w:hAnsi="Arial"/>
                <w:sz w:val="13"/>
                <w:szCs w:val="13"/>
              </w:rPr>
              <w:t xml:space="preserve">Backups in same admin domain; restore testing not evidenced</w:t>
            </w:r>
          </w:p>
        </w:tc>
        <w:tc>
          <w:tcPr>
            <w:tcW w:type="dxa" w:w="655"/>
            <w:tcMar>
              <w:top w:type="dxa" w:w="50"/>
              <w:left w:type="dxa" w:w="80"/>
              <w:bottom w:type="dxa" w:w="50"/>
              <w:right w:type="dxa" w:w="80"/>
            </w:tcMar>
          </w:tcPr>
          <w:p>
            <w:r>
              <w:rPr>
                <w:rFonts w:ascii="Arial" w:cs="Arial" w:eastAsia="Arial" w:hAnsi="Arial"/>
                <w:sz w:val="13"/>
                <w:szCs w:val="13"/>
              </w:rPr>
              <w:t xml:space="preserve">CJ6</w:t>
            </w:r>
          </w:p>
        </w:tc>
        <w:tc>
          <w:tcPr>
            <w:tcW w:type="dxa" w:w="936"/>
            <w:tcMar>
              <w:top w:type="dxa" w:w="50"/>
              <w:left w:type="dxa" w:w="80"/>
              <w:bottom w:type="dxa" w:w="50"/>
              <w:right w:type="dxa" w:w="80"/>
            </w:tcMar>
          </w:tcPr>
          <w:p>
            <w:r>
              <w:rPr>
                <w:rFonts w:ascii="Arial" w:cs="Arial" w:eastAsia="Arial" w:hAnsi="Arial"/>
                <w:sz w:val="13"/>
                <w:szCs w:val="13"/>
              </w:rPr>
              <w:t xml:space="preserve">Prolonged outage, loss of recoverability</w:t>
            </w:r>
          </w:p>
        </w:tc>
        <w:tc>
          <w:tcPr>
            <w:tcW w:type="dxa" w:w="748"/>
            <w:tcMar>
              <w:top w:type="dxa" w:w="50"/>
              <w:left w:type="dxa" w:w="80"/>
              <w:bottom w:type="dxa" w:w="50"/>
              <w:right w:type="dxa" w:w="80"/>
            </w:tcMar>
          </w:tcPr>
          <w:p>
            <w:r>
              <w:rPr>
                <w:rFonts w:ascii="Arial" w:cs="Arial" w:eastAsia="Arial" w:hAnsi="Arial"/>
                <w:sz w:val="13"/>
                <w:szCs w:val="13"/>
              </w:rPr>
              <w:t xml:space="preserve">MED-CYR-07</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(S3)</w:t>
            </w:r>
          </w:p>
        </w:tc>
        <w:tc>
          <w:tcPr>
            <w:tcW w:type="dxa" w:w="2249"/>
            <w:tcMar>
              <w:top w:type="dxa" w:w="50"/>
              <w:left w:type="dxa" w:w="80"/>
              <w:bottom w:type="dxa" w:w="50"/>
              <w:right w:type="dxa" w:w="80"/>
            </w:tcMar>
          </w:tcPr>
          <w:p>
            <w:r>
              <w:rPr>
                <w:rFonts w:ascii="Arial" w:cs="Arial" w:eastAsia="Arial" w:hAnsi="Arial"/>
                <w:sz w:val="13"/>
                <w:szCs w:val="13"/>
              </w:rPr>
              <w:t xml:space="preserve">Determines whether S2 is survivable; backup failures in E6.</w:t>
            </w:r>
          </w:p>
        </w:tc>
      </w:tr>
      <w:tr>
        <w:tc>
          <w:tcPr>
            <w:tcW w:type="dxa" w:w="374"/>
            <w:tcMar>
              <w:top w:type="dxa" w:w="50"/>
              <w:left w:type="dxa" w:w="80"/>
              <w:bottom w:type="dxa" w:w="50"/>
              <w:right w:type="dxa" w:w="80"/>
            </w:tcMar>
          </w:tcPr>
          <w:p>
            <w:r>
              <w:rPr>
                <w:rFonts w:ascii="Arial" w:cs="Arial" w:eastAsia="Arial" w:hAnsi="Arial"/>
                <w:sz w:val="13"/>
                <w:szCs w:val="13"/>
              </w:rPr>
              <w:t xml:space="preserve">C04</w:t>
            </w:r>
          </w:p>
        </w:tc>
        <w:tc>
          <w:tcPr>
            <w:tcW w:type="dxa" w:w="1404"/>
            <w:tcMar>
              <w:top w:type="dxa" w:w="50"/>
              <w:left w:type="dxa" w:w="80"/>
              <w:bottom w:type="dxa" w:w="50"/>
              <w:right w:type="dxa" w:w="80"/>
            </w:tcMar>
          </w:tcPr>
          <w:p>
            <w:r>
              <w:rPr>
                <w:rFonts w:ascii="Arial" w:cs="Arial" w:eastAsia="Arial" w:hAnsi="Arial"/>
                <w:sz w:val="13"/>
                <w:szCs w:val="13"/>
              </w:rPr>
              <w:t xml:space="preserve">Cloud medical-image transfer storage exposed or accessed externally</w:t>
            </w:r>
          </w:p>
        </w:tc>
        <w:tc>
          <w:tcPr>
            <w:tcW w:type="dxa" w:w="842"/>
            <w:tcMar>
              <w:top w:type="dxa" w:w="50"/>
              <w:left w:type="dxa" w:w="80"/>
              <w:bottom w:type="dxa" w:w="50"/>
              <w:right w:type="dxa" w:w="80"/>
            </w:tcMar>
          </w:tcPr>
          <w:p>
            <w:r>
              <w:rPr>
                <w:rFonts w:ascii="Arial" w:cs="Arial" w:eastAsia="Arial" w:hAnsi="Arial"/>
                <w:sz w:val="13"/>
                <w:szCs w:val="13"/>
              </w:rPr>
              <w:t xml:space="preserve">Opportunistic actor / cybercriminal</w:t>
            </w:r>
          </w:p>
        </w:tc>
        <w:tc>
          <w:tcPr>
            <w:tcW w:type="dxa" w:w="1310"/>
            <w:tcMar>
              <w:top w:type="dxa" w:w="50"/>
              <w:left w:type="dxa" w:w="80"/>
              <w:bottom w:type="dxa" w:w="50"/>
              <w:right w:type="dxa" w:w="80"/>
            </w:tcMar>
          </w:tcPr>
          <w:p>
            <w:r>
              <w:rPr>
                <w:rFonts w:ascii="Arial" w:cs="Arial" w:eastAsia="Arial" w:hAnsi="Arial"/>
                <w:sz w:val="13"/>
                <w:szCs w:val="13"/>
              </w:rPr>
              <w:t xml:space="preserve">Permissive sharing, weak cloud logging and posture management</w:t>
            </w:r>
          </w:p>
        </w:tc>
        <w:tc>
          <w:tcPr>
            <w:tcW w:type="dxa" w:w="655"/>
            <w:tcMar>
              <w:top w:type="dxa" w:w="50"/>
              <w:left w:type="dxa" w:w="80"/>
              <w:bottom w:type="dxa" w:w="50"/>
              <w:right w:type="dxa" w:w="80"/>
            </w:tcMar>
          </w:tcPr>
          <w:p>
            <w:r>
              <w:rPr>
                <w:rFonts w:ascii="Arial" w:cs="Arial" w:eastAsia="Arial" w:hAnsi="Arial"/>
                <w:sz w:val="13"/>
                <w:szCs w:val="13"/>
              </w:rPr>
              <w:t xml:space="preserve">CJ7</w:t>
            </w:r>
          </w:p>
        </w:tc>
        <w:tc>
          <w:tcPr>
            <w:tcW w:type="dxa" w:w="936"/>
            <w:tcMar>
              <w:top w:type="dxa" w:w="50"/>
              <w:left w:type="dxa" w:w="80"/>
              <w:bottom w:type="dxa" w:w="50"/>
              <w:right w:type="dxa" w:w="80"/>
            </w:tcMar>
          </w:tcPr>
          <w:p>
            <w:r>
              <w:rPr>
                <w:rFonts w:ascii="Arial" w:cs="Arial" w:eastAsia="Arial" w:hAnsi="Arial"/>
                <w:sz w:val="13"/>
                <w:szCs w:val="13"/>
              </w:rPr>
              <w:t xml:space="preserve">Bulk health-data exposure</w:t>
            </w:r>
          </w:p>
        </w:tc>
        <w:tc>
          <w:tcPr>
            <w:tcW w:type="dxa" w:w="748"/>
            <w:tcMar>
              <w:top w:type="dxa" w:w="50"/>
              <w:left w:type="dxa" w:w="80"/>
              <w:bottom w:type="dxa" w:w="50"/>
              <w:right w:type="dxa" w:w="80"/>
            </w:tcMar>
          </w:tcPr>
          <w:p>
            <w:r>
              <w:rPr>
                <w:rFonts w:ascii="Arial" w:cs="Arial" w:eastAsia="Arial" w:hAnsi="Arial"/>
                <w:sz w:val="13"/>
                <w:szCs w:val="13"/>
              </w:rPr>
              <w:t xml:space="preserve">MED-CYR-03</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(S4)</w:t>
            </w:r>
          </w:p>
        </w:tc>
        <w:tc>
          <w:tcPr>
            <w:tcW w:type="dxa" w:w="2249"/>
            <w:tcMar>
              <w:top w:type="dxa" w:w="50"/>
              <w:left w:type="dxa" w:w="80"/>
              <w:bottom w:type="dxa" w:w="50"/>
              <w:right w:type="dxa" w:w="80"/>
            </w:tcMar>
          </w:tcPr>
          <w:p>
            <w:r>
              <w:rPr>
                <w:rFonts w:ascii="Arial" w:cs="Arial" w:eastAsia="Arial" w:hAnsi="Arial"/>
                <w:sz w:val="13"/>
                <w:szCs w:val="13"/>
              </w:rPr>
              <w:t xml:space="preserve">Large-volume PHI exposure; evidenced by unusual downloads (E6).</w:t>
            </w:r>
          </w:p>
        </w:tc>
      </w:tr>
      <w:tr>
        <w:tc>
          <w:tcPr>
            <w:tcW w:type="dxa" w:w="374"/>
            <w:tcMar>
              <w:top w:type="dxa" w:w="50"/>
              <w:left w:type="dxa" w:w="80"/>
              <w:bottom w:type="dxa" w:w="50"/>
              <w:right w:type="dxa" w:w="80"/>
            </w:tcMar>
          </w:tcPr>
          <w:p>
            <w:r>
              <w:rPr>
                <w:rFonts w:ascii="Arial" w:cs="Arial" w:eastAsia="Arial" w:hAnsi="Arial"/>
                <w:sz w:val="13"/>
                <w:szCs w:val="13"/>
              </w:rPr>
              <w:t xml:space="preserve">C05</w:t>
            </w:r>
          </w:p>
        </w:tc>
        <w:tc>
          <w:tcPr>
            <w:tcW w:type="dxa" w:w="1404"/>
            <w:tcMar>
              <w:top w:type="dxa" w:w="50"/>
              <w:left w:type="dxa" w:w="80"/>
              <w:bottom w:type="dxa" w:w="50"/>
              <w:right w:type="dxa" w:w="80"/>
            </w:tcMar>
          </w:tcPr>
          <w:p>
            <w:r>
              <w:rPr>
                <w:rFonts w:ascii="Arial" w:cs="Arial" w:eastAsia="Arial" w:hAnsi="Arial"/>
                <w:sz w:val="13"/>
                <w:szCs w:val="13"/>
              </w:rPr>
              <w:t xml:space="preserve">API key committed to a code repository enables data access</w:t>
            </w:r>
          </w:p>
        </w:tc>
        <w:tc>
          <w:tcPr>
            <w:tcW w:type="dxa" w:w="842"/>
            <w:tcMar>
              <w:top w:type="dxa" w:w="50"/>
              <w:left w:type="dxa" w:w="80"/>
              <w:bottom w:type="dxa" w:w="50"/>
              <w:right w:type="dxa" w:w="80"/>
            </w:tcMar>
          </w:tcPr>
          <w:p>
            <w:r>
              <w:rPr>
                <w:rFonts w:ascii="Arial" w:cs="Arial" w:eastAsia="Arial" w:hAnsi="Arial"/>
                <w:sz w:val="13"/>
                <w:szCs w:val="13"/>
              </w:rPr>
              <w:t xml:space="preserve">Opportunistic actor</w:t>
            </w:r>
          </w:p>
        </w:tc>
        <w:tc>
          <w:tcPr>
            <w:tcW w:type="dxa" w:w="1310"/>
            <w:tcMar>
              <w:top w:type="dxa" w:w="50"/>
              <w:left w:type="dxa" w:w="80"/>
              <w:bottom w:type="dxa" w:w="50"/>
              <w:right w:type="dxa" w:w="80"/>
            </w:tcMar>
          </w:tcPr>
          <w:p>
            <w:r>
              <w:rPr>
                <w:rFonts w:ascii="Arial" w:cs="Arial" w:eastAsia="Arial" w:hAnsi="Arial"/>
                <w:sz w:val="13"/>
                <w:szCs w:val="13"/>
              </w:rPr>
              <w:t xml:space="preserve">No secret scanning or vault evidenced</w:t>
            </w:r>
          </w:p>
        </w:tc>
        <w:tc>
          <w:tcPr>
            <w:tcW w:type="dxa" w:w="655"/>
            <w:tcMar>
              <w:top w:type="dxa" w:w="50"/>
              <w:left w:type="dxa" w:w="80"/>
              <w:bottom w:type="dxa" w:w="50"/>
              <w:right w:type="dxa" w:w="80"/>
            </w:tcMar>
          </w:tcPr>
          <w:p>
            <w:r>
              <w:rPr>
                <w:rFonts w:ascii="Arial" w:cs="Arial" w:eastAsia="Arial" w:hAnsi="Arial"/>
                <w:sz w:val="13"/>
                <w:szCs w:val="13"/>
              </w:rPr>
              <w:t xml:space="preserve">CJ1 / CJ7</w:t>
            </w:r>
          </w:p>
        </w:tc>
        <w:tc>
          <w:tcPr>
            <w:tcW w:type="dxa" w:w="936"/>
            <w:tcMar>
              <w:top w:type="dxa" w:w="50"/>
              <w:left w:type="dxa" w:w="80"/>
              <w:bottom w:type="dxa" w:w="50"/>
              <w:right w:type="dxa" w:w="80"/>
            </w:tcMar>
          </w:tcPr>
          <w:p>
            <w:r>
              <w:rPr>
                <w:rFonts w:ascii="Arial" w:cs="Arial" w:eastAsia="Arial" w:hAnsi="Arial"/>
                <w:sz w:val="13"/>
                <w:szCs w:val="13"/>
              </w:rPr>
              <w:t xml:space="preserve">Direct API data extraction</w:t>
            </w:r>
          </w:p>
        </w:tc>
        <w:tc>
          <w:tcPr>
            <w:tcW w:type="dxa" w:w="748"/>
            <w:tcMar>
              <w:top w:type="dxa" w:w="50"/>
              <w:left w:type="dxa" w:w="80"/>
              <w:bottom w:type="dxa" w:w="50"/>
              <w:right w:type="dxa" w:w="80"/>
            </w:tcMar>
          </w:tcPr>
          <w:p>
            <w:r>
              <w:rPr>
                <w:rFonts w:ascii="Arial" w:cs="Arial" w:eastAsia="Arial" w:hAnsi="Arial"/>
                <w:sz w:val="13"/>
                <w:szCs w:val="13"/>
              </w:rPr>
              <w:t xml:space="preserve">MED-CYR-04</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Not selected</w:t>
            </w:r>
          </w:p>
        </w:tc>
        <w:tc>
          <w:tcPr>
            <w:tcW w:type="dxa" w:w="2249"/>
            <w:tcMar>
              <w:top w:type="dxa" w:w="50"/>
              <w:left w:type="dxa" w:w="80"/>
              <w:bottom w:type="dxa" w:w="50"/>
              <w:right w:type="dxa" w:w="80"/>
            </w:tcMar>
          </w:tcPr>
          <w:p>
            <w:r>
              <w:rPr>
                <w:rFonts w:ascii="Arial" w:cs="Arial" w:eastAsia="Arial" w:hAnsi="Arial"/>
                <w:sz w:val="13"/>
                <w:szCs w:val="13"/>
              </w:rPr>
              <w:t xml:space="preserve">Plausible but thin evidence on MediBec's development footprint; controls partly shared with S4/S5. Keep on watch list.</w:t>
            </w:r>
          </w:p>
        </w:tc>
      </w:tr>
      <w:tr>
        <w:tc>
          <w:tcPr>
            <w:tcW w:type="dxa" w:w="374"/>
            <w:tcMar>
              <w:top w:type="dxa" w:w="50"/>
              <w:left w:type="dxa" w:w="80"/>
              <w:bottom w:type="dxa" w:w="50"/>
              <w:right w:type="dxa" w:w="80"/>
            </w:tcMar>
          </w:tcPr>
          <w:p>
            <w:r>
              <w:rPr>
                <w:rFonts w:ascii="Arial" w:cs="Arial" w:eastAsia="Arial" w:hAnsi="Arial"/>
                <w:sz w:val="13"/>
                <w:szCs w:val="13"/>
              </w:rPr>
              <w:t xml:space="preserve">C06</w:t>
            </w:r>
          </w:p>
        </w:tc>
        <w:tc>
          <w:tcPr>
            <w:tcW w:type="dxa" w:w="1404"/>
            <w:tcMar>
              <w:top w:type="dxa" w:w="50"/>
              <w:left w:type="dxa" w:w="80"/>
              <w:bottom w:type="dxa" w:w="50"/>
              <w:right w:type="dxa" w:w="80"/>
            </w:tcMar>
          </w:tcPr>
          <w:p>
            <w:r>
              <w:rPr>
                <w:rFonts w:ascii="Arial" w:cs="Arial" w:eastAsia="Arial" w:hAnsi="Arial"/>
                <w:sz w:val="13"/>
                <w:szCs w:val="13"/>
              </w:rPr>
              <w:t xml:space="preserve">Clinic Wi-Fi compromise or rogue access point</w:t>
            </w:r>
          </w:p>
        </w:tc>
        <w:tc>
          <w:tcPr>
            <w:tcW w:type="dxa" w:w="842"/>
            <w:tcMar>
              <w:top w:type="dxa" w:w="50"/>
              <w:left w:type="dxa" w:w="80"/>
              <w:bottom w:type="dxa" w:w="50"/>
              <w:right w:type="dxa" w:w="80"/>
            </w:tcMar>
          </w:tcPr>
          <w:p>
            <w:r>
              <w:rPr>
                <w:rFonts w:ascii="Arial" w:cs="Arial" w:eastAsia="Arial" w:hAnsi="Arial"/>
                <w:sz w:val="13"/>
                <w:szCs w:val="13"/>
              </w:rPr>
              <w:t xml:space="preserve">Local attacker</w:t>
            </w:r>
          </w:p>
        </w:tc>
        <w:tc>
          <w:tcPr>
            <w:tcW w:type="dxa" w:w="1310"/>
            <w:tcMar>
              <w:top w:type="dxa" w:w="50"/>
              <w:left w:type="dxa" w:w="80"/>
              <w:bottom w:type="dxa" w:w="50"/>
              <w:right w:type="dxa" w:w="80"/>
            </w:tcMar>
          </w:tcPr>
          <w:p>
            <w:r>
              <w:rPr>
                <w:rFonts w:ascii="Arial" w:cs="Arial" w:eastAsia="Arial" w:hAnsi="Arial"/>
                <w:sz w:val="13"/>
                <w:szCs w:val="13"/>
              </w:rPr>
              <w:t xml:space="preserve">Guest/clinical Wi-Fi segmentation not evidenced</w:t>
            </w:r>
          </w:p>
        </w:tc>
        <w:tc>
          <w:tcPr>
            <w:tcW w:type="dxa" w:w="655"/>
            <w:tcMar>
              <w:top w:type="dxa" w:w="50"/>
              <w:left w:type="dxa" w:w="80"/>
              <w:bottom w:type="dxa" w:w="50"/>
              <w:right w:type="dxa" w:w="80"/>
            </w:tcMar>
          </w:tcPr>
          <w:p>
            <w:r>
              <w:rPr>
                <w:rFonts w:ascii="Arial" w:cs="Arial" w:eastAsia="Arial" w:hAnsi="Arial"/>
                <w:sz w:val="13"/>
                <w:szCs w:val="13"/>
              </w:rPr>
              <w:t xml:space="preserve">Clinic LAN</w:t>
            </w:r>
          </w:p>
        </w:tc>
        <w:tc>
          <w:tcPr>
            <w:tcW w:type="dxa" w:w="936"/>
            <w:tcMar>
              <w:top w:type="dxa" w:w="50"/>
              <w:left w:type="dxa" w:w="80"/>
              <w:bottom w:type="dxa" w:w="50"/>
              <w:right w:type="dxa" w:w="80"/>
            </w:tcMar>
          </w:tcPr>
          <w:p>
            <w:r>
              <w:rPr>
                <w:rFonts w:ascii="Arial" w:cs="Arial" w:eastAsia="Arial" w:hAnsi="Arial"/>
                <w:sz w:val="13"/>
                <w:szCs w:val="13"/>
              </w:rPr>
              <w:t xml:space="preserve">Internal network foothold</w:t>
            </w:r>
          </w:p>
        </w:tc>
        <w:tc>
          <w:tcPr>
            <w:tcW w:type="dxa" w:w="748"/>
            <w:tcMar>
              <w:top w:type="dxa" w:w="50"/>
              <w:left w:type="dxa" w:w="80"/>
              <w:bottom w:type="dxa" w:w="50"/>
              <w:right w:type="dxa" w:w="80"/>
            </w:tcMar>
          </w:tcPr>
          <w:p>
            <w:r>
              <w:rPr>
                <w:rFonts w:ascii="Arial" w:cs="Arial" w:eastAsia="Arial" w:hAnsi="Arial"/>
                <w:sz w:val="13"/>
                <w:szCs w:val="13"/>
              </w:rPr>
              <w:t xml:space="preserve">MED-CYR-05</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S7</w:t>
            </w:r>
          </w:p>
        </w:tc>
        <w:tc>
          <w:tcPr>
            <w:tcW w:type="dxa" w:w="2249"/>
            <w:tcMar>
              <w:top w:type="dxa" w:w="50"/>
              <w:left w:type="dxa" w:w="80"/>
              <w:bottom w:type="dxa" w:w="50"/>
              <w:right w:type="dxa" w:w="80"/>
            </w:tcMar>
          </w:tcPr>
          <w:p>
            <w:r>
              <w:rPr>
                <w:rFonts w:ascii="Arial" w:cs="Arial" w:eastAsia="Arial" w:hAnsi="Arial"/>
                <w:sz w:val="13"/>
                <w:szCs w:val="13"/>
              </w:rPr>
              <w:t xml:space="preserve">Treated as an access path; the consequence driver is the flat network addressed in S7/S2.</w:t>
            </w:r>
          </w:p>
        </w:tc>
      </w:tr>
      <w:tr>
        <w:tc>
          <w:tcPr>
            <w:tcW w:type="dxa" w:w="374"/>
            <w:tcMar>
              <w:top w:type="dxa" w:w="50"/>
              <w:left w:type="dxa" w:w="80"/>
              <w:bottom w:type="dxa" w:w="50"/>
              <w:right w:type="dxa" w:w="80"/>
            </w:tcMar>
          </w:tcPr>
          <w:p>
            <w:r>
              <w:rPr>
                <w:rFonts w:ascii="Arial" w:cs="Arial" w:eastAsia="Arial" w:hAnsi="Arial"/>
                <w:sz w:val="13"/>
                <w:szCs w:val="13"/>
              </w:rPr>
              <w:t xml:space="preserve">C07</w:t>
            </w:r>
          </w:p>
        </w:tc>
        <w:tc>
          <w:tcPr>
            <w:tcW w:type="dxa" w:w="1404"/>
            <w:tcMar>
              <w:top w:type="dxa" w:w="50"/>
              <w:left w:type="dxa" w:w="80"/>
              <w:bottom w:type="dxa" w:w="50"/>
              <w:right w:type="dxa" w:w="80"/>
            </w:tcMar>
          </w:tcPr>
          <w:p>
            <w:r>
              <w:rPr>
                <w:rFonts w:ascii="Arial" w:cs="Arial" w:eastAsia="Arial" w:hAnsi="Arial"/>
                <w:sz w:val="13"/>
                <w:szCs w:val="13"/>
              </w:rPr>
              <w:t xml:space="preserve">Exploitation of unpatched internet-facing or end-of-life systems</w:t>
            </w:r>
          </w:p>
        </w:tc>
        <w:tc>
          <w:tcPr>
            <w:tcW w:type="dxa" w:w="842"/>
            <w:tcMar>
              <w:top w:type="dxa" w:w="50"/>
              <w:left w:type="dxa" w:w="80"/>
              <w:bottom w:type="dxa" w:w="50"/>
              <w:right w:type="dxa" w:w="80"/>
            </w:tcMar>
          </w:tcPr>
          <w:p>
            <w:r>
              <w:rPr>
                <w:rFonts w:ascii="Arial" w:cs="Arial" w:eastAsia="Arial" w:hAnsi="Arial"/>
                <w:sz w:val="13"/>
                <w:szCs w:val="13"/>
              </w:rPr>
              <w:t xml:space="preserve">Cybercriminal / state-linked actor</w:t>
            </w:r>
          </w:p>
        </w:tc>
        <w:tc>
          <w:tcPr>
            <w:tcW w:type="dxa" w:w="1310"/>
            <w:tcMar>
              <w:top w:type="dxa" w:w="50"/>
              <w:left w:type="dxa" w:w="80"/>
              <w:bottom w:type="dxa" w:w="50"/>
              <w:right w:type="dxa" w:w="80"/>
            </w:tcMar>
          </w:tcPr>
          <w:p>
            <w:r>
              <w:rPr>
                <w:rFonts w:ascii="Arial" w:cs="Arial" w:eastAsia="Arial" w:hAnsi="Arial"/>
                <w:sz w:val="13"/>
                <w:szCs w:val="13"/>
              </w:rPr>
              <w:t xml:space="preserve">Patch delays from uptime and vendor constraints</w:t>
            </w:r>
          </w:p>
        </w:tc>
        <w:tc>
          <w:tcPr>
            <w:tcW w:type="dxa" w:w="655"/>
            <w:tcMar>
              <w:top w:type="dxa" w:w="50"/>
              <w:left w:type="dxa" w:w="80"/>
              <w:bottom w:type="dxa" w:w="50"/>
              <w:right w:type="dxa" w:w="80"/>
            </w:tcMar>
          </w:tcPr>
          <w:p>
            <w:r>
              <w:rPr>
                <w:rFonts w:ascii="Arial" w:cs="Arial" w:eastAsia="Arial" w:hAnsi="Arial"/>
                <w:sz w:val="13"/>
                <w:szCs w:val="13"/>
              </w:rPr>
              <w:t xml:space="preserve">CJ5 / CJ6</w:t>
            </w:r>
          </w:p>
        </w:tc>
        <w:tc>
          <w:tcPr>
            <w:tcW w:type="dxa" w:w="936"/>
            <w:tcMar>
              <w:top w:type="dxa" w:w="50"/>
              <w:left w:type="dxa" w:w="80"/>
              <w:bottom w:type="dxa" w:w="50"/>
              <w:right w:type="dxa" w:w="80"/>
            </w:tcMar>
          </w:tcPr>
          <w:p>
            <w:r>
              <w:rPr>
                <w:rFonts w:ascii="Arial" w:cs="Arial" w:eastAsia="Arial" w:hAnsi="Arial"/>
                <w:sz w:val="13"/>
                <w:szCs w:val="13"/>
              </w:rPr>
              <w:t xml:space="preserve">Remote code execution and intrusion</w:t>
            </w:r>
          </w:p>
        </w:tc>
        <w:tc>
          <w:tcPr>
            <w:tcW w:type="dxa" w:w="748"/>
            <w:tcMar>
              <w:top w:type="dxa" w:w="50"/>
              <w:left w:type="dxa" w:w="80"/>
              <w:bottom w:type="dxa" w:w="50"/>
              <w:right w:type="dxa" w:w="80"/>
            </w:tcMar>
          </w:tcPr>
          <w:p>
            <w:r>
              <w:rPr>
                <w:rFonts w:ascii="Arial" w:cs="Arial" w:eastAsia="Arial" w:hAnsi="Arial"/>
                <w:sz w:val="13"/>
                <w:szCs w:val="13"/>
              </w:rPr>
              <w:t xml:space="preserve">MED-CYR-06</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(S6)</w:t>
            </w:r>
          </w:p>
        </w:tc>
        <w:tc>
          <w:tcPr>
            <w:tcW w:type="dxa" w:w="2249"/>
            <w:tcMar>
              <w:top w:type="dxa" w:w="50"/>
              <w:left w:type="dxa" w:w="80"/>
              <w:bottom w:type="dxa" w:w="50"/>
              <w:right w:type="dxa" w:w="80"/>
            </w:tcMar>
          </w:tcPr>
          <w:p>
            <w:r>
              <w:rPr>
                <w:rFonts w:ascii="Arial" w:cs="Arial" w:eastAsia="Arial" w:hAnsi="Arial"/>
                <w:sz w:val="13"/>
                <w:szCs w:val="13"/>
              </w:rPr>
              <w:t xml:space="preserve">Mass exploitation of edge devices is a leading entry vector; patching constraints documented (E3).</w:t>
            </w:r>
          </w:p>
        </w:tc>
      </w:tr>
      <w:tr>
        <w:tc>
          <w:tcPr>
            <w:tcW w:type="dxa" w:w="374"/>
            <w:tcMar>
              <w:top w:type="dxa" w:w="50"/>
              <w:left w:type="dxa" w:w="80"/>
              <w:bottom w:type="dxa" w:w="50"/>
              <w:right w:type="dxa" w:w="80"/>
            </w:tcMar>
          </w:tcPr>
          <w:p>
            <w:r>
              <w:rPr>
                <w:rFonts w:ascii="Arial" w:cs="Arial" w:eastAsia="Arial" w:hAnsi="Arial"/>
                <w:sz w:val="13"/>
                <w:szCs w:val="13"/>
              </w:rPr>
              <w:t xml:space="preserve">C08</w:t>
            </w:r>
          </w:p>
        </w:tc>
        <w:tc>
          <w:tcPr>
            <w:tcW w:type="dxa" w:w="1404"/>
            <w:tcMar>
              <w:top w:type="dxa" w:w="50"/>
              <w:left w:type="dxa" w:w="80"/>
              <w:bottom w:type="dxa" w:w="50"/>
              <w:right w:type="dxa" w:w="80"/>
            </w:tcMar>
          </w:tcPr>
          <w:p>
            <w:r>
              <w:rPr>
                <w:rFonts w:ascii="Arial" w:cs="Arial" w:eastAsia="Arial" w:hAnsi="Arial"/>
                <w:sz w:val="13"/>
                <w:szCs w:val="13"/>
              </w:rPr>
              <w:t xml:space="preserve">Intrusion goes undetected because monitoring and triage are insufficient</w:t>
            </w:r>
          </w:p>
        </w:tc>
        <w:tc>
          <w:tcPr>
            <w:tcW w:type="dxa" w:w="842"/>
            <w:tcMar>
              <w:top w:type="dxa" w:w="50"/>
              <w:left w:type="dxa" w:w="80"/>
              <w:bottom w:type="dxa" w:w="50"/>
              <w:right w:type="dxa" w:w="80"/>
            </w:tcMar>
          </w:tcPr>
          <w:p>
            <w:r>
              <w:rPr>
                <w:rFonts w:ascii="Arial" w:cs="Arial" w:eastAsia="Arial" w:hAnsi="Arial"/>
                <w:sz w:val="13"/>
                <w:szCs w:val="13"/>
              </w:rPr>
              <w:t xml:space="preserve">Any external actor</w:t>
            </w:r>
          </w:p>
        </w:tc>
        <w:tc>
          <w:tcPr>
            <w:tcW w:type="dxa" w:w="1310"/>
            <w:tcMar>
              <w:top w:type="dxa" w:w="50"/>
              <w:left w:type="dxa" w:w="80"/>
              <w:bottom w:type="dxa" w:w="50"/>
              <w:right w:type="dxa" w:w="80"/>
            </w:tcMar>
          </w:tcPr>
          <w:p>
            <w:r>
              <w:rPr>
                <w:rFonts w:ascii="Arial" w:cs="Arial" w:eastAsia="Arial" w:hAnsi="Arial"/>
                <w:sz w:val="13"/>
                <w:szCs w:val="13"/>
              </w:rPr>
              <w:t xml:space="preserve">2-person team, alert closed as low severity, log coverage unknown</w:t>
            </w:r>
          </w:p>
        </w:tc>
        <w:tc>
          <w:tcPr>
            <w:tcW w:type="dxa" w:w="655"/>
            <w:tcMar>
              <w:top w:type="dxa" w:w="50"/>
              <w:left w:type="dxa" w:w="80"/>
              <w:bottom w:type="dxa" w:w="50"/>
              <w:right w:type="dxa" w:w="80"/>
            </w:tcMar>
          </w:tcPr>
          <w:p>
            <w:r>
              <w:rPr>
                <w:rFonts w:ascii="Arial" w:cs="Arial" w:eastAsia="Arial" w:hAnsi="Arial"/>
                <w:sz w:val="13"/>
                <w:szCs w:val="13"/>
              </w:rPr>
              <w:t xml:space="preserve">All</w:t>
            </w:r>
          </w:p>
        </w:tc>
        <w:tc>
          <w:tcPr>
            <w:tcW w:type="dxa" w:w="936"/>
            <w:tcMar>
              <w:top w:type="dxa" w:w="50"/>
              <w:left w:type="dxa" w:w="80"/>
              <w:bottom w:type="dxa" w:w="50"/>
              <w:right w:type="dxa" w:w="80"/>
            </w:tcMar>
          </w:tcPr>
          <w:p>
            <w:r>
              <w:rPr>
                <w:rFonts w:ascii="Arial" w:cs="Arial" w:eastAsia="Arial" w:hAnsi="Arial"/>
                <w:sz w:val="13"/>
                <w:szCs w:val="13"/>
              </w:rPr>
              <w:t xml:space="preserve">Extended dwell time, amplified harm</w:t>
            </w:r>
          </w:p>
        </w:tc>
        <w:tc>
          <w:tcPr>
            <w:tcW w:type="dxa" w:w="748"/>
            <w:tcMar>
              <w:top w:type="dxa" w:w="50"/>
              <w:left w:type="dxa" w:w="80"/>
              <w:bottom w:type="dxa" w:w="50"/>
              <w:right w:type="dxa" w:w="80"/>
            </w:tcMar>
          </w:tcPr>
          <w:p>
            <w:r>
              <w:rPr>
                <w:rFonts w:ascii="Arial" w:cs="Arial" w:eastAsia="Arial" w:hAnsi="Arial"/>
                <w:sz w:val="13"/>
                <w:szCs w:val="13"/>
              </w:rPr>
              <w:t xml:space="preserve">MED-CYR-08</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(S8)</w:t>
            </w:r>
          </w:p>
        </w:tc>
        <w:tc>
          <w:tcPr>
            <w:tcW w:type="dxa" w:w="2249"/>
            <w:tcMar>
              <w:top w:type="dxa" w:w="50"/>
              <w:left w:type="dxa" w:w="80"/>
              <w:bottom w:type="dxa" w:w="50"/>
              <w:right w:type="dxa" w:w="80"/>
            </w:tcMar>
          </w:tcPr>
          <w:p>
            <w:r>
              <w:rPr>
                <w:rFonts w:ascii="Arial" w:cs="Arial" w:eastAsia="Arial" w:hAnsi="Arial"/>
                <w:sz w:val="13"/>
                <w:szCs w:val="13"/>
              </w:rPr>
              <w:t xml:space="preserve">Systemic amplifier; directly evidenced (E3, E6).</w:t>
            </w:r>
          </w:p>
        </w:tc>
      </w:tr>
      <w:tr>
        <w:tc>
          <w:tcPr>
            <w:tcW w:type="dxa" w:w="374"/>
            <w:tcMar>
              <w:top w:type="dxa" w:w="50"/>
              <w:left w:type="dxa" w:w="80"/>
              <w:bottom w:type="dxa" w:w="50"/>
              <w:right w:type="dxa" w:w="80"/>
            </w:tcMar>
          </w:tcPr>
          <w:p>
            <w:r>
              <w:rPr>
                <w:rFonts w:ascii="Arial" w:cs="Arial" w:eastAsia="Arial" w:hAnsi="Arial"/>
                <w:sz w:val="13"/>
                <w:szCs w:val="13"/>
              </w:rPr>
              <w:t xml:space="preserve">C09</w:t>
            </w:r>
          </w:p>
        </w:tc>
        <w:tc>
          <w:tcPr>
            <w:tcW w:type="dxa" w:w="1404"/>
            <w:tcMar>
              <w:top w:type="dxa" w:w="50"/>
              <w:left w:type="dxa" w:w="80"/>
              <w:bottom w:type="dxa" w:w="50"/>
              <w:right w:type="dxa" w:w="80"/>
            </w:tcMar>
          </w:tcPr>
          <w:p>
            <w:r>
              <w:rPr>
                <w:rFonts w:ascii="Arial" w:cs="Arial" w:eastAsia="Arial" w:hAnsi="Arial"/>
                <w:sz w:val="13"/>
                <w:szCs w:val="13"/>
              </w:rPr>
              <w:t xml:space="preserve">Connected medical device used as network foothold</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Unpatched embedded OS, incomplete inventory, weak segmentation</w:t>
            </w:r>
          </w:p>
        </w:tc>
        <w:tc>
          <w:tcPr>
            <w:tcW w:type="dxa" w:w="655"/>
            <w:tcMar>
              <w:top w:type="dxa" w:w="50"/>
              <w:left w:type="dxa" w:w="80"/>
              <w:bottom w:type="dxa" w:w="50"/>
              <w:right w:type="dxa" w:w="80"/>
            </w:tcMar>
          </w:tcPr>
          <w:p>
            <w:r>
              <w:rPr>
                <w:rFonts w:ascii="Arial" w:cs="Arial" w:eastAsia="Arial" w:hAnsi="Arial"/>
                <w:sz w:val="13"/>
                <w:szCs w:val="13"/>
              </w:rPr>
              <w:t xml:space="preserve">CJ8</w:t>
            </w:r>
          </w:p>
        </w:tc>
        <w:tc>
          <w:tcPr>
            <w:tcW w:type="dxa" w:w="936"/>
            <w:tcMar>
              <w:top w:type="dxa" w:w="50"/>
              <w:left w:type="dxa" w:w="80"/>
              <w:bottom w:type="dxa" w:w="50"/>
              <w:right w:type="dxa" w:w="80"/>
            </w:tcMar>
          </w:tcPr>
          <w:p>
            <w:r>
              <w:rPr>
                <w:rFonts w:ascii="Arial" w:cs="Arial" w:eastAsia="Arial" w:hAnsi="Arial"/>
                <w:sz w:val="13"/>
                <w:szCs w:val="13"/>
              </w:rPr>
              <w:t xml:space="preserve">Device disruption, lateral movement</w:t>
            </w:r>
          </w:p>
        </w:tc>
        <w:tc>
          <w:tcPr>
            <w:tcW w:type="dxa" w:w="748"/>
            <w:tcMar>
              <w:top w:type="dxa" w:w="50"/>
              <w:left w:type="dxa" w:w="80"/>
              <w:bottom w:type="dxa" w:w="50"/>
              <w:right w:type="dxa" w:w="80"/>
            </w:tcMar>
          </w:tcPr>
          <w:p>
            <w:r>
              <w:rPr>
                <w:rFonts w:ascii="Arial" w:cs="Arial" w:eastAsia="Arial" w:hAnsi="Arial"/>
                <w:sz w:val="13"/>
                <w:szCs w:val="13"/>
              </w:rPr>
              <w:t xml:space="preserve">MED-CYR-09</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(S7)</w:t>
            </w:r>
          </w:p>
        </w:tc>
        <w:tc>
          <w:tcPr>
            <w:tcW w:type="dxa" w:w="2249"/>
            <w:tcMar>
              <w:top w:type="dxa" w:w="50"/>
              <w:left w:type="dxa" w:w="80"/>
              <w:bottom w:type="dxa" w:w="50"/>
              <w:right w:type="dxa" w:w="80"/>
            </w:tcMar>
          </w:tcPr>
          <w:p>
            <w:r>
              <w:rPr>
                <w:rFonts w:ascii="Arial" w:cs="Arial" w:eastAsia="Arial" w:hAnsi="Arial"/>
                <w:sz w:val="13"/>
                <w:szCs w:val="13"/>
              </w:rPr>
              <w:t xml:space="preserve">Only scenario with direct patient-safety pathway through equipment.</w:t>
            </w:r>
          </w:p>
        </w:tc>
      </w:tr>
      <w:tr>
        <w:tc>
          <w:tcPr>
            <w:tcW w:type="dxa" w:w="374"/>
            <w:tcMar>
              <w:top w:type="dxa" w:w="50"/>
              <w:left w:type="dxa" w:w="80"/>
              <w:bottom w:type="dxa" w:w="50"/>
              <w:right w:type="dxa" w:w="80"/>
            </w:tcMar>
          </w:tcPr>
          <w:p>
            <w:r>
              <w:rPr>
                <w:rFonts w:ascii="Arial" w:cs="Arial" w:eastAsia="Arial" w:hAnsi="Arial"/>
                <w:sz w:val="13"/>
                <w:szCs w:val="13"/>
              </w:rPr>
              <w:t xml:space="preserve">C10</w:t>
            </w:r>
          </w:p>
        </w:tc>
        <w:tc>
          <w:tcPr>
            <w:tcW w:type="dxa" w:w="1404"/>
            <w:tcMar>
              <w:top w:type="dxa" w:w="50"/>
              <w:left w:type="dxa" w:w="80"/>
              <w:bottom w:type="dxa" w:w="50"/>
              <w:right w:type="dxa" w:w="80"/>
            </w:tcMar>
          </w:tcPr>
          <w:p>
            <w:r>
              <w:rPr>
                <w:rFonts w:ascii="Arial" w:cs="Arial" w:eastAsia="Arial" w:hAnsi="Arial"/>
                <w:sz w:val="13"/>
                <w:szCs w:val="13"/>
              </w:rPr>
              <w:t xml:space="preserve">DDoS against patient-facing online services</w:t>
            </w:r>
          </w:p>
        </w:tc>
        <w:tc>
          <w:tcPr>
            <w:tcW w:type="dxa" w:w="842"/>
            <w:tcMar>
              <w:top w:type="dxa" w:w="50"/>
              <w:left w:type="dxa" w:w="80"/>
              <w:bottom w:type="dxa" w:w="50"/>
              <w:right w:type="dxa" w:w="80"/>
            </w:tcMar>
          </w:tcPr>
          <w:p>
            <w:r>
              <w:rPr>
                <w:rFonts w:ascii="Arial" w:cs="Arial" w:eastAsia="Arial" w:hAnsi="Arial"/>
                <w:sz w:val="13"/>
                <w:szCs w:val="13"/>
              </w:rPr>
              <w:t xml:space="preserve">Hacktivist / extortionist</w:t>
            </w:r>
          </w:p>
        </w:tc>
        <w:tc>
          <w:tcPr>
            <w:tcW w:type="dxa" w:w="1310"/>
            <w:tcMar>
              <w:top w:type="dxa" w:w="50"/>
              <w:left w:type="dxa" w:w="80"/>
              <w:bottom w:type="dxa" w:w="50"/>
              <w:right w:type="dxa" w:w="80"/>
            </w:tcMar>
          </w:tcPr>
          <w:p>
            <w:r>
              <w:rPr>
                <w:rFonts w:ascii="Arial" w:cs="Arial" w:eastAsia="Arial" w:hAnsi="Arial"/>
                <w:sz w:val="13"/>
                <w:szCs w:val="13"/>
              </w:rPr>
              <w:t xml:space="preserve">No DDoS protection evidenced</w:t>
            </w:r>
          </w:p>
        </w:tc>
        <w:tc>
          <w:tcPr>
            <w:tcW w:type="dxa" w:w="655"/>
            <w:tcMar>
              <w:top w:type="dxa" w:w="50"/>
              <w:left w:type="dxa" w:w="80"/>
              <w:bottom w:type="dxa" w:w="50"/>
              <w:right w:type="dxa" w:w="80"/>
            </w:tcMar>
          </w:tcPr>
          <w:p>
            <w:r>
              <w:rPr>
                <w:rFonts w:ascii="Arial" w:cs="Arial" w:eastAsia="Arial" w:hAnsi="Arial"/>
                <w:sz w:val="13"/>
                <w:szCs w:val="13"/>
              </w:rPr>
              <w:t xml:space="preserve">CJ3</w:t>
            </w:r>
          </w:p>
        </w:tc>
        <w:tc>
          <w:tcPr>
            <w:tcW w:type="dxa" w:w="936"/>
            <w:tcMar>
              <w:top w:type="dxa" w:w="50"/>
              <w:left w:type="dxa" w:w="80"/>
              <w:bottom w:type="dxa" w:w="50"/>
              <w:right w:type="dxa" w:w="80"/>
            </w:tcMar>
          </w:tcPr>
          <w:p>
            <w:r>
              <w:rPr>
                <w:rFonts w:ascii="Arial" w:cs="Arial" w:eastAsia="Arial" w:hAnsi="Arial"/>
                <w:sz w:val="13"/>
                <w:szCs w:val="13"/>
              </w:rPr>
              <w:t xml:space="preserve">Online booking unavailable</w:t>
            </w:r>
          </w:p>
        </w:tc>
        <w:tc>
          <w:tcPr>
            <w:tcW w:type="dxa" w:w="748"/>
            <w:tcMar>
              <w:top w:type="dxa" w:w="50"/>
              <w:left w:type="dxa" w:w="80"/>
              <w:bottom w:type="dxa" w:w="50"/>
              <w:right w:type="dxa" w:w="80"/>
            </w:tcMar>
          </w:tcPr>
          <w:p>
            <w:r>
              <w:rPr>
                <w:rFonts w:ascii="Arial" w:cs="Arial" w:eastAsia="Arial" w:hAnsi="Arial"/>
                <w:sz w:val="13"/>
                <w:szCs w:val="13"/>
              </w:rPr>
              <w:t xml:space="preserve">MED-CYR-10</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Not selected</w:t>
            </w:r>
          </w:p>
        </w:tc>
        <w:tc>
          <w:tcPr>
            <w:tcW w:type="dxa" w:w="2249"/>
            <w:tcMar>
              <w:top w:type="dxa" w:w="50"/>
              <w:left w:type="dxa" w:w="80"/>
              <w:bottom w:type="dxa" w:w="50"/>
              <w:right w:type="dxa" w:w="80"/>
            </w:tcMar>
          </w:tcPr>
          <w:p>
            <w:r>
              <w:rPr>
                <w:rFonts w:ascii="Arial" w:cs="Arial" w:eastAsia="Arial" w:hAnsi="Arial"/>
                <w:sz w:val="13"/>
                <w:szCs w:val="13"/>
              </w:rPr>
              <w:t xml:space="preserve">Clinics can continue care; limited privacy impact; criticality of online services not documented.</w:t>
            </w:r>
          </w:p>
        </w:tc>
      </w:tr>
      <w:tr>
        <w:tc>
          <w:tcPr>
            <w:tcW w:type="dxa" w:w="374"/>
            <w:tcMar>
              <w:top w:type="dxa" w:w="50"/>
              <w:left w:type="dxa" w:w="80"/>
              <w:bottom w:type="dxa" w:w="50"/>
              <w:right w:type="dxa" w:w="80"/>
            </w:tcMar>
          </w:tcPr>
          <w:p>
            <w:r>
              <w:rPr>
                <w:rFonts w:ascii="Arial" w:cs="Arial" w:eastAsia="Arial" w:hAnsi="Arial"/>
                <w:sz w:val="13"/>
                <w:szCs w:val="13"/>
              </w:rPr>
              <w:t xml:space="preserve">C11</w:t>
            </w:r>
          </w:p>
        </w:tc>
        <w:tc>
          <w:tcPr>
            <w:tcW w:type="dxa" w:w="1404"/>
            <w:tcMar>
              <w:top w:type="dxa" w:w="50"/>
              <w:left w:type="dxa" w:w="80"/>
              <w:bottom w:type="dxa" w:w="50"/>
              <w:right w:type="dxa" w:w="80"/>
            </w:tcMar>
          </w:tcPr>
          <w:p>
            <w:r>
              <w:rPr>
                <w:rFonts w:ascii="Arial" w:cs="Arial" w:eastAsia="Arial" w:hAnsi="Arial"/>
                <w:sz w:val="13"/>
                <w:szCs w:val="13"/>
              </w:rPr>
              <w:t xml:space="preserve">Staff member exports health or billing records for unauthorized purposes</w:t>
            </w:r>
          </w:p>
        </w:tc>
        <w:tc>
          <w:tcPr>
            <w:tcW w:type="dxa" w:w="842"/>
            <w:tcMar>
              <w:top w:type="dxa" w:w="50"/>
              <w:left w:type="dxa" w:w="80"/>
              <w:bottom w:type="dxa" w:w="50"/>
              <w:right w:type="dxa" w:w="80"/>
            </w:tcMar>
          </w:tcPr>
          <w:p>
            <w:r>
              <w:rPr>
                <w:rFonts w:ascii="Arial" w:cs="Arial" w:eastAsia="Arial" w:hAnsi="Arial"/>
                <w:sz w:val="13"/>
                <w:szCs w:val="13"/>
              </w:rPr>
              <w:t xml:space="preserve">Malicious or curious insider</w:t>
            </w:r>
          </w:p>
        </w:tc>
        <w:tc>
          <w:tcPr>
            <w:tcW w:type="dxa" w:w="1310"/>
            <w:tcMar>
              <w:top w:type="dxa" w:w="50"/>
              <w:left w:type="dxa" w:w="80"/>
              <w:bottom w:type="dxa" w:w="50"/>
              <w:right w:type="dxa" w:w="80"/>
            </w:tcMar>
          </w:tcPr>
          <w:p>
            <w:r>
              <w:rPr>
                <w:rFonts w:ascii="Arial" w:cs="Arial" w:eastAsia="Arial" w:hAnsi="Arial"/>
                <w:sz w:val="13"/>
                <w:szCs w:val="13"/>
              </w:rPr>
              <w:t xml:space="preserve">Broad EHR roles, limited access analytics</w:t>
            </w:r>
          </w:p>
        </w:tc>
        <w:tc>
          <w:tcPr>
            <w:tcW w:type="dxa" w:w="655"/>
            <w:tcMar>
              <w:top w:type="dxa" w:w="50"/>
              <w:left w:type="dxa" w:w="80"/>
              <w:bottom w:type="dxa" w:w="50"/>
              <w:right w:type="dxa" w:w="80"/>
            </w:tcMar>
          </w:tcPr>
          <w:p>
            <w:r>
              <w:rPr>
                <w:rFonts w:ascii="Arial" w:cs="Arial" w:eastAsia="Arial" w:hAnsi="Arial"/>
                <w:sz w:val="13"/>
                <w:szCs w:val="13"/>
              </w:rPr>
              <w:t xml:space="preserve">CJ1 / CJ4</w:t>
            </w:r>
          </w:p>
        </w:tc>
        <w:tc>
          <w:tcPr>
            <w:tcW w:type="dxa" w:w="936"/>
            <w:tcMar>
              <w:top w:type="dxa" w:w="50"/>
              <w:left w:type="dxa" w:w="80"/>
              <w:bottom w:type="dxa" w:w="50"/>
              <w:right w:type="dxa" w:w="80"/>
            </w:tcMar>
          </w:tcPr>
          <w:p>
            <w:r>
              <w:rPr>
                <w:rFonts w:ascii="Arial" w:cs="Arial" w:eastAsia="Arial" w:hAnsi="Arial"/>
                <w:sz w:val="13"/>
                <w:szCs w:val="13"/>
              </w:rPr>
              <w:t xml:space="preserve">Privacy breach</w:t>
            </w:r>
          </w:p>
        </w:tc>
        <w:tc>
          <w:tcPr>
            <w:tcW w:type="dxa" w:w="748"/>
            <w:tcMar>
              <w:top w:type="dxa" w:w="50"/>
              <w:left w:type="dxa" w:w="80"/>
              <w:bottom w:type="dxa" w:w="50"/>
              <w:right w:type="dxa" w:w="80"/>
            </w:tcMar>
          </w:tcPr>
          <w:p>
            <w:r>
              <w:rPr>
                <w:rFonts w:ascii="Arial" w:cs="Arial" w:eastAsia="Arial" w:hAnsi="Arial"/>
                <w:sz w:val="13"/>
                <w:szCs w:val="13"/>
              </w:rPr>
              <w:t xml:space="preserve">MED-CYR-11</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(S5, merged with C15)</w:t>
            </w:r>
          </w:p>
        </w:tc>
        <w:tc>
          <w:tcPr>
            <w:tcW w:type="dxa" w:w="2249"/>
            <w:tcMar>
              <w:top w:type="dxa" w:w="50"/>
              <w:left w:type="dxa" w:w="80"/>
              <w:bottom w:type="dxa" w:w="50"/>
              <w:right w:type="dxa" w:w="80"/>
            </w:tcMar>
          </w:tcPr>
          <w:p>
            <w:r>
              <w:rPr>
                <w:rFonts w:ascii="Arial" w:cs="Arial" w:eastAsia="Arial" w:hAnsi="Arial"/>
                <w:sz w:val="13"/>
                <w:szCs w:val="13"/>
              </w:rPr>
              <w:t xml:space="preserve">Common in healthcare; high regulatory significance.</w:t>
            </w:r>
          </w:p>
        </w:tc>
      </w:tr>
      <w:tr>
        <w:tc>
          <w:tcPr>
            <w:tcW w:type="dxa" w:w="374"/>
            <w:tcMar>
              <w:top w:type="dxa" w:w="50"/>
              <w:left w:type="dxa" w:w="80"/>
              <w:bottom w:type="dxa" w:w="50"/>
              <w:right w:type="dxa" w:w="80"/>
            </w:tcMar>
          </w:tcPr>
          <w:p>
            <w:r>
              <w:rPr>
                <w:rFonts w:ascii="Arial" w:cs="Arial" w:eastAsia="Arial" w:hAnsi="Arial"/>
                <w:sz w:val="13"/>
                <w:szCs w:val="13"/>
              </w:rPr>
              <w:t xml:space="preserve">C12</w:t>
            </w:r>
          </w:p>
        </w:tc>
        <w:tc>
          <w:tcPr>
            <w:tcW w:type="dxa" w:w="1404"/>
            <w:tcMar>
              <w:top w:type="dxa" w:w="50"/>
              <w:left w:type="dxa" w:w="80"/>
              <w:bottom w:type="dxa" w:w="50"/>
              <w:right w:type="dxa" w:w="80"/>
            </w:tcMar>
          </w:tcPr>
          <w:p>
            <w:r>
              <w:rPr>
                <w:rFonts w:ascii="Arial" w:cs="Arial" w:eastAsia="Arial" w:hAnsi="Arial"/>
                <w:sz w:val="13"/>
                <w:szCs w:val="13"/>
              </w:rPr>
              <w:t xml:space="preserve">Alteration of patient, medication or billing records</w:t>
            </w:r>
          </w:p>
        </w:tc>
        <w:tc>
          <w:tcPr>
            <w:tcW w:type="dxa" w:w="842"/>
            <w:tcMar>
              <w:top w:type="dxa" w:w="50"/>
              <w:left w:type="dxa" w:w="80"/>
              <w:bottom w:type="dxa" w:w="50"/>
              <w:right w:type="dxa" w:w="80"/>
            </w:tcMar>
          </w:tcPr>
          <w:p>
            <w:r>
              <w:rPr>
                <w:rFonts w:ascii="Arial" w:cs="Arial" w:eastAsia="Arial" w:hAnsi="Arial"/>
                <w:sz w:val="13"/>
                <w:szCs w:val="13"/>
              </w:rPr>
              <w:t xml:space="preserve">Attacker or insider</w:t>
            </w:r>
          </w:p>
        </w:tc>
        <w:tc>
          <w:tcPr>
            <w:tcW w:type="dxa" w:w="1310"/>
            <w:tcMar>
              <w:top w:type="dxa" w:w="50"/>
              <w:left w:type="dxa" w:w="80"/>
              <w:bottom w:type="dxa" w:w="50"/>
              <w:right w:type="dxa" w:w="80"/>
            </w:tcMar>
          </w:tcPr>
          <w:p>
            <w:r>
              <w:rPr>
                <w:rFonts w:ascii="Arial" w:cs="Arial" w:eastAsia="Arial" w:hAnsi="Arial"/>
                <w:sz w:val="13"/>
                <w:szCs w:val="13"/>
              </w:rPr>
              <w:t xml:space="preserve">Limited integrity monitoring and reconciliation</w:t>
            </w:r>
          </w:p>
        </w:tc>
        <w:tc>
          <w:tcPr>
            <w:tcW w:type="dxa" w:w="655"/>
            <w:tcMar>
              <w:top w:type="dxa" w:w="50"/>
              <w:left w:type="dxa" w:w="80"/>
              <w:bottom w:type="dxa" w:w="50"/>
              <w:right w:type="dxa" w:w="80"/>
            </w:tcMar>
          </w:tcPr>
          <w:p>
            <w:r>
              <w:rPr>
                <w:rFonts w:ascii="Arial" w:cs="Arial" w:eastAsia="Arial" w:hAnsi="Arial"/>
                <w:sz w:val="13"/>
                <w:szCs w:val="13"/>
              </w:rPr>
              <w:t xml:space="preserve">CJ1 / CJ2</w:t>
            </w:r>
          </w:p>
        </w:tc>
        <w:tc>
          <w:tcPr>
            <w:tcW w:type="dxa" w:w="936"/>
            <w:tcMar>
              <w:top w:type="dxa" w:w="50"/>
              <w:left w:type="dxa" w:w="80"/>
              <w:bottom w:type="dxa" w:w="50"/>
              <w:right w:type="dxa" w:w="80"/>
            </w:tcMar>
          </w:tcPr>
          <w:p>
            <w:r>
              <w:rPr>
                <w:rFonts w:ascii="Arial" w:cs="Arial" w:eastAsia="Arial" w:hAnsi="Arial"/>
                <w:sz w:val="13"/>
                <w:szCs w:val="13"/>
              </w:rPr>
              <w:t xml:space="preserve">Unsafe clinical decisions, billing errors</w:t>
            </w:r>
          </w:p>
        </w:tc>
        <w:tc>
          <w:tcPr>
            <w:tcW w:type="dxa" w:w="748"/>
            <w:tcMar>
              <w:top w:type="dxa" w:w="50"/>
              <w:left w:type="dxa" w:w="80"/>
              <w:bottom w:type="dxa" w:w="50"/>
              <w:right w:type="dxa" w:w="80"/>
            </w:tcMar>
          </w:tcPr>
          <w:p>
            <w:r>
              <w:rPr>
                <w:rFonts w:ascii="Arial" w:cs="Arial" w:eastAsia="Arial" w:hAnsi="Arial"/>
                <w:sz w:val="13"/>
                <w:szCs w:val="13"/>
              </w:rPr>
              <w:t xml:space="preserve">MED-CYR-13</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(S10)</w:t>
            </w:r>
          </w:p>
        </w:tc>
        <w:tc>
          <w:tcPr>
            <w:tcW w:type="dxa" w:w="2249"/>
            <w:tcMar>
              <w:top w:type="dxa" w:w="50"/>
              <w:left w:type="dxa" w:w="80"/>
              <w:bottom w:type="dxa" w:w="50"/>
              <w:right w:type="dxa" w:w="80"/>
            </w:tcMar>
          </w:tcPr>
          <w:p>
            <w:r>
              <w:rPr>
                <w:rFonts w:ascii="Arial" w:cs="Arial" w:eastAsia="Arial" w:hAnsi="Arial"/>
                <w:sz w:val="13"/>
                <w:szCs w:val="13"/>
              </w:rPr>
              <w:t xml:space="preserve">Lower likelihood but severe patient-safety consequence.</w:t>
            </w:r>
          </w:p>
        </w:tc>
      </w:tr>
      <w:tr>
        <w:tc>
          <w:tcPr>
            <w:tcW w:type="dxa" w:w="374"/>
            <w:tcMar>
              <w:top w:type="dxa" w:w="50"/>
              <w:left w:type="dxa" w:w="80"/>
              <w:bottom w:type="dxa" w:w="50"/>
              <w:right w:type="dxa" w:w="80"/>
            </w:tcMar>
          </w:tcPr>
          <w:p>
            <w:r>
              <w:rPr>
                <w:rFonts w:ascii="Arial" w:cs="Arial" w:eastAsia="Arial" w:hAnsi="Arial"/>
                <w:sz w:val="13"/>
                <w:szCs w:val="13"/>
              </w:rPr>
              <w:t xml:space="preserve">C13</w:t>
            </w:r>
          </w:p>
        </w:tc>
        <w:tc>
          <w:tcPr>
            <w:tcW w:type="dxa" w:w="1404"/>
            <w:tcMar>
              <w:top w:type="dxa" w:w="50"/>
              <w:left w:type="dxa" w:w="80"/>
              <w:bottom w:type="dxa" w:w="50"/>
              <w:right w:type="dxa" w:w="80"/>
            </w:tcMar>
          </w:tcPr>
          <w:p>
            <w:r>
              <w:rPr>
                <w:rFonts w:ascii="Arial" w:cs="Arial" w:eastAsia="Arial" w:hAnsi="Arial"/>
                <w:sz w:val="13"/>
                <w:szCs w:val="13"/>
              </w:rPr>
              <w:t xml:space="preserve">Compromise of a vendor with remote access to MediBec systems</w:t>
            </w:r>
          </w:p>
        </w:tc>
        <w:tc>
          <w:tcPr>
            <w:tcW w:type="dxa" w:w="842"/>
            <w:tcMar>
              <w:top w:type="dxa" w:w="50"/>
              <w:left w:type="dxa" w:w="80"/>
              <w:bottom w:type="dxa" w:w="50"/>
              <w:right w:type="dxa" w:w="80"/>
            </w:tcMar>
          </w:tcPr>
          <w:p>
            <w:r>
              <w:rPr>
                <w:rFonts w:ascii="Arial" w:cs="Arial" w:eastAsia="Arial" w:hAnsi="Arial"/>
                <w:sz w:val="13"/>
                <w:szCs w:val="13"/>
              </w:rPr>
              <w:t xml:space="preserve">Supply-chain attacker</w:t>
            </w:r>
          </w:p>
        </w:tc>
        <w:tc>
          <w:tcPr>
            <w:tcW w:type="dxa" w:w="1310"/>
            <w:tcMar>
              <w:top w:type="dxa" w:w="50"/>
              <w:left w:type="dxa" w:w="80"/>
              <w:bottom w:type="dxa" w:w="50"/>
              <w:right w:type="dxa" w:w="80"/>
            </w:tcMar>
          </w:tcPr>
          <w:p>
            <w:r>
              <w:rPr>
                <w:rFonts w:ascii="Arial" w:cs="Arial" w:eastAsia="Arial" w:hAnsi="Arial"/>
                <w:sz w:val="13"/>
                <w:szCs w:val="13"/>
              </w:rPr>
              <w:t xml:space="preserve">Standing vendor access, limited assurance</w:t>
            </w:r>
          </w:p>
        </w:tc>
        <w:tc>
          <w:tcPr>
            <w:tcW w:type="dxa" w:w="655"/>
            <w:tcMar>
              <w:top w:type="dxa" w:w="50"/>
              <w:left w:type="dxa" w:w="80"/>
              <w:bottom w:type="dxa" w:w="50"/>
              <w:right w:type="dxa" w:w="80"/>
            </w:tcMar>
          </w:tcPr>
          <w:p>
            <w:r>
              <w:rPr>
                <w:rFonts w:ascii="Arial" w:cs="Arial" w:eastAsia="Arial" w:hAnsi="Arial"/>
                <w:sz w:val="13"/>
                <w:szCs w:val="13"/>
              </w:rPr>
              <w:t xml:space="preserve">CJ1 / CJ2 / CJ8</w:t>
            </w:r>
          </w:p>
        </w:tc>
        <w:tc>
          <w:tcPr>
            <w:tcW w:type="dxa" w:w="936"/>
            <w:tcMar>
              <w:top w:type="dxa" w:w="50"/>
              <w:left w:type="dxa" w:w="80"/>
              <w:bottom w:type="dxa" w:w="50"/>
              <w:right w:type="dxa" w:w="80"/>
            </w:tcMar>
          </w:tcPr>
          <w:p>
            <w:r>
              <w:rPr>
                <w:rFonts w:ascii="Arial" w:cs="Arial" w:eastAsia="Arial" w:hAnsi="Arial"/>
                <w:sz w:val="13"/>
                <w:szCs w:val="13"/>
              </w:rPr>
              <w:t xml:space="preserve">Trusted-path intrusion</w:t>
            </w:r>
          </w:p>
        </w:tc>
        <w:tc>
          <w:tcPr>
            <w:tcW w:type="dxa" w:w="748"/>
            <w:tcMar>
              <w:top w:type="dxa" w:w="50"/>
              <w:left w:type="dxa" w:w="80"/>
              <w:bottom w:type="dxa" w:w="50"/>
              <w:right w:type="dxa" w:w="80"/>
            </w:tcMar>
          </w:tcPr>
          <w:p>
            <w:r>
              <w:rPr>
                <w:rFonts w:ascii="Arial" w:cs="Arial" w:eastAsia="Arial" w:hAnsi="Arial"/>
                <w:sz w:val="13"/>
                <w:szCs w:val="13"/>
              </w:rPr>
              <w:t xml:space="preserve">MED-CYR-14</w:t>
            </w:r>
          </w:p>
        </w:tc>
        <w:tc>
          <w:tcPr>
            <w:tcW w:type="dxa" w:w="842"/>
            <w:shd w:fill="D9EAD3" w:color="auto" w:val="clear"/>
            <w:tcMar>
              <w:top w:type="dxa" w:w="50"/>
              <w:left w:type="dxa" w:w="80"/>
              <w:bottom w:type="dxa" w:w="50"/>
              <w:right w:type="dxa" w:w="80"/>
            </w:tcMar>
          </w:tcPr>
          <w:p>
            <w:r>
              <w:rPr>
                <w:rFonts w:ascii="Arial" w:cs="Arial" w:eastAsia="Arial" w:hAnsi="Arial"/>
                <w:sz w:val="13"/>
                <w:szCs w:val="13"/>
              </w:rPr>
              <w:t xml:space="preserve">Selected (S9)</w:t>
            </w:r>
          </w:p>
        </w:tc>
        <w:tc>
          <w:tcPr>
            <w:tcW w:type="dxa" w:w="2249"/>
            <w:tcMar>
              <w:top w:type="dxa" w:w="50"/>
              <w:left w:type="dxa" w:w="80"/>
              <w:bottom w:type="dxa" w:w="50"/>
              <w:right w:type="dxa" w:w="80"/>
            </w:tcMar>
          </w:tcPr>
          <w:p>
            <w:r>
              <w:rPr>
                <w:rFonts w:ascii="Arial" w:cs="Arial" w:eastAsia="Arial" w:hAnsi="Arial"/>
                <w:sz w:val="13"/>
                <w:szCs w:val="13"/>
              </w:rPr>
              <w:t xml:space="preserve">Many critical vendors (EHR, devices, cloud); controls largely absent.</w:t>
            </w:r>
          </w:p>
        </w:tc>
      </w:tr>
      <w:tr>
        <w:tc>
          <w:tcPr>
            <w:tcW w:type="dxa" w:w="374"/>
            <w:tcMar>
              <w:top w:type="dxa" w:w="50"/>
              <w:left w:type="dxa" w:w="80"/>
              <w:bottom w:type="dxa" w:w="50"/>
              <w:right w:type="dxa" w:w="80"/>
            </w:tcMar>
          </w:tcPr>
          <w:p>
            <w:r>
              <w:rPr>
                <w:rFonts w:ascii="Arial" w:cs="Arial" w:eastAsia="Arial" w:hAnsi="Arial"/>
                <w:sz w:val="13"/>
                <w:szCs w:val="13"/>
              </w:rPr>
              <w:t xml:space="preserve">C14</w:t>
            </w:r>
          </w:p>
        </w:tc>
        <w:tc>
          <w:tcPr>
            <w:tcW w:type="dxa" w:w="1404"/>
            <w:tcMar>
              <w:top w:type="dxa" w:w="50"/>
              <w:left w:type="dxa" w:w="80"/>
              <w:bottom w:type="dxa" w:w="50"/>
              <w:right w:type="dxa" w:w="80"/>
            </w:tcMar>
          </w:tcPr>
          <w:p>
            <w:r>
              <w:rPr>
                <w:rFonts w:ascii="Arial" w:cs="Arial" w:eastAsia="Arial" w:hAnsi="Arial"/>
                <w:sz w:val="13"/>
                <w:szCs w:val="13"/>
              </w:rPr>
              <w:t xml:space="preserve">Untested incident response plan causes poor coordination</w:t>
            </w:r>
          </w:p>
        </w:tc>
        <w:tc>
          <w:tcPr>
            <w:tcW w:type="dxa" w:w="842"/>
            <w:tcMar>
              <w:top w:type="dxa" w:w="50"/>
              <w:left w:type="dxa" w:w="80"/>
              <w:bottom w:type="dxa" w:w="50"/>
              <w:right w:type="dxa" w:w="80"/>
            </w:tcMar>
          </w:tcPr>
          <w:p>
            <w:r>
              <w:rPr>
                <w:rFonts w:ascii="Arial" w:cs="Arial" w:eastAsia="Arial" w:hAnsi="Arial"/>
                <w:sz w:val="13"/>
                <w:szCs w:val="13"/>
              </w:rPr>
              <w:t xml:space="preserve">Any incident</w:t>
            </w:r>
          </w:p>
        </w:tc>
        <w:tc>
          <w:tcPr>
            <w:tcW w:type="dxa" w:w="1310"/>
            <w:tcMar>
              <w:top w:type="dxa" w:w="50"/>
              <w:left w:type="dxa" w:w="80"/>
              <w:bottom w:type="dxa" w:w="50"/>
              <w:right w:type="dxa" w:w="80"/>
            </w:tcMar>
          </w:tcPr>
          <w:p>
            <w:r>
              <w:rPr>
                <w:rFonts w:ascii="Arial" w:cs="Arial" w:eastAsia="Arial" w:hAnsi="Arial"/>
                <w:sz w:val="13"/>
                <w:szCs w:val="13"/>
              </w:rPr>
              <w:t xml:space="preserve">No tabletop evidence across clinics</w:t>
            </w:r>
          </w:p>
        </w:tc>
        <w:tc>
          <w:tcPr>
            <w:tcW w:type="dxa" w:w="655"/>
            <w:tcMar>
              <w:top w:type="dxa" w:w="50"/>
              <w:left w:type="dxa" w:w="80"/>
              <w:bottom w:type="dxa" w:w="50"/>
              <w:right w:type="dxa" w:w="80"/>
            </w:tcMar>
          </w:tcPr>
          <w:p>
            <w:r>
              <w:rPr>
                <w:rFonts w:ascii="Arial" w:cs="Arial" w:eastAsia="Arial" w:hAnsi="Arial"/>
                <w:sz w:val="13"/>
                <w:szCs w:val="13"/>
              </w:rPr>
              <w:t xml:space="preserve">All</w:t>
            </w:r>
          </w:p>
        </w:tc>
        <w:tc>
          <w:tcPr>
            <w:tcW w:type="dxa" w:w="936"/>
            <w:tcMar>
              <w:top w:type="dxa" w:w="50"/>
              <w:left w:type="dxa" w:w="80"/>
              <w:bottom w:type="dxa" w:w="50"/>
              <w:right w:type="dxa" w:w="80"/>
            </w:tcMar>
          </w:tcPr>
          <w:p>
            <w:r>
              <w:rPr>
                <w:rFonts w:ascii="Arial" w:cs="Arial" w:eastAsia="Arial" w:hAnsi="Arial"/>
                <w:sz w:val="13"/>
                <w:szCs w:val="13"/>
              </w:rPr>
              <w:t xml:space="preserve">Slow, uncoordinated response</w:t>
            </w:r>
          </w:p>
        </w:tc>
        <w:tc>
          <w:tcPr>
            <w:tcW w:type="dxa" w:w="748"/>
            <w:tcMar>
              <w:top w:type="dxa" w:w="50"/>
              <w:left w:type="dxa" w:w="80"/>
              <w:bottom w:type="dxa" w:w="50"/>
              <w:right w:type="dxa" w:w="80"/>
            </w:tcMar>
          </w:tcPr>
          <w:p>
            <w:r>
              <w:rPr>
                <w:rFonts w:ascii="Arial" w:cs="Arial" w:eastAsia="Arial" w:hAnsi="Arial"/>
                <w:sz w:val="13"/>
                <w:szCs w:val="13"/>
              </w:rPr>
              <w:t xml:space="preserve">MED-CYR-15</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S8</w:t>
            </w:r>
          </w:p>
        </w:tc>
        <w:tc>
          <w:tcPr>
            <w:tcW w:type="dxa" w:w="2249"/>
            <w:tcMar>
              <w:top w:type="dxa" w:w="50"/>
              <w:left w:type="dxa" w:w="80"/>
              <w:bottom w:type="dxa" w:w="50"/>
              <w:right w:type="dxa" w:w="80"/>
            </w:tcMar>
          </w:tcPr>
          <w:p>
            <w:r>
              <w:rPr>
                <w:rFonts w:ascii="Arial" w:cs="Arial" w:eastAsia="Arial" w:hAnsi="Arial"/>
                <w:sz w:val="13"/>
                <w:szCs w:val="13"/>
              </w:rPr>
              <w:t xml:space="preserve">A resilience condition rather than a threat; combined with detection into one response-capacity scenario.</w:t>
            </w:r>
          </w:p>
        </w:tc>
      </w:tr>
      <w:tr>
        <w:tc>
          <w:tcPr>
            <w:tcW w:type="dxa" w:w="374"/>
            <w:tcMar>
              <w:top w:type="dxa" w:w="50"/>
              <w:left w:type="dxa" w:w="80"/>
              <w:bottom w:type="dxa" w:w="50"/>
              <w:right w:type="dxa" w:w="80"/>
            </w:tcMar>
          </w:tcPr>
          <w:p>
            <w:r>
              <w:rPr>
                <w:rFonts w:ascii="Arial" w:cs="Arial" w:eastAsia="Arial" w:hAnsi="Arial"/>
                <w:sz w:val="13"/>
                <w:szCs w:val="13"/>
              </w:rPr>
              <w:t xml:space="preserve">C15</w:t>
            </w:r>
          </w:p>
        </w:tc>
        <w:tc>
          <w:tcPr>
            <w:tcW w:type="dxa" w:w="1404"/>
            <w:tcMar>
              <w:top w:type="dxa" w:w="50"/>
              <w:left w:type="dxa" w:w="80"/>
              <w:bottom w:type="dxa" w:w="50"/>
              <w:right w:type="dxa" w:w="80"/>
            </w:tcMar>
          </w:tcPr>
          <w:p>
            <w:r>
              <w:rPr>
                <w:rFonts w:ascii="Arial" w:cs="Arial" w:eastAsia="Arial" w:hAnsi="Arial"/>
                <w:sz w:val="13"/>
                <w:szCs w:val="13"/>
              </w:rPr>
              <w:t xml:space="preserve">Over-privileged service account (ehr-sync-svc) abused for mass extraction</w:t>
            </w:r>
          </w:p>
        </w:tc>
        <w:tc>
          <w:tcPr>
            <w:tcW w:type="dxa" w:w="842"/>
            <w:tcMar>
              <w:top w:type="dxa" w:w="50"/>
              <w:left w:type="dxa" w:w="80"/>
              <w:bottom w:type="dxa" w:w="50"/>
              <w:right w:type="dxa" w:w="80"/>
            </w:tcMar>
          </w:tcPr>
          <w:p>
            <w:r>
              <w:rPr>
                <w:rFonts w:ascii="Arial" w:cs="Arial" w:eastAsia="Arial" w:hAnsi="Arial"/>
                <w:sz w:val="13"/>
                <w:szCs w:val="13"/>
              </w:rPr>
              <w:t xml:space="preserve">External attacker or insider</w:t>
            </w:r>
          </w:p>
        </w:tc>
        <w:tc>
          <w:tcPr>
            <w:tcW w:type="dxa" w:w="1310"/>
            <w:tcMar>
              <w:top w:type="dxa" w:w="50"/>
              <w:left w:type="dxa" w:w="80"/>
              <w:bottom w:type="dxa" w:w="50"/>
              <w:right w:type="dxa" w:w="80"/>
            </w:tcMar>
          </w:tcPr>
          <w:p>
            <w:r>
              <w:rPr>
                <w:rFonts w:ascii="Arial" w:cs="Arial" w:eastAsia="Arial" w:hAnsi="Arial"/>
                <w:sz w:val="13"/>
                <w:szCs w:val="13"/>
              </w:rPr>
              <w:t xml:space="preserve">Service account privileges, no vaulting</w:t>
            </w:r>
          </w:p>
        </w:tc>
        <w:tc>
          <w:tcPr>
            <w:tcW w:type="dxa" w:w="655"/>
            <w:tcMar>
              <w:top w:type="dxa" w:w="50"/>
              <w:left w:type="dxa" w:w="80"/>
              <w:bottom w:type="dxa" w:w="50"/>
              <w:right w:type="dxa" w:w="80"/>
            </w:tcMar>
          </w:tcPr>
          <w:p>
            <w:r>
              <w:rPr>
                <w:rFonts w:ascii="Arial" w:cs="Arial" w:eastAsia="Arial" w:hAnsi="Arial"/>
                <w:sz w:val="13"/>
                <w:szCs w:val="13"/>
              </w:rPr>
              <w:t xml:space="preserve">CJ1</w:t>
            </w:r>
          </w:p>
        </w:tc>
        <w:tc>
          <w:tcPr>
            <w:tcW w:type="dxa" w:w="936"/>
            <w:tcMar>
              <w:top w:type="dxa" w:w="50"/>
              <w:left w:type="dxa" w:w="80"/>
              <w:bottom w:type="dxa" w:w="50"/>
              <w:right w:type="dxa" w:w="80"/>
            </w:tcMar>
          </w:tcPr>
          <w:p>
            <w:r>
              <w:rPr>
                <w:rFonts w:ascii="Arial" w:cs="Arial" w:eastAsia="Arial" w:hAnsi="Arial"/>
                <w:sz w:val="13"/>
                <w:szCs w:val="13"/>
              </w:rPr>
              <w:t xml:space="preserve">Mass PHI extraction</w:t>
            </w:r>
          </w:p>
        </w:tc>
        <w:tc>
          <w:tcPr>
            <w:tcW w:type="dxa" w:w="748"/>
            <w:tcMar>
              <w:top w:type="dxa" w:w="50"/>
              <w:left w:type="dxa" w:w="80"/>
              <w:bottom w:type="dxa" w:w="50"/>
              <w:right w:type="dxa" w:w="80"/>
            </w:tcMar>
          </w:tcPr>
          <w:p>
            <w:r>
              <w:rPr>
                <w:rFonts w:ascii="Arial" w:cs="Arial" w:eastAsia="Arial" w:hAnsi="Arial"/>
                <w:sz w:val="13"/>
                <w:szCs w:val="13"/>
              </w:rPr>
              <w:t xml:space="preserve">Evidence E6</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S5</w:t>
            </w:r>
          </w:p>
        </w:tc>
        <w:tc>
          <w:tcPr>
            <w:tcW w:type="dxa" w:w="2249"/>
            <w:tcMar>
              <w:top w:type="dxa" w:w="50"/>
              <w:left w:type="dxa" w:w="80"/>
              <w:bottom w:type="dxa" w:w="50"/>
              <w:right w:type="dxa" w:w="80"/>
            </w:tcMar>
          </w:tcPr>
          <w:p>
            <w:r>
              <w:rPr>
                <w:rFonts w:ascii="Arial" w:cs="Arial" w:eastAsia="Arial" w:hAnsi="Arial"/>
                <w:sz w:val="13"/>
                <w:szCs w:val="13"/>
              </w:rPr>
              <w:t xml:space="preserve">Same control family (privileged and legitimate-access misuse).</w:t>
            </w:r>
          </w:p>
        </w:tc>
      </w:tr>
      <w:tr>
        <w:tc>
          <w:tcPr>
            <w:tcW w:type="dxa" w:w="374"/>
            <w:tcMar>
              <w:top w:type="dxa" w:w="50"/>
              <w:left w:type="dxa" w:w="80"/>
              <w:bottom w:type="dxa" w:w="50"/>
              <w:right w:type="dxa" w:w="80"/>
            </w:tcMar>
          </w:tcPr>
          <w:p>
            <w:r>
              <w:rPr>
                <w:rFonts w:ascii="Arial" w:cs="Arial" w:eastAsia="Arial" w:hAnsi="Arial"/>
                <w:sz w:val="13"/>
                <w:szCs w:val="13"/>
              </w:rPr>
              <w:t xml:space="preserve">C16</w:t>
            </w:r>
          </w:p>
        </w:tc>
        <w:tc>
          <w:tcPr>
            <w:tcW w:type="dxa" w:w="1404"/>
            <w:tcMar>
              <w:top w:type="dxa" w:w="50"/>
              <w:left w:type="dxa" w:w="80"/>
              <w:bottom w:type="dxa" w:w="50"/>
              <w:right w:type="dxa" w:w="80"/>
            </w:tcMar>
          </w:tcPr>
          <w:p>
            <w:r>
              <w:rPr>
                <w:rFonts w:ascii="Arial" w:cs="Arial" w:eastAsia="Arial" w:hAnsi="Arial"/>
                <w:sz w:val="13"/>
                <w:szCs w:val="13"/>
              </w:rPr>
              <w:t xml:space="preserve">Montreal data centre or WAN outage isolates all clinics</w:t>
            </w:r>
          </w:p>
        </w:tc>
        <w:tc>
          <w:tcPr>
            <w:tcW w:type="dxa" w:w="842"/>
            <w:tcMar>
              <w:top w:type="dxa" w:w="50"/>
              <w:left w:type="dxa" w:w="80"/>
              <w:bottom w:type="dxa" w:w="50"/>
              <w:right w:type="dxa" w:w="80"/>
            </w:tcMar>
          </w:tcPr>
          <w:p>
            <w:r>
              <w:rPr>
                <w:rFonts w:ascii="Arial" w:cs="Arial" w:eastAsia="Arial" w:hAnsi="Arial"/>
                <w:sz w:val="13"/>
                <w:szCs w:val="13"/>
              </w:rPr>
              <w:t xml:space="preserve">Accidental / environmental</w:t>
            </w:r>
          </w:p>
        </w:tc>
        <w:tc>
          <w:tcPr>
            <w:tcW w:type="dxa" w:w="1310"/>
            <w:tcMar>
              <w:top w:type="dxa" w:w="50"/>
              <w:left w:type="dxa" w:w="80"/>
              <w:bottom w:type="dxa" w:w="50"/>
              <w:right w:type="dxa" w:w="80"/>
            </w:tcMar>
          </w:tcPr>
          <w:p>
            <w:r>
              <w:rPr>
                <w:rFonts w:ascii="Arial" w:cs="Arial" w:eastAsia="Arial" w:hAnsi="Arial"/>
                <w:sz w:val="13"/>
                <w:szCs w:val="13"/>
              </w:rPr>
              <w:t xml:space="preserve">Single hub dependency</w:t>
            </w:r>
          </w:p>
        </w:tc>
        <w:tc>
          <w:tcPr>
            <w:tcW w:type="dxa" w:w="655"/>
            <w:tcMar>
              <w:top w:type="dxa" w:w="50"/>
              <w:left w:type="dxa" w:w="80"/>
              <w:bottom w:type="dxa" w:w="50"/>
              <w:right w:type="dxa" w:w="80"/>
            </w:tcMar>
          </w:tcPr>
          <w:p>
            <w:r>
              <w:rPr>
                <w:rFonts w:ascii="Arial" w:cs="Arial" w:eastAsia="Arial" w:hAnsi="Arial"/>
                <w:sz w:val="13"/>
                <w:szCs w:val="13"/>
              </w:rPr>
              <w:t xml:space="preserve">CJ6</w:t>
            </w:r>
          </w:p>
        </w:tc>
        <w:tc>
          <w:tcPr>
            <w:tcW w:type="dxa" w:w="936"/>
            <w:tcMar>
              <w:top w:type="dxa" w:w="50"/>
              <w:left w:type="dxa" w:w="80"/>
              <w:bottom w:type="dxa" w:w="50"/>
              <w:right w:type="dxa" w:w="80"/>
            </w:tcMar>
          </w:tcPr>
          <w:p>
            <w:r>
              <w:rPr>
                <w:rFonts w:ascii="Arial" w:cs="Arial" w:eastAsia="Arial" w:hAnsi="Arial"/>
                <w:sz w:val="13"/>
                <w:szCs w:val="13"/>
              </w:rPr>
              <w:t xml:space="preserve">Enterprise-wide outage</w:t>
            </w:r>
          </w:p>
        </w:tc>
        <w:tc>
          <w:tcPr>
            <w:tcW w:type="dxa" w:w="748"/>
            <w:tcMar>
              <w:top w:type="dxa" w:w="50"/>
              <w:left w:type="dxa" w:w="80"/>
              <w:bottom w:type="dxa" w:w="50"/>
              <w:right w:type="dxa" w:w="80"/>
            </w:tcMar>
          </w:tcPr>
          <w:p>
            <w:r>
              <w:rPr>
                <w:rFonts w:ascii="Arial" w:cs="Arial" w:eastAsia="Arial" w:hAnsi="Arial"/>
                <w:sz w:val="13"/>
                <w:szCs w:val="13"/>
              </w:rPr>
              <w:t xml:space="preserve">Annex B #49</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Not selected</w:t>
            </w:r>
          </w:p>
        </w:tc>
        <w:tc>
          <w:tcPr>
            <w:tcW w:type="dxa" w:w="2249"/>
            <w:tcMar>
              <w:top w:type="dxa" w:w="50"/>
              <w:left w:type="dxa" w:w="80"/>
              <w:bottom w:type="dxa" w:w="50"/>
              <w:right w:type="dxa" w:w="80"/>
            </w:tcMar>
          </w:tcPr>
          <w:p>
            <w:r>
              <w:rPr>
                <w:rFonts w:ascii="Arial" w:cs="Arial" w:eastAsia="Arial" w:hAnsi="Arial"/>
                <w:sz w:val="13"/>
                <w:szCs w:val="13"/>
              </w:rPr>
              <w:t xml:space="preserve">Non-malicious availability risk; better handled in BCP/DR review. Shares recovery controls with S3.</w:t>
            </w:r>
          </w:p>
        </w:tc>
      </w:tr>
      <w:tr>
        <w:tc>
          <w:tcPr>
            <w:tcW w:type="dxa" w:w="374"/>
            <w:tcMar>
              <w:top w:type="dxa" w:w="50"/>
              <w:left w:type="dxa" w:w="80"/>
              <w:bottom w:type="dxa" w:w="50"/>
              <w:right w:type="dxa" w:w="80"/>
            </w:tcMar>
          </w:tcPr>
          <w:p>
            <w:r>
              <w:rPr>
                <w:rFonts w:ascii="Arial" w:cs="Arial" w:eastAsia="Arial" w:hAnsi="Arial"/>
                <w:sz w:val="13"/>
                <w:szCs w:val="13"/>
              </w:rPr>
              <w:t xml:space="preserve">C17</w:t>
            </w:r>
          </w:p>
        </w:tc>
        <w:tc>
          <w:tcPr>
            <w:tcW w:type="dxa" w:w="1404"/>
            <w:tcMar>
              <w:top w:type="dxa" w:w="50"/>
              <w:left w:type="dxa" w:w="80"/>
              <w:bottom w:type="dxa" w:w="50"/>
              <w:right w:type="dxa" w:w="80"/>
            </w:tcMar>
          </w:tcPr>
          <w:p>
            <w:r>
              <w:rPr>
                <w:rFonts w:ascii="Arial" w:cs="Arial" w:eastAsia="Arial" w:hAnsi="Arial"/>
                <w:sz w:val="13"/>
                <w:szCs w:val="13"/>
              </w:rPr>
              <w:t xml:space="preserve">Unmanaged copies on local clinic storage units exposed</w:t>
            </w:r>
          </w:p>
        </w:tc>
        <w:tc>
          <w:tcPr>
            <w:tcW w:type="dxa" w:w="842"/>
            <w:tcMar>
              <w:top w:type="dxa" w:w="50"/>
              <w:left w:type="dxa" w:w="80"/>
              <w:bottom w:type="dxa" w:w="50"/>
              <w:right w:type="dxa" w:w="80"/>
            </w:tcMar>
          </w:tcPr>
          <w:p>
            <w:r>
              <w:rPr>
                <w:rFonts w:ascii="Arial" w:cs="Arial" w:eastAsia="Arial" w:hAnsi="Arial"/>
                <w:sz w:val="13"/>
                <w:szCs w:val="13"/>
              </w:rPr>
              <w:t xml:space="preserve">Theft / insider</w:t>
            </w:r>
          </w:p>
        </w:tc>
        <w:tc>
          <w:tcPr>
            <w:tcW w:type="dxa" w:w="1310"/>
            <w:tcMar>
              <w:top w:type="dxa" w:w="50"/>
              <w:left w:type="dxa" w:w="80"/>
              <w:bottom w:type="dxa" w:w="50"/>
              <w:right w:type="dxa" w:w="80"/>
            </w:tcMar>
          </w:tcPr>
          <w:p>
            <w:r>
              <w:rPr>
                <w:rFonts w:ascii="Arial" w:cs="Arial" w:eastAsia="Arial" w:hAnsi="Arial"/>
                <w:sz w:val="13"/>
                <w:szCs w:val="13"/>
              </w:rPr>
              <w:t xml:space="preserve">Data sprawl, local storage outside central controls</w:t>
            </w:r>
          </w:p>
        </w:tc>
        <w:tc>
          <w:tcPr>
            <w:tcW w:type="dxa" w:w="655"/>
            <w:tcMar>
              <w:top w:type="dxa" w:w="50"/>
              <w:left w:type="dxa" w:w="80"/>
              <w:bottom w:type="dxa" w:w="50"/>
              <w:right w:type="dxa" w:w="80"/>
            </w:tcMar>
          </w:tcPr>
          <w:p>
            <w:r>
              <w:rPr>
                <w:rFonts w:ascii="Arial" w:cs="Arial" w:eastAsia="Arial" w:hAnsi="Arial"/>
                <w:sz w:val="13"/>
                <w:szCs w:val="13"/>
              </w:rPr>
              <w:t xml:space="preserve">Clinic storage</w:t>
            </w:r>
          </w:p>
        </w:tc>
        <w:tc>
          <w:tcPr>
            <w:tcW w:type="dxa" w:w="936"/>
            <w:tcMar>
              <w:top w:type="dxa" w:w="50"/>
              <w:left w:type="dxa" w:w="80"/>
              <w:bottom w:type="dxa" w:w="50"/>
              <w:right w:type="dxa" w:w="80"/>
            </w:tcMar>
          </w:tcPr>
          <w:p>
            <w:r>
              <w:rPr>
                <w:rFonts w:ascii="Arial" w:cs="Arial" w:eastAsia="Arial" w:hAnsi="Arial"/>
                <w:sz w:val="13"/>
                <w:szCs w:val="13"/>
              </w:rPr>
              <w:t xml:space="preserve">Local data breach</w:t>
            </w:r>
          </w:p>
        </w:tc>
        <w:tc>
          <w:tcPr>
            <w:tcW w:type="dxa" w:w="748"/>
            <w:tcMar>
              <w:top w:type="dxa" w:w="50"/>
              <w:left w:type="dxa" w:w="80"/>
              <w:bottom w:type="dxa" w:w="50"/>
              <w:right w:type="dxa" w:w="80"/>
            </w:tcMar>
          </w:tcPr>
          <w:p>
            <w:r>
              <w:rPr>
                <w:rFonts w:ascii="Arial" w:cs="Arial" w:eastAsia="Arial" w:hAnsi="Arial"/>
                <w:sz w:val="13"/>
                <w:szCs w:val="13"/>
              </w:rPr>
              <w:t xml:space="preserve">Annex B #55</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Not selected</w:t>
            </w:r>
          </w:p>
        </w:tc>
        <w:tc>
          <w:tcPr>
            <w:tcW w:type="dxa" w:w="2249"/>
            <w:tcMar>
              <w:top w:type="dxa" w:w="50"/>
              <w:left w:type="dxa" w:w="80"/>
              <w:bottom w:type="dxa" w:w="50"/>
              <w:right w:type="dxa" w:w="80"/>
            </w:tcMar>
          </w:tcPr>
          <w:p>
            <w:r>
              <w:rPr>
                <w:rFonts w:ascii="Arial" w:cs="Arial" w:eastAsia="Arial" w:hAnsi="Arial"/>
                <w:sz w:val="13"/>
                <w:szCs w:val="13"/>
              </w:rPr>
              <w:t xml:space="preserve">Encryption documented (E2); exposure absorbed into S2/S3 scope.</w:t>
            </w:r>
          </w:p>
        </w:tc>
      </w:tr>
      <w:tr>
        <w:tc>
          <w:tcPr>
            <w:tcW w:type="dxa" w:w="374"/>
            <w:tcMar>
              <w:top w:type="dxa" w:w="50"/>
              <w:left w:type="dxa" w:w="80"/>
              <w:bottom w:type="dxa" w:w="50"/>
              <w:right w:type="dxa" w:w="80"/>
            </w:tcMar>
          </w:tcPr>
          <w:p>
            <w:r>
              <w:rPr>
                <w:rFonts w:ascii="Arial" w:cs="Arial" w:eastAsia="Arial" w:hAnsi="Arial"/>
                <w:sz w:val="13"/>
                <w:szCs w:val="13"/>
              </w:rPr>
              <w:t xml:space="preserve">C18</w:t>
            </w:r>
          </w:p>
        </w:tc>
        <w:tc>
          <w:tcPr>
            <w:tcW w:type="dxa" w:w="1404"/>
            <w:tcMar>
              <w:top w:type="dxa" w:w="50"/>
              <w:left w:type="dxa" w:w="80"/>
              <w:bottom w:type="dxa" w:w="50"/>
              <w:right w:type="dxa" w:w="80"/>
            </w:tcMar>
          </w:tcPr>
          <w:p>
            <w:r>
              <w:rPr>
                <w:rFonts w:ascii="Arial" w:cs="Arial" w:eastAsia="Arial" w:hAnsi="Arial"/>
                <w:sz w:val="13"/>
                <w:szCs w:val="13"/>
              </w:rPr>
              <w:t xml:space="preserve">Business e-mail compromise diverts billing payments</w:t>
            </w:r>
          </w:p>
        </w:tc>
        <w:tc>
          <w:tcPr>
            <w:tcW w:type="dxa" w:w="842"/>
            <w:tcMar>
              <w:top w:type="dxa" w:w="50"/>
              <w:left w:type="dxa" w:w="80"/>
              <w:bottom w:type="dxa" w:w="50"/>
              <w:right w:type="dxa" w:w="80"/>
            </w:tcMar>
          </w:tcPr>
          <w:p>
            <w:r>
              <w:rPr>
                <w:rFonts w:ascii="Arial" w:cs="Arial" w:eastAsia="Arial" w:hAnsi="Arial"/>
                <w:sz w:val="13"/>
                <w:szCs w:val="13"/>
              </w:rPr>
              <w:t xml:space="preserve">Fraudster</w:t>
            </w:r>
          </w:p>
        </w:tc>
        <w:tc>
          <w:tcPr>
            <w:tcW w:type="dxa" w:w="1310"/>
            <w:tcMar>
              <w:top w:type="dxa" w:w="50"/>
              <w:left w:type="dxa" w:w="80"/>
              <w:bottom w:type="dxa" w:w="50"/>
              <w:right w:type="dxa" w:w="80"/>
            </w:tcMar>
          </w:tcPr>
          <w:p>
            <w:r>
              <w:rPr>
                <w:rFonts w:ascii="Arial" w:cs="Arial" w:eastAsia="Arial" w:hAnsi="Arial"/>
                <w:sz w:val="13"/>
                <w:szCs w:val="13"/>
              </w:rPr>
              <w:t xml:space="preserve">Weak payment verification</w:t>
            </w:r>
          </w:p>
        </w:tc>
        <w:tc>
          <w:tcPr>
            <w:tcW w:type="dxa" w:w="655"/>
            <w:tcMar>
              <w:top w:type="dxa" w:w="50"/>
              <w:left w:type="dxa" w:w="80"/>
              <w:bottom w:type="dxa" w:w="50"/>
              <w:right w:type="dxa" w:w="80"/>
            </w:tcMar>
          </w:tcPr>
          <w:p>
            <w:r>
              <w:rPr>
                <w:rFonts w:ascii="Arial" w:cs="Arial" w:eastAsia="Arial" w:hAnsi="Arial"/>
                <w:sz w:val="13"/>
                <w:szCs w:val="13"/>
              </w:rPr>
              <w:t xml:space="preserve">CJ4</w:t>
            </w:r>
          </w:p>
        </w:tc>
        <w:tc>
          <w:tcPr>
            <w:tcW w:type="dxa" w:w="936"/>
            <w:tcMar>
              <w:top w:type="dxa" w:w="50"/>
              <w:left w:type="dxa" w:w="80"/>
              <w:bottom w:type="dxa" w:w="50"/>
              <w:right w:type="dxa" w:w="80"/>
            </w:tcMar>
          </w:tcPr>
          <w:p>
            <w:r>
              <w:rPr>
                <w:rFonts w:ascii="Arial" w:cs="Arial" w:eastAsia="Arial" w:hAnsi="Arial"/>
                <w:sz w:val="13"/>
                <w:szCs w:val="13"/>
              </w:rPr>
              <w:t xml:space="preserve">Financial loss</w:t>
            </w:r>
          </w:p>
        </w:tc>
        <w:tc>
          <w:tcPr>
            <w:tcW w:type="dxa" w:w="748"/>
            <w:tcMar>
              <w:top w:type="dxa" w:w="50"/>
              <w:left w:type="dxa" w:w="80"/>
              <w:bottom w:type="dxa" w:w="50"/>
              <w:right w:type="dxa" w:w="80"/>
            </w:tcMar>
          </w:tcPr>
          <w:p>
            <w:r>
              <w:rPr>
                <w:rFonts w:ascii="Arial" w:cs="Arial" w:eastAsia="Arial" w:hAnsi="Arial"/>
                <w:sz w:val="13"/>
                <w:szCs w:val="13"/>
              </w:rPr>
              <w:t xml:space="preserve">Annex B #71</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Not selected</w:t>
            </w:r>
          </w:p>
        </w:tc>
        <w:tc>
          <w:tcPr>
            <w:tcW w:type="dxa" w:w="2249"/>
            <w:tcMar>
              <w:top w:type="dxa" w:w="50"/>
              <w:left w:type="dxa" w:w="80"/>
              <w:bottom w:type="dxa" w:w="50"/>
              <w:right w:type="dxa" w:w="80"/>
            </w:tcMar>
          </w:tcPr>
          <w:p>
            <w:r>
              <w:rPr>
                <w:rFonts w:ascii="Arial" w:cs="Arial" w:eastAsia="Arial" w:hAnsi="Arial"/>
                <w:sz w:val="13"/>
                <w:szCs w:val="13"/>
              </w:rPr>
              <w:t xml:space="preserve">Financial only; lower mission impact than selected scenarios.</w:t>
            </w:r>
          </w:p>
        </w:tc>
      </w:tr>
      <w:tr>
        <w:tc>
          <w:tcPr>
            <w:tcW w:type="dxa" w:w="374"/>
            <w:tcMar>
              <w:top w:type="dxa" w:w="50"/>
              <w:left w:type="dxa" w:w="80"/>
              <w:bottom w:type="dxa" w:w="50"/>
              <w:right w:type="dxa" w:w="80"/>
            </w:tcMar>
          </w:tcPr>
          <w:p>
            <w:r>
              <w:rPr>
                <w:rFonts w:ascii="Arial" w:cs="Arial" w:eastAsia="Arial" w:hAnsi="Arial"/>
                <w:sz w:val="13"/>
                <w:szCs w:val="13"/>
              </w:rPr>
              <w:t xml:space="preserve">C19</w:t>
            </w:r>
          </w:p>
        </w:tc>
        <w:tc>
          <w:tcPr>
            <w:tcW w:type="dxa" w:w="1404"/>
            <w:tcMar>
              <w:top w:type="dxa" w:w="50"/>
              <w:left w:type="dxa" w:w="80"/>
              <w:bottom w:type="dxa" w:w="50"/>
              <w:right w:type="dxa" w:w="80"/>
            </w:tcMar>
          </w:tcPr>
          <w:p>
            <w:r>
              <w:rPr>
                <w:rFonts w:ascii="Arial" w:cs="Arial" w:eastAsia="Arial" w:hAnsi="Arial"/>
                <w:sz w:val="13"/>
                <w:szCs w:val="13"/>
              </w:rPr>
              <w:t xml:space="preserve">Lost or stolen tablet or handheld with patient data</w:t>
            </w:r>
          </w:p>
        </w:tc>
        <w:tc>
          <w:tcPr>
            <w:tcW w:type="dxa" w:w="842"/>
            <w:tcMar>
              <w:top w:type="dxa" w:w="50"/>
              <w:left w:type="dxa" w:w="80"/>
              <w:bottom w:type="dxa" w:w="50"/>
              <w:right w:type="dxa" w:w="80"/>
            </w:tcMar>
          </w:tcPr>
          <w:p>
            <w:r>
              <w:rPr>
                <w:rFonts w:ascii="Arial" w:cs="Arial" w:eastAsia="Arial" w:hAnsi="Arial"/>
                <w:sz w:val="13"/>
                <w:szCs w:val="13"/>
              </w:rPr>
              <w:t xml:space="preserve">Opportunistic thief</w:t>
            </w:r>
          </w:p>
        </w:tc>
        <w:tc>
          <w:tcPr>
            <w:tcW w:type="dxa" w:w="1310"/>
            <w:tcMar>
              <w:top w:type="dxa" w:w="50"/>
              <w:left w:type="dxa" w:w="80"/>
              <w:bottom w:type="dxa" w:w="50"/>
              <w:right w:type="dxa" w:w="80"/>
            </w:tcMar>
          </w:tcPr>
          <w:p>
            <w:r>
              <w:rPr>
                <w:rFonts w:ascii="Arial" w:cs="Arial" w:eastAsia="Arial" w:hAnsi="Arial"/>
                <w:sz w:val="13"/>
                <w:szCs w:val="13"/>
              </w:rPr>
              <w:t xml:space="preserve">Mobile device management not evidenced</w:t>
            </w:r>
          </w:p>
        </w:tc>
        <w:tc>
          <w:tcPr>
            <w:tcW w:type="dxa" w:w="655"/>
            <w:tcMar>
              <w:top w:type="dxa" w:w="50"/>
              <w:left w:type="dxa" w:w="80"/>
              <w:bottom w:type="dxa" w:w="50"/>
              <w:right w:type="dxa" w:w="80"/>
            </w:tcMar>
          </w:tcPr>
          <w:p>
            <w:r>
              <w:rPr>
                <w:rFonts w:ascii="Arial" w:cs="Arial" w:eastAsia="Arial" w:hAnsi="Arial"/>
                <w:sz w:val="13"/>
                <w:szCs w:val="13"/>
              </w:rPr>
              <w:t xml:space="preserve">Endpoints</w:t>
            </w:r>
          </w:p>
        </w:tc>
        <w:tc>
          <w:tcPr>
            <w:tcW w:type="dxa" w:w="936"/>
            <w:tcMar>
              <w:top w:type="dxa" w:w="50"/>
              <w:left w:type="dxa" w:w="80"/>
              <w:bottom w:type="dxa" w:w="50"/>
              <w:right w:type="dxa" w:w="80"/>
            </w:tcMar>
          </w:tcPr>
          <w:p>
            <w:r>
              <w:rPr>
                <w:rFonts w:ascii="Arial" w:cs="Arial" w:eastAsia="Arial" w:hAnsi="Arial"/>
                <w:sz w:val="13"/>
                <w:szCs w:val="13"/>
              </w:rPr>
              <w:t xml:space="preserve">Limited data exposure</w:t>
            </w:r>
          </w:p>
        </w:tc>
        <w:tc>
          <w:tcPr>
            <w:tcW w:type="dxa" w:w="748"/>
            <w:tcMar>
              <w:top w:type="dxa" w:w="50"/>
              <w:left w:type="dxa" w:w="80"/>
              <w:bottom w:type="dxa" w:w="50"/>
              <w:right w:type="dxa" w:w="80"/>
            </w:tcMar>
          </w:tcPr>
          <w:p>
            <w:r>
              <w:rPr>
                <w:rFonts w:ascii="Arial" w:cs="Arial" w:eastAsia="Arial" w:hAnsi="Arial"/>
                <w:sz w:val="13"/>
                <w:szCs w:val="13"/>
              </w:rPr>
              <w:t xml:space="preserve">Annex B #7</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Not selected</w:t>
            </w:r>
          </w:p>
        </w:tc>
        <w:tc>
          <w:tcPr>
            <w:tcW w:type="dxa" w:w="2249"/>
            <w:tcMar>
              <w:top w:type="dxa" w:w="50"/>
              <w:left w:type="dxa" w:w="80"/>
              <w:bottom w:type="dxa" w:w="50"/>
              <w:right w:type="dxa" w:w="80"/>
            </w:tcMar>
          </w:tcPr>
          <w:p>
            <w:r>
              <w:rPr>
                <w:rFonts w:ascii="Arial" w:cs="Arial" w:eastAsia="Arial" w:hAnsi="Arial"/>
                <w:sz w:val="13"/>
                <w:szCs w:val="13"/>
              </w:rPr>
              <w:t xml:space="preserve">Lower volume of records; standard MDM control.</w:t>
            </w:r>
          </w:p>
        </w:tc>
      </w:tr>
      <w:tr>
        <w:tc>
          <w:tcPr>
            <w:tcW w:type="dxa" w:w="374"/>
            <w:tcMar>
              <w:top w:type="dxa" w:w="50"/>
              <w:left w:type="dxa" w:w="80"/>
              <w:bottom w:type="dxa" w:w="50"/>
              <w:right w:type="dxa" w:w="80"/>
            </w:tcMar>
          </w:tcPr>
          <w:p>
            <w:r>
              <w:rPr>
                <w:rFonts w:ascii="Arial" w:cs="Arial" w:eastAsia="Arial" w:hAnsi="Arial"/>
                <w:sz w:val="13"/>
                <w:szCs w:val="13"/>
              </w:rPr>
              <w:t xml:space="preserve">C20</w:t>
            </w:r>
          </w:p>
        </w:tc>
        <w:tc>
          <w:tcPr>
            <w:tcW w:type="dxa" w:w="1404"/>
            <w:tcMar>
              <w:top w:type="dxa" w:w="50"/>
              <w:left w:type="dxa" w:w="80"/>
              <w:bottom w:type="dxa" w:w="50"/>
              <w:right w:type="dxa" w:w="80"/>
            </w:tcMar>
          </w:tcPr>
          <w:p>
            <w:r>
              <w:rPr>
                <w:rFonts w:ascii="Arial" w:cs="Arial" w:eastAsia="Arial" w:hAnsi="Arial"/>
                <w:sz w:val="13"/>
                <w:szCs w:val="13"/>
              </w:rPr>
              <w:t xml:space="preserve">MFA push-fatigue bypass of remote access</w:t>
            </w:r>
          </w:p>
        </w:tc>
        <w:tc>
          <w:tcPr>
            <w:tcW w:type="dxa" w:w="842"/>
            <w:tcMar>
              <w:top w:type="dxa" w:w="50"/>
              <w:left w:type="dxa" w:w="80"/>
              <w:bottom w:type="dxa" w:w="50"/>
              <w:right w:type="dxa" w:w="80"/>
            </w:tcMar>
          </w:tcPr>
          <w:p>
            <w:r>
              <w:rPr>
                <w:rFonts w:ascii="Arial" w:cs="Arial" w:eastAsia="Arial" w:hAnsi="Arial"/>
                <w:sz w:val="13"/>
                <w:szCs w:val="13"/>
              </w:rPr>
              <w:t xml:space="preserve">Cybercriminal</w:t>
            </w:r>
          </w:p>
        </w:tc>
        <w:tc>
          <w:tcPr>
            <w:tcW w:type="dxa" w:w="1310"/>
            <w:tcMar>
              <w:top w:type="dxa" w:w="50"/>
              <w:left w:type="dxa" w:w="80"/>
              <w:bottom w:type="dxa" w:w="50"/>
              <w:right w:type="dxa" w:w="80"/>
            </w:tcMar>
          </w:tcPr>
          <w:p>
            <w:r>
              <w:rPr>
                <w:rFonts w:ascii="Arial" w:cs="Arial" w:eastAsia="Arial" w:hAnsi="Arial"/>
                <w:sz w:val="13"/>
                <w:szCs w:val="13"/>
              </w:rPr>
              <w:t xml:space="preserve">Push approval without number matching</w:t>
            </w:r>
          </w:p>
        </w:tc>
        <w:tc>
          <w:tcPr>
            <w:tcW w:type="dxa" w:w="655"/>
            <w:tcMar>
              <w:top w:type="dxa" w:w="50"/>
              <w:left w:type="dxa" w:w="80"/>
              <w:bottom w:type="dxa" w:w="50"/>
              <w:right w:type="dxa" w:w="80"/>
            </w:tcMar>
          </w:tcPr>
          <w:p>
            <w:r>
              <w:rPr>
                <w:rFonts w:ascii="Arial" w:cs="Arial" w:eastAsia="Arial" w:hAnsi="Arial"/>
                <w:sz w:val="13"/>
                <w:szCs w:val="13"/>
              </w:rPr>
              <w:t xml:space="preserve">CJ5</w:t>
            </w:r>
          </w:p>
        </w:tc>
        <w:tc>
          <w:tcPr>
            <w:tcW w:type="dxa" w:w="936"/>
            <w:tcMar>
              <w:top w:type="dxa" w:w="50"/>
              <w:left w:type="dxa" w:w="80"/>
              <w:bottom w:type="dxa" w:w="50"/>
              <w:right w:type="dxa" w:w="80"/>
            </w:tcMar>
          </w:tcPr>
          <w:p>
            <w:r>
              <w:rPr>
                <w:rFonts w:ascii="Arial" w:cs="Arial" w:eastAsia="Arial" w:hAnsi="Arial"/>
                <w:sz w:val="13"/>
                <w:szCs w:val="13"/>
              </w:rPr>
              <w:t xml:space="preserve">Account takeover</w:t>
            </w:r>
          </w:p>
        </w:tc>
        <w:tc>
          <w:tcPr>
            <w:tcW w:type="dxa" w:w="748"/>
            <w:tcMar>
              <w:top w:type="dxa" w:w="50"/>
              <w:left w:type="dxa" w:w="80"/>
              <w:bottom w:type="dxa" w:w="50"/>
              <w:right w:type="dxa" w:w="80"/>
            </w:tcMar>
          </w:tcPr>
          <w:p>
            <w:r>
              <w:rPr>
                <w:rFonts w:ascii="Arial" w:cs="Arial" w:eastAsia="Arial" w:hAnsi="Arial"/>
                <w:sz w:val="13"/>
                <w:szCs w:val="13"/>
              </w:rPr>
              <w:t xml:space="preserve">Evidence E6</w:t>
            </w:r>
          </w:p>
        </w:tc>
        <w:tc>
          <w:tcPr>
            <w:tcW w:type="dxa" w:w="842"/>
            <w:shd w:fill="FFF2CC" w:color="auto" w:val="clear"/>
            <w:tcMar>
              <w:top w:type="dxa" w:w="50"/>
              <w:left w:type="dxa" w:w="80"/>
              <w:bottom w:type="dxa" w:w="50"/>
              <w:right w:type="dxa" w:w="80"/>
            </w:tcMar>
          </w:tcPr>
          <w:p>
            <w:r>
              <w:rPr>
                <w:rFonts w:ascii="Arial" w:cs="Arial" w:eastAsia="Arial" w:hAnsi="Arial"/>
                <w:sz w:val="13"/>
                <w:szCs w:val="13"/>
              </w:rPr>
              <w:t xml:space="preserve">Merged into S1</w:t>
            </w:r>
          </w:p>
        </w:tc>
        <w:tc>
          <w:tcPr>
            <w:tcW w:type="dxa" w:w="2249"/>
            <w:tcMar>
              <w:top w:type="dxa" w:w="50"/>
              <w:left w:type="dxa" w:w="80"/>
              <w:bottom w:type="dxa" w:w="50"/>
              <w:right w:type="dxa" w:w="80"/>
            </w:tcMar>
          </w:tcPr>
          <w:p>
            <w:r>
              <w:rPr>
                <w:rFonts w:ascii="Arial" w:cs="Arial" w:eastAsia="Arial" w:hAnsi="Arial"/>
                <w:sz w:val="13"/>
                <w:szCs w:val="13"/>
              </w:rPr>
              <w:t xml:space="preserve">Same causal chain as C01.</w:t>
            </w:r>
          </w:p>
        </w:tc>
      </w:tr>
    </w:tbl>
    <w:p>
      <w:pPr>
        <w:spacing w:after="80"/>
      </w:pPr>
    </w:p>
    <w:p>
      <w:pPr>
        <w:spacing w:after="120"/>
      </w:pPr>
      <w:r>
        <w:rPr>
          <w:rFonts w:ascii="Arial" w:cs="Arial" w:eastAsia="Arial" w:hAnsi="Arial"/>
          <w:b/>
          <w:bCs/>
        </w:rPr>
        <w:t xml:space="preserve">Screening criteria:</w:t>
      </w:r>
      <w:r>
        <w:rPr>
          <w:rFonts w:ascii="Arial" w:cs="Arial" w:eastAsia="Arial" w:hAnsi="Arial"/>
        </w:rPr>
        <w:t xml:space="preserve"> plausibility over 12 months, consequence severity (patient safety and privacy weighted highest), evidence of exposure in the case, uniqueness of the causal chain, regulatory and operational significance. Five candidates were merged into selected scenarios to avoid duplication; five were not selected because of lower consequence, thin evidence or a non-malicious cause. CVSS played no role in selection.</w:t>
      </w:r>
    </w:p>
    <w:p>
      <w:pPr>
        <w:pStyle w:val="Heading1"/>
        <w:pageBreakBefore/>
      </w:pPr>
      <w:r>
        <w:rPr>
          <w:rFonts w:ascii="Arial" w:cs="Arial" w:eastAsia="Arial" w:hAnsi="Arial"/>
        </w:rPr>
        <w:t xml:space="preserve">6. Risk scenario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
        <w:gridCol w:w="2808"/>
        <w:gridCol w:w="561"/>
        <w:gridCol w:w="748"/>
        <w:gridCol w:w="748"/>
        <w:gridCol w:w="748"/>
        <w:gridCol w:w="655"/>
        <w:gridCol w:w="1216"/>
        <w:gridCol w:w="1502"/>
      </w:tblGrid>
      <w:tr>
        <w:trPr>
          <w:tblHeader/>
        </w:trPr>
        <w:tc>
          <w:tcPr>
            <w:tcW w:type="dxa" w:w="374"/>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ID</w:t>
            </w:r>
          </w:p>
        </w:tc>
        <w:tc>
          <w:tcPr>
            <w:tcW w:type="dxa" w:w="280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Scenario</w:t>
            </w:r>
          </w:p>
        </w:tc>
        <w:tc>
          <w:tcPr>
            <w:tcW w:type="dxa" w:w="561"/>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CVSS-B</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Estimated</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Tolerated</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Residual</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Res / Tol</w:t>
            </w:r>
          </w:p>
        </w:tc>
        <w:tc>
          <w:tcPr>
            <w:tcW w:type="dxa" w:w="1216"/>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Status</w:t>
            </w:r>
          </w:p>
        </w:tc>
        <w:tc>
          <w:tcPr>
            <w:tcW w:type="dxa" w:w="1502"/>
            <w:shd w:fill="1F3864" w:color="auto" w:val="clear"/>
            <w:tcMar>
              <w:top w:type="dxa" w:w="50"/>
              <w:left w:type="dxa" w:w="80"/>
              <w:bottom w:type="dxa" w:w="50"/>
              <w:right w:type="dxa" w:w="80"/>
            </w:tcMar>
          </w:tcPr>
          <w:p>
            <w:r>
              <w:rPr>
                <w:rFonts w:ascii="Arial" w:cs="Arial" w:eastAsia="Arial" w:hAnsi="Arial"/>
                <w:b/>
                <w:bCs/>
                <w:color w:val="FFFFFF"/>
                <w:sz w:val="14"/>
                <w:szCs w:val="14"/>
              </w:rPr>
              <w:t xml:space="preserve">Key treatment</w:t>
            </w:r>
          </w:p>
        </w:tc>
      </w:tr>
      <w:tr>
        <w:tc>
          <w:tcPr>
            <w:tcW w:type="dxa" w:w="374"/>
            <w:tcMar>
              <w:top w:type="dxa" w:w="50"/>
              <w:left w:type="dxa" w:w="80"/>
              <w:bottom w:type="dxa" w:w="50"/>
              <w:right w:type="dxa" w:w="80"/>
            </w:tcMar>
          </w:tcPr>
          <w:p>
            <w:r>
              <w:rPr>
                <w:rFonts w:ascii="Arial" w:cs="Arial" w:eastAsia="Arial" w:hAnsi="Arial"/>
                <w:sz w:val="14"/>
                <w:szCs w:val="14"/>
              </w:rPr>
              <w:t xml:space="preserve">S1</w:t>
            </w:r>
          </w:p>
        </w:tc>
        <w:tc>
          <w:tcPr>
            <w:tcW w:type="dxa" w:w="2808"/>
            <w:tcMar>
              <w:top w:type="dxa" w:w="50"/>
              <w:left w:type="dxa" w:w="80"/>
              <w:bottom w:type="dxa" w:w="50"/>
              <w:right w:type="dxa" w:w="80"/>
            </w:tcMar>
          </w:tcPr>
          <w:p>
            <w:r>
              <w:rPr>
                <w:rFonts w:ascii="Arial" w:cs="Arial" w:eastAsia="Arial" w:hAnsi="Arial"/>
                <w:sz w:val="14"/>
                <w:szCs w:val="14"/>
              </w:rPr>
              <w:t xml:space="preserve">Credential compromise of clinical administrator accounts through phishing and MFA fatigue</w:t>
            </w:r>
          </w:p>
        </w:tc>
        <w:tc>
          <w:tcPr>
            <w:tcW w:type="dxa" w:w="561"/>
            <w:tcMar>
              <w:top w:type="dxa" w:w="50"/>
              <w:left w:type="dxa" w:w="80"/>
              <w:bottom w:type="dxa" w:w="50"/>
              <w:right w:type="dxa" w:w="80"/>
            </w:tcMar>
          </w:tcPr>
          <w:p>
            <w:r>
              <w:rPr>
                <w:rFonts w:ascii="Arial" w:cs="Arial" w:eastAsia="Arial" w:hAnsi="Arial"/>
                <w:sz w:val="14"/>
                <w:szCs w:val="14"/>
              </w:rPr>
              <w:t xml:space="preserve">9.3</w:t>
            </w:r>
          </w:p>
        </w:tc>
        <w:tc>
          <w:tcPr>
            <w:tcW w:type="dxa" w:w="748"/>
            <w:tcMar>
              <w:top w:type="dxa" w:w="50"/>
              <w:left w:type="dxa" w:w="80"/>
              <w:bottom w:type="dxa" w:w="50"/>
              <w:right w:type="dxa" w:w="80"/>
            </w:tcMar>
          </w:tcPr>
          <w:p>
            <w:r>
              <w:rPr>
                <w:rFonts w:ascii="Arial" w:cs="Arial" w:eastAsia="Arial" w:hAnsi="Arial"/>
                <w:sz w:val="14"/>
                <w:szCs w:val="14"/>
              </w:rPr>
              <w:t xml:space="preserve">6,467</w:t>
            </w:r>
          </w:p>
        </w:tc>
        <w:tc>
          <w:tcPr>
            <w:tcW w:type="dxa" w:w="748"/>
            <w:tcMar>
              <w:top w:type="dxa" w:w="50"/>
              <w:left w:type="dxa" w:w="80"/>
              <w:bottom w:type="dxa" w:w="50"/>
              <w:right w:type="dxa" w:w="80"/>
            </w:tcMar>
          </w:tcPr>
          <w:p>
            <w:r>
              <w:rPr>
                <w:rFonts w:ascii="Arial" w:cs="Arial" w:eastAsia="Arial" w:hAnsi="Arial"/>
                <w:sz w:val="14"/>
                <w:szCs w:val="14"/>
              </w:rPr>
              <w:t xml:space="preserve">2,772</w:t>
            </w:r>
          </w:p>
        </w:tc>
        <w:tc>
          <w:tcPr>
            <w:tcW w:type="dxa" w:w="748"/>
            <w:tcMar>
              <w:top w:type="dxa" w:w="50"/>
              <w:left w:type="dxa" w:w="80"/>
              <w:bottom w:type="dxa" w:w="50"/>
              <w:right w:type="dxa" w:w="80"/>
            </w:tcMar>
          </w:tcPr>
          <w:p>
            <w:r>
              <w:rPr>
                <w:rFonts w:ascii="Arial" w:cs="Arial" w:eastAsia="Arial" w:hAnsi="Arial"/>
                <w:sz w:val="14"/>
                <w:szCs w:val="14"/>
              </w:rPr>
              <w:t xml:space="preserve">2,587</w:t>
            </w:r>
          </w:p>
        </w:tc>
        <w:tc>
          <w:tcPr>
            <w:tcW w:type="dxa" w:w="655"/>
            <w:tcMar>
              <w:top w:type="dxa" w:w="50"/>
              <w:left w:type="dxa" w:w="80"/>
              <w:bottom w:type="dxa" w:w="50"/>
              <w:right w:type="dxa" w:w="80"/>
            </w:tcMar>
          </w:tcPr>
          <w:p>
            <w:r>
              <w:rPr>
                <w:rFonts w:ascii="Arial" w:cs="Arial" w:eastAsia="Arial" w:hAnsi="Arial"/>
                <w:sz w:val="14"/>
                <w:szCs w:val="14"/>
              </w:rPr>
              <w:t xml:space="preserve">0.93</w:t>
            </w:r>
          </w:p>
        </w:tc>
        <w:tc>
          <w:tcPr>
            <w:tcW w:type="dxa" w:w="1216"/>
            <w:shd w:fill="FFF2CC"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c>
          <w:tcPr>
            <w:tcW w:type="dxa" w:w="1502"/>
            <w:tcMar>
              <w:top w:type="dxa" w:w="50"/>
              <w:left w:type="dxa" w:w="80"/>
              <w:bottom w:type="dxa" w:w="50"/>
              <w:right w:type="dxa" w:w="80"/>
            </w:tcMar>
          </w:tcPr>
          <w:p>
            <w:r>
              <w:rPr>
                <w:rFonts w:ascii="Arial" w:cs="Arial" w:eastAsia="Arial" w:hAnsi="Arial"/>
                <w:sz w:val="14"/>
                <w:szCs w:val="14"/>
              </w:rPr>
              <w:t xml:space="preserve">I01, I02, I03, I12</w:t>
            </w:r>
          </w:p>
        </w:tc>
      </w:tr>
      <w:tr>
        <w:tc>
          <w:tcPr>
            <w:tcW w:type="dxa" w:w="374"/>
            <w:tcMar>
              <w:top w:type="dxa" w:w="50"/>
              <w:left w:type="dxa" w:w="80"/>
              <w:bottom w:type="dxa" w:w="50"/>
              <w:right w:type="dxa" w:w="80"/>
            </w:tcMar>
          </w:tcPr>
          <w:p>
            <w:r>
              <w:rPr>
                <w:rFonts w:ascii="Arial" w:cs="Arial" w:eastAsia="Arial" w:hAnsi="Arial"/>
                <w:sz w:val="14"/>
                <w:szCs w:val="14"/>
              </w:rPr>
              <w:t xml:space="preserve">S2</w:t>
            </w:r>
          </w:p>
        </w:tc>
        <w:tc>
          <w:tcPr>
            <w:tcW w:type="dxa" w:w="2808"/>
            <w:tcMar>
              <w:top w:type="dxa" w:w="50"/>
              <w:left w:type="dxa" w:w="80"/>
              <w:bottom w:type="dxa" w:w="50"/>
              <w:right w:type="dxa" w:w="80"/>
            </w:tcMar>
          </w:tcPr>
          <w:p>
            <w:r>
              <w:rPr>
                <w:rFonts w:ascii="Arial" w:cs="Arial" w:eastAsia="Arial" w:hAnsi="Arial"/>
                <w:sz w:val="14"/>
                <w:szCs w:val="14"/>
              </w:rPr>
              <w:t xml:space="preserve">Ransomware disrupting EHR access and clinic operations across the network</w:t>
            </w:r>
          </w:p>
        </w:tc>
        <w:tc>
          <w:tcPr>
            <w:tcW w:type="dxa" w:w="561"/>
            <w:tcMar>
              <w:top w:type="dxa" w:w="50"/>
              <w:left w:type="dxa" w:w="80"/>
              <w:bottom w:type="dxa" w:w="50"/>
              <w:right w:type="dxa" w:w="80"/>
            </w:tcMar>
          </w:tcPr>
          <w:p>
            <w:r>
              <w:rPr>
                <w:rFonts w:ascii="Arial" w:cs="Arial" w:eastAsia="Arial" w:hAnsi="Arial"/>
                <w:sz w:val="14"/>
                <w:szCs w:val="14"/>
              </w:rPr>
              <w:t xml:space="preserve">9.4</w:t>
            </w:r>
          </w:p>
        </w:tc>
        <w:tc>
          <w:tcPr>
            <w:tcW w:type="dxa" w:w="748"/>
            <w:tcMar>
              <w:top w:type="dxa" w:w="50"/>
              <w:left w:type="dxa" w:w="80"/>
              <w:bottom w:type="dxa" w:w="50"/>
              <w:right w:type="dxa" w:w="80"/>
            </w:tcMar>
          </w:tcPr>
          <w:p>
            <w:r>
              <w:rPr>
                <w:rFonts w:ascii="Arial" w:cs="Arial" w:eastAsia="Arial" w:hAnsi="Arial"/>
                <w:sz w:val="14"/>
                <w:szCs w:val="14"/>
              </w:rPr>
              <w:t xml:space="preserve">7,893</w:t>
            </w:r>
          </w:p>
        </w:tc>
        <w:tc>
          <w:tcPr>
            <w:tcW w:type="dxa" w:w="748"/>
            <w:tcMar>
              <w:top w:type="dxa" w:w="50"/>
              <w:left w:type="dxa" w:w="80"/>
              <w:bottom w:type="dxa" w:w="50"/>
              <w:right w:type="dxa" w:w="80"/>
            </w:tcMar>
          </w:tcPr>
          <w:p>
            <w:r>
              <w:rPr>
                <w:rFonts w:ascii="Arial" w:cs="Arial" w:eastAsia="Arial" w:hAnsi="Arial"/>
                <w:sz w:val="14"/>
                <w:szCs w:val="14"/>
              </w:rPr>
              <w:t xml:space="preserve">2,870</w:t>
            </w:r>
          </w:p>
        </w:tc>
        <w:tc>
          <w:tcPr>
            <w:tcW w:type="dxa" w:w="748"/>
            <w:tcMar>
              <w:top w:type="dxa" w:w="50"/>
              <w:left w:type="dxa" w:w="80"/>
              <w:bottom w:type="dxa" w:w="50"/>
              <w:right w:type="dxa" w:w="80"/>
            </w:tcMar>
          </w:tcPr>
          <w:p>
            <w:r>
              <w:rPr>
                <w:rFonts w:ascii="Arial" w:cs="Arial" w:eastAsia="Arial" w:hAnsi="Arial"/>
                <w:sz w:val="14"/>
                <w:szCs w:val="14"/>
              </w:rPr>
              <w:t xml:space="preserve">3,453</w:t>
            </w:r>
          </w:p>
        </w:tc>
        <w:tc>
          <w:tcPr>
            <w:tcW w:type="dxa" w:w="655"/>
            <w:tcMar>
              <w:top w:type="dxa" w:w="50"/>
              <w:left w:type="dxa" w:w="80"/>
              <w:bottom w:type="dxa" w:w="50"/>
              <w:right w:type="dxa" w:w="80"/>
            </w:tcMar>
          </w:tcPr>
          <w:p>
            <w:r>
              <w:rPr>
                <w:rFonts w:ascii="Arial" w:cs="Arial" w:eastAsia="Arial" w:hAnsi="Arial"/>
                <w:sz w:val="14"/>
                <w:szCs w:val="14"/>
              </w:rPr>
              <w:t xml:space="preserve">1.20</w:t>
            </w:r>
          </w:p>
        </w:tc>
        <w:tc>
          <w:tcPr>
            <w:tcW w:type="dxa" w:w="1216"/>
            <w:shd w:fill="F4CCCC" w:color="auto" w:val="clear"/>
            <w:tcMar>
              <w:top w:type="dxa" w:w="50"/>
              <w:left w:type="dxa" w:w="80"/>
              <w:bottom w:type="dxa" w:w="50"/>
              <w:right w:type="dxa" w:w="80"/>
            </w:tcMar>
          </w:tcPr>
          <w:p>
            <w:r>
              <w:rPr>
                <w:rFonts w:ascii="Arial" w:cs="Arial" w:eastAsia="Arial" w:hAnsi="Arial"/>
                <w:sz w:val="14"/>
                <w:szCs w:val="14"/>
              </w:rPr>
              <w:t xml:space="preserve">Above tolerance</w:t>
            </w:r>
          </w:p>
        </w:tc>
        <w:tc>
          <w:tcPr>
            <w:tcW w:type="dxa" w:w="1502"/>
            <w:tcMar>
              <w:top w:type="dxa" w:w="50"/>
              <w:left w:type="dxa" w:w="80"/>
              <w:bottom w:type="dxa" w:w="50"/>
              <w:right w:type="dxa" w:w="80"/>
            </w:tcMar>
          </w:tcPr>
          <w:p>
            <w:r>
              <w:rPr>
                <w:rFonts w:ascii="Arial" w:cs="Arial" w:eastAsia="Arial" w:hAnsi="Arial"/>
                <w:sz w:val="14"/>
                <w:szCs w:val="14"/>
              </w:rPr>
              <w:t xml:space="preserve">I02, I03, I04, I05, I06, I11, I12</w:t>
            </w:r>
          </w:p>
        </w:tc>
      </w:tr>
      <w:tr>
        <w:tc>
          <w:tcPr>
            <w:tcW w:type="dxa" w:w="374"/>
            <w:tcMar>
              <w:top w:type="dxa" w:w="50"/>
              <w:left w:type="dxa" w:w="80"/>
              <w:bottom w:type="dxa" w:w="50"/>
              <w:right w:type="dxa" w:w="80"/>
            </w:tcMar>
          </w:tcPr>
          <w:p>
            <w:r>
              <w:rPr>
                <w:rFonts w:ascii="Arial" w:cs="Arial" w:eastAsia="Arial" w:hAnsi="Arial"/>
                <w:sz w:val="14"/>
                <w:szCs w:val="14"/>
              </w:rPr>
              <w:t xml:space="preserve">S3</w:t>
            </w:r>
          </w:p>
        </w:tc>
        <w:tc>
          <w:tcPr>
            <w:tcW w:type="dxa" w:w="2808"/>
            <w:tcMar>
              <w:top w:type="dxa" w:w="50"/>
              <w:left w:type="dxa" w:w="80"/>
              <w:bottom w:type="dxa" w:w="50"/>
              <w:right w:type="dxa" w:w="80"/>
            </w:tcMar>
          </w:tcPr>
          <w:p>
            <w:r>
              <w:rPr>
                <w:rFonts w:ascii="Arial" w:cs="Arial" w:eastAsia="Arial" w:hAnsi="Arial"/>
                <w:sz w:val="14"/>
                <w:szCs w:val="14"/>
              </w:rPr>
              <w:t xml:space="preserve">Backup environment compromised, preventing recovery after a destructive attack</w:t>
            </w:r>
          </w:p>
        </w:tc>
        <w:tc>
          <w:tcPr>
            <w:tcW w:type="dxa" w:w="561"/>
            <w:tcMar>
              <w:top w:type="dxa" w:w="50"/>
              <w:left w:type="dxa" w:w="80"/>
              <w:bottom w:type="dxa" w:w="50"/>
              <w:right w:type="dxa" w:w="80"/>
            </w:tcMar>
          </w:tcPr>
          <w:p>
            <w:r>
              <w:rPr>
                <w:rFonts w:ascii="Arial" w:cs="Arial" w:eastAsia="Arial" w:hAnsi="Arial"/>
                <w:sz w:val="14"/>
                <w:szCs w:val="14"/>
              </w:rPr>
              <w:t xml:space="preserve">9.2</w:t>
            </w:r>
          </w:p>
        </w:tc>
        <w:tc>
          <w:tcPr>
            <w:tcW w:type="dxa" w:w="748"/>
            <w:tcMar>
              <w:top w:type="dxa" w:w="50"/>
              <w:left w:type="dxa" w:w="80"/>
              <w:bottom w:type="dxa" w:w="50"/>
              <w:right w:type="dxa" w:w="80"/>
            </w:tcMar>
          </w:tcPr>
          <w:p>
            <w:r>
              <w:rPr>
                <w:rFonts w:ascii="Arial" w:cs="Arial" w:eastAsia="Arial" w:hAnsi="Arial"/>
                <w:sz w:val="14"/>
                <w:szCs w:val="14"/>
              </w:rPr>
              <w:t xml:space="preserve">4,879</w:t>
            </w:r>
          </w:p>
        </w:tc>
        <w:tc>
          <w:tcPr>
            <w:tcW w:type="dxa" w:w="748"/>
            <w:tcMar>
              <w:top w:type="dxa" w:w="50"/>
              <w:left w:type="dxa" w:w="80"/>
              <w:bottom w:type="dxa" w:w="50"/>
              <w:right w:type="dxa" w:w="80"/>
            </w:tcMar>
          </w:tcPr>
          <w:p>
            <w:r>
              <w:rPr>
                <w:rFonts w:ascii="Arial" w:cs="Arial" w:eastAsia="Arial" w:hAnsi="Arial"/>
                <w:sz w:val="14"/>
                <w:szCs w:val="14"/>
              </w:rPr>
              <w:t xml:space="preserve">1,952</w:t>
            </w:r>
          </w:p>
        </w:tc>
        <w:tc>
          <w:tcPr>
            <w:tcW w:type="dxa" w:w="748"/>
            <w:tcMar>
              <w:top w:type="dxa" w:w="50"/>
              <w:left w:type="dxa" w:w="80"/>
              <w:bottom w:type="dxa" w:w="50"/>
              <w:right w:type="dxa" w:w="80"/>
            </w:tcMar>
          </w:tcPr>
          <w:p>
            <w:r>
              <w:rPr>
                <w:rFonts w:ascii="Arial" w:cs="Arial" w:eastAsia="Arial" w:hAnsi="Arial"/>
                <w:sz w:val="14"/>
                <w:szCs w:val="14"/>
              </w:rPr>
              <w:t xml:space="preserve">1,561</w:t>
            </w:r>
          </w:p>
        </w:tc>
        <w:tc>
          <w:tcPr>
            <w:tcW w:type="dxa" w:w="655"/>
            <w:tcMar>
              <w:top w:type="dxa" w:w="50"/>
              <w:left w:type="dxa" w:w="80"/>
              <w:bottom w:type="dxa" w:w="50"/>
              <w:right w:type="dxa" w:w="80"/>
            </w:tcMar>
          </w:tcPr>
          <w:p>
            <w:r>
              <w:rPr>
                <w:rFonts w:ascii="Arial" w:cs="Arial" w:eastAsia="Arial" w:hAnsi="Arial"/>
                <w:sz w:val="14"/>
                <w:szCs w:val="14"/>
              </w:rPr>
              <w:t xml:space="preserve">0.80</w:t>
            </w:r>
          </w:p>
        </w:tc>
        <w:tc>
          <w:tcPr>
            <w:tcW w:type="dxa" w:w="1216"/>
            <w:shd w:fill="D9EAD3" w:color="auto" w:val="clear"/>
            <w:tcMar>
              <w:top w:type="dxa" w:w="50"/>
              <w:left w:type="dxa" w:w="80"/>
              <w:bottom w:type="dxa" w:w="50"/>
              <w:right w:type="dxa" w:w="80"/>
            </w:tcMar>
          </w:tcPr>
          <w:p>
            <w:r>
              <w:rPr>
                <w:rFonts w:ascii="Arial" w:cs="Arial" w:eastAsia="Arial" w:hAnsi="Arial"/>
                <w:sz w:val="14"/>
                <w:szCs w:val="14"/>
              </w:rPr>
              <w:t xml:space="preserve">Below tolerance</w:t>
            </w:r>
          </w:p>
        </w:tc>
        <w:tc>
          <w:tcPr>
            <w:tcW w:type="dxa" w:w="1502"/>
            <w:tcMar>
              <w:top w:type="dxa" w:w="50"/>
              <w:left w:type="dxa" w:w="80"/>
              <w:bottom w:type="dxa" w:w="50"/>
              <w:right w:type="dxa" w:w="80"/>
            </w:tcMar>
          </w:tcPr>
          <w:p>
            <w:r>
              <w:rPr>
                <w:rFonts w:ascii="Arial" w:cs="Arial" w:eastAsia="Arial" w:hAnsi="Arial"/>
                <w:sz w:val="14"/>
                <w:szCs w:val="14"/>
              </w:rPr>
              <w:t xml:space="preserve">I02, I03, I04, I06, I11</w:t>
            </w:r>
          </w:p>
        </w:tc>
      </w:tr>
      <w:tr>
        <w:tc>
          <w:tcPr>
            <w:tcW w:type="dxa" w:w="374"/>
            <w:tcMar>
              <w:top w:type="dxa" w:w="50"/>
              <w:left w:type="dxa" w:w="80"/>
              <w:bottom w:type="dxa" w:w="50"/>
              <w:right w:type="dxa" w:w="80"/>
            </w:tcMar>
          </w:tcPr>
          <w:p>
            <w:r>
              <w:rPr>
                <w:rFonts w:ascii="Arial" w:cs="Arial" w:eastAsia="Arial" w:hAnsi="Arial"/>
                <w:sz w:val="14"/>
                <w:szCs w:val="14"/>
              </w:rPr>
              <w:t xml:space="preserve">S4</w:t>
            </w:r>
          </w:p>
        </w:tc>
        <w:tc>
          <w:tcPr>
            <w:tcW w:type="dxa" w:w="2808"/>
            <w:tcMar>
              <w:top w:type="dxa" w:w="50"/>
              <w:left w:type="dxa" w:w="80"/>
              <w:bottom w:type="dxa" w:w="50"/>
              <w:right w:type="dxa" w:w="80"/>
            </w:tcMar>
          </w:tcPr>
          <w:p>
            <w:r>
              <w:rPr>
                <w:rFonts w:ascii="Arial" w:cs="Arial" w:eastAsia="Arial" w:hAnsi="Arial"/>
                <w:sz w:val="14"/>
                <w:szCs w:val="14"/>
              </w:rPr>
              <w:t xml:space="preserve">Cloud medical-image transfer storage exposed, enabling bulk health-data exfiltration</w:t>
            </w:r>
          </w:p>
        </w:tc>
        <w:tc>
          <w:tcPr>
            <w:tcW w:type="dxa" w:w="561"/>
            <w:tcMar>
              <w:top w:type="dxa" w:w="50"/>
              <w:left w:type="dxa" w:w="80"/>
              <w:bottom w:type="dxa" w:w="50"/>
              <w:right w:type="dxa" w:w="80"/>
            </w:tcMar>
          </w:tcPr>
          <w:p>
            <w:r>
              <w:rPr>
                <w:rFonts w:ascii="Arial" w:cs="Arial" w:eastAsia="Arial" w:hAnsi="Arial"/>
                <w:sz w:val="14"/>
                <w:szCs w:val="14"/>
              </w:rPr>
              <w:t xml:space="preserve">8.7</w:t>
            </w:r>
          </w:p>
        </w:tc>
        <w:tc>
          <w:tcPr>
            <w:tcW w:type="dxa" w:w="748"/>
            <w:tcMar>
              <w:top w:type="dxa" w:w="50"/>
              <w:left w:type="dxa" w:w="80"/>
              <w:bottom w:type="dxa" w:w="50"/>
              <w:right w:type="dxa" w:w="80"/>
            </w:tcMar>
          </w:tcPr>
          <w:p>
            <w:r>
              <w:rPr>
                <w:rFonts w:ascii="Arial" w:cs="Arial" w:eastAsia="Arial" w:hAnsi="Arial"/>
                <w:sz w:val="14"/>
                <w:szCs w:val="14"/>
              </w:rPr>
              <w:t xml:space="preserve">2,973</w:t>
            </w:r>
          </w:p>
        </w:tc>
        <w:tc>
          <w:tcPr>
            <w:tcW w:type="dxa" w:w="748"/>
            <w:tcMar>
              <w:top w:type="dxa" w:w="50"/>
              <w:left w:type="dxa" w:w="80"/>
              <w:bottom w:type="dxa" w:w="50"/>
              <w:right w:type="dxa" w:w="80"/>
            </w:tcMar>
          </w:tcPr>
          <w:p>
            <w:r>
              <w:rPr>
                <w:rFonts w:ascii="Arial" w:cs="Arial" w:eastAsia="Arial" w:hAnsi="Arial"/>
                <w:sz w:val="14"/>
                <w:szCs w:val="14"/>
              </w:rPr>
              <w:t xml:space="preserve">1,321</w:t>
            </w:r>
          </w:p>
        </w:tc>
        <w:tc>
          <w:tcPr>
            <w:tcW w:type="dxa" w:w="748"/>
            <w:tcMar>
              <w:top w:type="dxa" w:w="50"/>
              <w:left w:type="dxa" w:w="80"/>
              <w:bottom w:type="dxa" w:w="50"/>
              <w:right w:type="dxa" w:w="80"/>
            </w:tcMar>
          </w:tcPr>
          <w:p>
            <w:r>
              <w:rPr>
                <w:rFonts w:ascii="Arial" w:cs="Arial" w:eastAsia="Arial" w:hAnsi="Arial"/>
                <w:sz w:val="14"/>
                <w:szCs w:val="14"/>
              </w:rPr>
              <w:t xml:space="preserve">1,204</w:t>
            </w:r>
          </w:p>
        </w:tc>
        <w:tc>
          <w:tcPr>
            <w:tcW w:type="dxa" w:w="655"/>
            <w:tcMar>
              <w:top w:type="dxa" w:w="50"/>
              <w:left w:type="dxa" w:w="80"/>
              <w:bottom w:type="dxa" w:w="50"/>
              <w:right w:type="dxa" w:w="80"/>
            </w:tcMar>
          </w:tcPr>
          <w:p>
            <w:r>
              <w:rPr>
                <w:rFonts w:ascii="Arial" w:cs="Arial" w:eastAsia="Arial" w:hAnsi="Arial"/>
                <w:sz w:val="14"/>
                <w:szCs w:val="14"/>
              </w:rPr>
              <w:t xml:space="preserve">0.91</w:t>
            </w:r>
          </w:p>
        </w:tc>
        <w:tc>
          <w:tcPr>
            <w:tcW w:type="dxa" w:w="1216"/>
            <w:shd w:fill="FFF2CC"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c>
          <w:tcPr>
            <w:tcW w:type="dxa" w:w="1502"/>
            <w:tcMar>
              <w:top w:type="dxa" w:w="50"/>
              <w:left w:type="dxa" w:w="80"/>
              <w:bottom w:type="dxa" w:w="50"/>
              <w:right w:type="dxa" w:w="80"/>
            </w:tcMar>
          </w:tcPr>
          <w:p>
            <w:r>
              <w:rPr>
                <w:rFonts w:ascii="Arial" w:cs="Arial" w:eastAsia="Arial" w:hAnsi="Arial"/>
                <w:sz w:val="14"/>
                <w:szCs w:val="14"/>
              </w:rPr>
              <w:t xml:space="preserve">I03, I08, I09</w:t>
            </w:r>
          </w:p>
        </w:tc>
      </w:tr>
      <w:tr>
        <w:tc>
          <w:tcPr>
            <w:tcW w:type="dxa" w:w="374"/>
            <w:tcMar>
              <w:top w:type="dxa" w:w="50"/>
              <w:left w:type="dxa" w:w="80"/>
              <w:bottom w:type="dxa" w:w="50"/>
              <w:right w:type="dxa" w:w="80"/>
            </w:tcMar>
          </w:tcPr>
          <w:p>
            <w:r>
              <w:rPr>
                <w:rFonts w:ascii="Arial" w:cs="Arial" w:eastAsia="Arial" w:hAnsi="Arial"/>
                <w:sz w:val="14"/>
                <w:szCs w:val="14"/>
              </w:rPr>
              <w:t xml:space="preserve">S5</w:t>
            </w:r>
          </w:p>
        </w:tc>
        <w:tc>
          <w:tcPr>
            <w:tcW w:type="dxa" w:w="2808"/>
            <w:tcMar>
              <w:top w:type="dxa" w:w="50"/>
              <w:left w:type="dxa" w:w="80"/>
              <w:bottom w:type="dxa" w:w="50"/>
              <w:right w:type="dxa" w:w="80"/>
            </w:tcMar>
          </w:tcPr>
          <w:p>
            <w:r>
              <w:rPr>
                <w:rFonts w:ascii="Arial" w:cs="Arial" w:eastAsia="Arial" w:hAnsi="Arial"/>
                <w:sz w:val="14"/>
                <w:szCs w:val="14"/>
              </w:rPr>
              <w:t xml:space="preserve">Misuse of legitimate clinical, privileged or service-account access to extract patient records</w:t>
            </w:r>
          </w:p>
        </w:tc>
        <w:tc>
          <w:tcPr>
            <w:tcW w:type="dxa" w:w="561"/>
            <w:tcMar>
              <w:top w:type="dxa" w:w="50"/>
              <w:left w:type="dxa" w:w="80"/>
              <w:bottom w:type="dxa" w:w="50"/>
              <w:right w:type="dxa" w:w="80"/>
            </w:tcMar>
          </w:tcPr>
          <w:p>
            <w:r>
              <w:rPr>
                <w:rFonts w:ascii="Arial" w:cs="Arial" w:eastAsia="Arial" w:hAnsi="Arial"/>
                <w:sz w:val="14"/>
                <w:szCs w:val="14"/>
              </w:rPr>
              <w:t xml:space="preserve">7.1</w:t>
            </w:r>
          </w:p>
        </w:tc>
        <w:tc>
          <w:tcPr>
            <w:tcW w:type="dxa" w:w="748"/>
            <w:tcMar>
              <w:top w:type="dxa" w:w="50"/>
              <w:left w:type="dxa" w:w="80"/>
              <w:bottom w:type="dxa" w:w="50"/>
              <w:right w:type="dxa" w:w="80"/>
            </w:tcMar>
          </w:tcPr>
          <w:p>
            <w:r>
              <w:rPr>
                <w:rFonts w:ascii="Arial" w:cs="Arial" w:eastAsia="Arial" w:hAnsi="Arial"/>
                <w:sz w:val="14"/>
                <w:szCs w:val="14"/>
              </w:rPr>
              <w:t xml:space="preserve">2,812</w:t>
            </w:r>
          </w:p>
        </w:tc>
        <w:tc>
          <w:tcPr>
            <w:tcW w:type="dxa" w:w="748"/>
            <w:tcMar>
              <w:top w:type="dxa" w:w="50"/>
              <w:left w:type="dxa" w:w="80"/>
              <w:bottom w:type="dxa" w:w="50"/>
              <w:right w:type="dxa" w:w="80"/>
            </w:tcMar>
          </w:tcPr>
          <w:p>
            <w:r>
              <w:rPr>
                <w:rFonts w:ascii="Arial" w:cs="Arial" w:eastAsia="Arial" w:hAnsi="Arial"/>
                <w:sz w:val="14"/>
                <w:szCs w:val="14"/>
              </w:rPr>
              <w:t xml:space="preserve">1,406</w:t>
            </w:r>
          </w:p>
        </w:tc>
        <w:tc>
          <w:tcPr>
            <w:tcW w:type="dxa" w:w="748"/>
            <w:tcMar>
              <w:top w:type="dxa" w:w="50"/>
              <w:left w:type="dxa" w:w="80"/>
              <w:bottom w:type="dxa" w:w="50"/>
              <w:right w:type="dxa" w:w="80"/>
            </w:tcMar>
          </w:tcPr>
          <w:p>
            <w:r>
              <w:rPr>
                <w:rFonts w:ascii="Arial" w:cs="Arial" w:eastAsia="Arial" w:hAnsi="Arial"/>
                <w:sz w:val="14"/>
                <w:szCs w:val="14"/>
              </w:rPr>
              <w:t xml:space="preserve">1,715</w:t>
            </w:r>
          </w:p>
        </w:tc>
        <w:tc>
          <w:tcPr>
            <w:tcW w:type="dxa" w:w="655"/>
            <w:tcMar>
              <w:top w:type="dxa" w:w="50"/>
              <w:left w:type="dxa" w:w="80"/>
              <w:bottom w:type="dxa" w:w="50"/>
              <w:right w:type="dxa" w:w="80"/>
            </w:tcMar>
          </w:tcPr>
          <w:p>
            <w:r>
              <w:rPr>
                <w:rFonts w:ascii="Arial" w:cs="Arial" w:eastAsia="Arial" w:hAnsi="Arial"/>
                <w:sz w:val="14"/>
                <w:szCs w:val="14"/>
              </w:rPr>
              <w:t xml:space="preserve">1.22</w:t>
            </w:r>
          </w:p>
        </w:tc>
        <w:tc>
          <w:tcPr>
            <w:tcW w:type="dxa" w:w="1216"/>
            <w:shd w:fill="F4CCCC" w:color="auto" w:val="clear"/>
            <w:tcMar>
              <w:top w:type="dxa" w:w="50"/>
              <w:left w:type="dxa" w:w="80"/>
              <w:bottom w:type="dxa" w:w="50"/>
              <w:right w:type="dxa" w:w="80"/>
            </w:tcMar>
          </w:tcPr>
          <w:p>
            <w:r>
              <w:rPr>
                <w:rFonts w:ascii="Arial" w:cs="Arial" w:eastAsia="Arial" w:hAnsi="Arial"/>
                <w:sz w:val="14"/>
                <w:szCs w:val="14"/>
              </w:rPr>
              <w:t xml:space="preserve">Above tolerance</w:t>
            </w:r>
          </w:p>
        </w:tc>
        <w:tc>
          <w:tcPr>
            <w:tcW w:type="dxa" w:w="1502"/>
            <w:tcMar>
              <w:top w:type="dxa" w:w="50"/>
              <w:left w:type="dxa" w:w="80"/>
              <w:bottom w:type="dxa" w:w="50"/>
              <w:right w:type="dxa" w:w="80"/>
            </w:tcMar>
          </w:tcPr>
          <w:p>
            <w:r>
              <w:rPr>
                <w:rFonts w:ascii="Arial" w:cs="Arial" w:eastAsia="Arial" w:hAnsi="Arial"/>
                <w:sz w:val="14"/>
                <w:szCs w:val="14"/>
              </w:rPr>
              <w:t xml:space="preserve">I02, I03, I09, I12</w:t>
            </w:r>
          </w:p>
        </w:tc>
      </w:tr>
      <w:tr>
        <w:tc>
          <w:tcPr>
            <w:tcW w:type="dxa" w:w="374"/>
            <w:tcMar>
              <w:top w:type="dxa" w:w="50"/>
              <w:left w:type="dxa" w:w="80"/>
              <w:bottom w:type="dxa" w:w="50"/>
              <w:right w:type="dxa" w:w="80"/>
            </w:tcMar>
          </w:tcPr>
          <w:p>
            <w:r>
              <w:rPr>
                <w:rFonts w:ascii="Arial" w:cs="Arial" w:eastAsia="Arial" w:hAnsi="Arial"/>
                <w:sz w:val="14"/>
                <w:szCs w:val="14"/>
              </w:rPr>
              <w:t xml:space="preserve">S6</w:t>
            </w:r>
          </w:p>
        </w:tc>
        <w:tc>
          <w:tcPr>
            <w:tcW w:type="dxa" w:w="2808"/>
            <w:tcMar>
              <w:top w:type="dxa" w:w="50"/>
              <w:left w:type="dxa" w:w="80"/>
              <w:bottom w:type="dxa" w:w="50"/>
              <w:right w:type="dxa" w:w="80"/>
            </w:tcMar>
          </w:tcPr>
          <w:p>
            <w:r>
              <w:rPr>
                <w:rFonts w:ascii="Arial" w:cs="Arial" w:eastAsia="Arial" w:hAnsi="Arial"/>
                <w:sz w:val="14"/>
                <w:szCs w:val="14"/>
              </w:rPr>
              <w:t xml:space="preserve">Exploitation of unpatched internet-facing or end-of-life systems</w:t>
            </w:r>
          </w:p>
        </w:tc>
        <w:tc>
          <w:tcPr>
            <w:tcW w:type="dxa" w:w="561"/>
            <w:tcMar>
              <w:top w:type="dxa" w:w="50"/>
              <w:left w:type="dxa" w:w="80"/>
              <w:bottom w:type="dxa" w:w="50"/>
              <w:right w:type="dxa" w:w="80"/>
            </w:tcMar>
          </w:tcPr>
          <w:p>
            <w:r>
              <w:rPr>
                <w:rFonts w:ascii="Arial" w:cs="Arial" w:eastAsia="Arial" w:hAnsi="Arial"/>
                <w:sz w:val="14"/>
                <w:szCs w:val="14"/>
              </w:rPr>
              <w:t xml:space="preserve">10.0</w:t>
            </w:r>
          </w:p>
        </w:tc>
        <w:tc>
          <w:tcPr>
            <w:tcW w:type="dxa" w:w="748"/>
            <w:tcMar>
              <w:top w:type="dxa" w:w="50"/>
              <w:left w:type="dxa" w:w="80"/>
              <w:bottom w:type="dxa" w:w="50"/>
              <w:right w:type="dxa" w:w="80"/>
            </w:tcMar>
          </w:tcPr>
          <w:p>
            <w:r>
              <w:rPr>
                <w:rFonts w:ascii="Arial" w:cs="Arial" w:eastAsia="Arial" w:hAnsi="Arial"/>
                <w:sz w:val="14"/>
                <w:szCs w:val="14"/>
              </w:rPr>
              <w:t xml:space="preserve">6,375</w:t>
            </w:r>
          </w:p>
        </w:tc>
        <w:tc>
          <w:tcPr>
            <w:tcW w:type="dxa" w:w="748"/>
            <w:tcMar>
              <w:top w:type="dxa" w:w="50"/>
              <w:left w:type="dxa" w:w="80"/>
              <w:bottom w:type="dxa" w:w="50"/>
              <w:right w:type="dxa" w:w="80"/>
            </w:tcMar>
          </w:tcPr>
          <w:p>
            <w:r>
              <w:rPr>
                <w:rFonts w:ascii="Arial" w:cs="Arial" w:eastAsia="Arial" w:hAnsi="Arial"/>
                <w:sz w:val="14"/>
                <w:szCs w:val="14"/>
              </w:rPr>
              <w:t xml:space="preserve">2,550</w:t>
            </w:r>
          </w:p>
        </w:tc>
        <w:tc>
          <w:tcPr>
            <w:tcW w:type="dxa" w:w="748"/>
            <w:tcMar>
              <w:top w:type="dxa" w:w="50"/>
              <w:left w:type="dxa" w:w="80"/>
              <w:bottom w:type="dxa" w:w="50"/>
              <w:right w:type="dxa" w:w="80"/>
            </w:tcMar>
          </w:tcPr>
          <w:p>
            <w:r>
              <w:rPr>
                <w:rFonts w:ascii="Arial" w:cs="Arial" w:eastAsia="Arial" w:hAnsi="Arial"/>
                <w:sz w:val="14"/>
                <w:szCs w:val="14"/>
              </w:rPr>
              <w:t xml:space="preserve">2,582</w:t>
            </w:r>
          </w:p>
        </w:tc>
        <w:tc>
          <w:tcPr>
            <w:tcW w:type="dxa" w:w="655"/>
            <w:tcMar>
              <w:top w:type="dxa" w:w="50"/>
              <w:left w:type="dxa" w:w="80"/>
              <w:bottom w:type="dxa" w:w="50"/>
              <w:right w:type="dxa" w:w="80"/>
            </w:tcMar>
          </w:tcPr>
          <w:p>
            <w:r>
              <w:rPr>
                <w:rFonts w:ascii="Arial" w:cs="Arial" w:eastAsia="Arial" w:hAnsi="Arial"/>
                <w:sz w:val="14"/>
                <w:szCs w:val="14"/>
              </w:rPr>
              <w:t xml:space="preserve">1.01</w:t>
            </w:r>
          </w:p>
        </w:tc>
        <w:tc>
          <w:tcPr>
            <w:tcW w:type="dxa" w:w="1216"/>
            <w:shd w:fill="FFF2CC"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c>
          <w:tcPr>
            <w:tcW w:type="dxa" w:w="1502"/>
            <w:tcMar>
              <w:top w:type="dxa" w:w="50"/>
              <w:left w:type="dxa" w:w="80"/>
              <w:bottom w:type="dxa" w:w="50"/>
              <w:right w:type="dxa" w:w="80"/>
            </w:tcMar>
          </w:tcPr>
          <w:p>
            <w:r>
              <w:rPr>
                <w:rFonts w:ascii="Arial" w:cs="Arial" w:eastAsia="Arial" w:hAnsi="Arial"/>
                <w:sz w:val="14"/>
                <w:szCs w:val="14"/>
              </w:rPr>
              <w:t xml:space="preserve">I03, I05, I06</w:t>
            </w:r>
          </w:p>
        </w:tc>
      </w:tr>
      <w:tr>
        <w:tc>
          <w:tcPr>
            <w:tcW w:type="dxa" w:w="374"/>
            <w:tcMar>
              <w:top w:type="dxa" w:w="50"/>
              <w:left w:type="dxa" w:w="80"/>
              <w:bottom w:type="dxa" w:w="50"/>
              <w:right w:type="dxa" w:w="80"/>
            </w:tcMar>
          </w:tcPr>
          <w:p>
            <w:r>
              <w:rPr>
                <w:rFonts w:ascii="Arial" w:cs="Arial" w:eastAsia="Arial" w:hAnsi="Arial"/>
                <w:sz w:val="14"/>
                <w:szCs w:val="14"/>
              </w:rPr>
              <w:t xml:space="preserve">S7</w:t>
            </w:r>
          </w:p>
        </w:tc>
        <w:tc>
          <w:tcPr>
            <w:tcW w:type="dxa" w:w="2808"/>
            <w:tcMar>
              <w:top w:type="dxa" w:w="50"/>
              <w:left w:type="dxa" w:w="80"/>
              <w:bottom w:type="dxa" w:w="50"/>
              <w:right w:type="dxa" w:w="80"/>
            </w:tcMar>
          </w:tcPr>
          <w:p>
            <w:r>
              <w:rPr>
                <w:rFonts w:ascii="Arial" w:cs="Arial" w:eastAsia="Arial" w:hAnsi="Arial"/>
                <w:sz w:val="14"/>
                <w:szCs w:val="14"/>
              </w:rPr>
              <w:t xml:space="preserve">Connected medical device used as a foothold to disrupt clinical equipment and reach the EHR network</w:t>
            </w:r>
          </w:p>
        </w:tc>
        <w:tc>
          <w:tcPr>
            <w:tcW w:type="dxa" w:w="561"/>
            <w:tcMar>
              <w:top w:type="dxa" w:w="50"/>
              <w:left w:type="dxa" w:w="80"/>
              <w:bottom w:type="dxa" w:w="50"/>
              <w:right w:type="dxa" w:w="80"/>
            </w:tcMar>
          </w:tcPr>
          <w:p>
            <w:r>
              <w:rPr>
                <w:rFonts w:ascii="Arial" w:cs="Arial" w:eastAsia="Arial" w:hAnsi="Arial"/>
                <w:sz w:val="14"/>
                <w:szCs w:val="14"/>
              </w:rPr>
              <w:t xml:space="preserve">8.7</w:t>
            </w:r>
          </w:p>
        </w:tc>
        <w:tc>
          <w:tcPr>
            <w:tcW w:type="dxa" w:w="748"/>
            <w:tcMar>
              <w:top w:type="dxa" w:w="50"/>
              <w:left w:type="dxa" w:w="80"/>
              <w:bottom w:type="dxa" w:w="50"/>
              <w:right w:type="dxa" w:w="80"/>
            </w:tcMar>
          </w:tcPr>
          <w:p>
            <w:r>
              <w:rPr>
                <w:rFonts w:ascii="Arial" w:cs="Arial" w:eastAsia="Arial" w:hAnsi="Arial"/>
                <w:sz w:val="14"/>
                <w:szCs w:val="14"/>
              </w:rPr>
              <w:t xml:space="preserve">3,775</w:t>
            </w:r>
          </w:p>
        </w:tc>
        <w:tc>
          <w:tcPr>
            <w:tcW w:type="dxa" w:w="748"/>
            <w:tcMar>
              <w:top w:type="dxa" w:w="50"/>
              <w:left w:type="dxa" w:w="80"/>
              <w:bottom w:type="dxa" w:w="50"/>
              <w:right w:type="dxa" w:w="80"/>
            </w:tcMar>
          </w:tcPr>
          <w:p>
            <w:r>
              <w:rPr>
                <w:rFonts w:ascii="Arial" w:cs="Arial" w:eastAsia="Arial" w:hAnsi="Arial"/>
                <w:sz w:val="14"/>
                <w:szCs w:val="14"/>
              </w:rPr>
              <w:t xml:space="preserve">1,510</w:t>
            </w:r>
          </w:p>
        </w:tc>
        <w:tc>
          <w:tcPr>
            <w:tcW w:type="dxa" w:w="748"/>
            <w:tcMar>
              <w:top w:type="dxa" w:w="50"/>
              <w:left w:type="dxa" w:w="80"/>
              <w:bottom w:type="dxa" w:w="50"/>
              <w:right w:type="dxa" w:w="80"/>
            </w:tcMar>
          </w:tcPr>
          <w:p>
            <w:r>
              <w:rPr>
                <w:rFonts w:ascii="Arial" w:cs="Arial" w:eastAsia="Arial" w:hAnsi="Arial"/>
                <w:sz w:val="14"/>
                <w:szCs w:val="14"/>
              </w:rPr>
              <w:t xml:space="preserve">2,190</w:t>
            </w:r>
          </w:p>
        </w:tc>
        <w:tc>
          <w:tcPr>
            <w:tcW w:type="dxa" w:w="655"/>
            <w:tcMar>
              <w:top w:type="dxa" w:w="50"/>
              <w:left w:type="dxa" w:w="80"/>
              <w:bottom w:type="dxa" w:w="50"/>
              <w:right w:type="dxa" w:w="80"/>
            </w:tcMar>
          </w:tcPr>
          <w:p>
            <w:r>
              <w:rPr>
                <w:rFonts w:ascii="Arial" w:cs="Arial" w:eastAsia="Arial" w:hAnsi="Arial"/>
                <w:sz w:val="14"/>
                <w:szCs w:val="14"/>
              </w:rPr>
              <w:t xml:space="preserve">1.45</w:t>
            </w:r>
          </w:p>
        </w:tc>
        <w:tc>
          <w:tcPr>
            <w:tcW w:type="dxa" w:w="1216"/>
            <w:shd w:fill="F4CCCC" w:color="auto" w:val="clear"/>
            <w:tcMar>
              <w:top w:type="dxa" w:w="50"/>
              <w:left w:type="dxa" w:w="80"/>
              <w:bottom w:type="dxa" w:w="50"/>
              <w:right w:type="dxa" w:w="80"/>
            </w:tcMar>
          </w:tcPr>
          <w:p>
            <w:r>
              <w:rPr>
                <w:rFonts w:ascii="Arial" w:cs="Arial" w:eastAsia="Arial" w:hAnsi="Arial"/>
                <w:sz w:val="14"/>
                <w:szCs w:val="14"/>
              </w:rPr>
              <w:t xml:space="preserve">Above tolerance</w:t>
            </w:r>
          </w:p>
        </w:tc>
        <w:tc>
          <w:tcPr>
            <w:tcW w:type="dxa" w:w="1502"/>
            <w:tcMar>
              <w:top w:type="dxa" w:w="50"/>
              <w:left w:type="dxa" w:w="80"/>
              <w:bottom w:type="dxa" w:w="50"/>
              <w:right w:type="dxa" w:w="80"/>
            </w:tcMar>
          </w:tcPr>
          <w:p>
            <w:r>
              <w:rPr>
                <w:rFonts w:ascii="Arial" w:cs="Arial" w:eastAsia="Arial" w:hAnsi="Arial"/>
                <w:sz w:val="14"/>
                <w:szCs w:val="14"/>
              </w:rPr>
              <w:t xml:space="preserve">I05, I06, I07</w:t>
            </w:r>
          </w:p>
        </w:tc>
      </w:tr>
      <w:tr>
        <w:tc>
          <w:tcPr>
            <w:tcW w:type="dxa" w:w="374"/>
            <w:tcMar>
              <w:top w:type="dxa" w:w="50"/>
              <w:left w:type="dxa" w:w="80"/>
              <w:bottom w:type="dxa" w:w="50"/>
              <w:right w:type="dxa" w:w="80"/>
            </w:tcMar>
          </w:tcPr>
          <w:p>
            <w:r>
              <w:rPr>
                <w:rFonts w:ascii="Arial" w:cs="Arial" w:eastAsia="Arial" w:hAnsi="Arial"/>
                <w:sz w:val="14"/>
                <w:szCs w:val="14"/>
              </w:rPr>
              <w:t xml:space="preserve">S8</w:t>
            </w:r>
          </w:p>
        </w:tc>
        <w:tc>
          <w:tcPr>
            <w:tcW w:type="dxa" w:w="2808"/>
            <w:tcMar>
              <w:top w:type="dxa" w:w="50"/>
              <w:left w:type="dxa" w:w="80"/>
              <w:bottom w:type="dxa" w:w="50"/>
              <w:right w:type="dxa" w:w="80"/>
            </w:tcMar>
          </w:tcPr>
          <w:p>
            <w:r>
              <w:rPr>
                <w:rFonts w:ascii="Arial" w:cs="Arial" w:eastAsia="Arial" w:hAnsi="Arial"/>
                <w:sz w:val="14"/>
                <w:szCs w:val="14"/>
              </w:rPr>
              <w:t xml:space="preserve">Detection and response gaps allow an intrusion to persist and escalate</w:t>
            </w:r>
          </w:p>
        </w:tc>
        <w:tc>
          <w:tcPr>
            <w:tcW w:type="dxa" w:w="561"/>
            <w:tcMar>
              <w:top w:type="dxa" w:w="50"/>
              <w:left w:type="dxa" w:w="80"/>
              <w:bottom w:type="dxa" w:w="50"/>
              <w:right w:type="dxa" w:w="80"/>
            </w:tcMar>
          </w:tcPr>
          <w:p>
            <w:r>
              <w:rPr>
                <w:rFonts w:ascii="Arial" w:cs="Arial" w:eastAsia="Arial" w:hAnsi="Arial"/>
                <w:sz w:val="14"/>
                <w:szCs w:val="14"/>
              </w:rPr>
              <w:t xml:space="preserve">9.3</w:t>
            </w:r>
          </w:p>
        </w:tc>
        <w:tc>
          <w:tcPr>
            <w:tcW w:type="dxa" w:w="748"/>
            <w:tcMar>
              <w:top w:type="dxa" w:w="50"/>
              <w:left w:type="dxa" w:w="80"/>
              <w:bottom w:type="dxa" w:w="50"/>
              <w:right w:type="dxa" w:w="80"/>
            </w:tcMar>
          </w:tcPr>
          <w:p>
            <w:r>
              <w:rPr>
                <w:rFonts w:ascii="Arial" w:cs="Arial" w:eastAsia="Arial" w:hAnsi="Arial"/>
                <w:sz w:val="14"/>
                <w:szCs w:val="14"/>
              </w:rPr>
              <w:t xml:space="preserve">9,486</w:t>
            </w:r>
          </w:p>
        </w:tc>
        <w:tc>
          <w:tcPr>
            <w:tcW w:type="dxa" w:w="748"/>
            <w:tcMar>
              <w:top w:type="dxa" w:w="50"/>
              <w:left w:type="dxa" w:w="80"/>
              <w:bottom w:type="dxa" w:w="50"/>
              <w:right w:type="dxa" w:w="80"/>
            </w:tcMar>
          </w:tcPr>
          <w:p>
            <w:r>
              <w:rPr>
                <w:rFonts w:ascii="Arial" w:cs="Arial" w:eastAsia="Arial" w:hAnsi="Arial"/>
                <w:sz w:val="14"/>
                <w:szCs w:val="14"/>
              </w:rPr>
              <w:t xml:space="preserve">3,794</w:t>
            </w:r>
          </w:p>
        </w:tc>
        <w:tc>
          <w:tcPr>
            <w:tcW w:type="dxa" w:w="748"/>
            <w:tcMar>
              <w:top w:type="dxa" w:w="50"/>
              <w:left w:type="dxa" w:w="80"/>
              <w:bottom w:type="dxa" w:w="50"/>
              <w:right w:type="dxa" w:w="80"/>
            </w:tcMar>
          </w:tcPr>
          <w:p>
            <w:r>
              <w:rPr>
                <w:rFonts w:ascii="Arial" w:cs="Arial" w:eastAsia="Arial" w:hAnsi="Arial"/>
                <w:sz w:val="14"/>
                <w:szCs w:val="14"/>
              </w:rPr>
              <w:t xml:space="preserve">4,174</w:t>
            </w:r>
          </w:p>
        </w:tc>
        <w:tc>
          <w:tcPr>
            <w:tcW w:type="dxa" w:w="655"/>
            <w:tcMar>
              <w:top w:type="dxa" w:w="50"/>
              <w:left w:type="dxa" w:w="80"/>
              <w:bottom w:type="dxa" w:w="50"/>
              <w:right w:type="dxa" w:w="80"/>
            </w:tcMar>
          </w:tcPr>
          <w:p>
            <w:r>
              <w:rPr>
                <w:rFonts w:ascii="Arial" w:cs="Arial" w:eastAsia="Arial" w:hAnsi="Arial"/>
                <w:sz w:val="14"/>
                <w:szCs w:val="14"/>
              </w:rPr>
              <w:t xml:space="preserve">1.10</w:t>
            </w:r>
          </w:p>
        </w:tc>
        <w:tc>
          <w:tcPr>
            <w:tcW w:type="dxa" w:w="1216"/>
            <w:shd w:fill="FFF2CC" w:color="auto" w:val="clear"/>
            <w:tcMar>
              <w:top w:type="dxa" w:w="50"/>
              <w:left w:type="dxa" w:w="80"/>
              <w:bottom w:type="dxa" w:w="50"/>
              <w:right w:type="dxa" w:w="80"/>
            </w:tcMar>
          </w:tcPr>
          <w:p>
            <w:r>
              <w:rPr>
                <w:rFonts w:ascii="Arial" w:cs="Arial" w:eastAsia="Arial" w:hAnsi="Arial"/>
                <w:sz w:val="14"/>
                <w:szCs w:val="14"/>
              </w:rPr>
              <w:t xml:space="preserve">Approximately at tolerance</w:t>
            </w:r>
          </w:p>
        </w:tc>
        <w:tc>
          <w:tcPr>
            <w:tcW w:type="dxa" w:w="1502"/>
            <w:tcMar>
              <w:top w:type="dxa" w:w="50"/>
              <w:left w:type="dxa" w:w="80"/>
              <w:bottom w:type="dxa" w:w="50"/>
              <w:right w:type="dxa" w:w="80"/>
            </w:tcMar>
          </w:tcPr>
          <w:p>
            <w:r>
              <w:rPr>
                <w:rFonts w:ascii="Arial" w:cs="Arial" w:eastAsia="Arial" w:hAnsi="Arial"/>
                <w:sz w:val="14"/>
                <w:szCs w:val="14"/>
              </w:rPr>
              <w:t xml:space="preserve">I01, I03, I11, I12</w:t>
            </w:r>
          </w:p>
        </w:tc>
      </w:tr>
      <w:tr>
        <w:tc>
          <w:tcPr>
            <w:tcW w:type="dxa" w:w="374"/>
            <w:tcMar>
              <w:top w:type="dxa" w:w="50"/>
              <w:left w:type="dxa" w:w="80"/>
              <w:bottom w:type="dxa" w:w="50"/>
              <w:right w:type="dxa" w:w="80"/>
            </w:tcMar>
          </w:tcPr>
          <w:p>
            <w:r>
              <w:rPr>
                <w:rFonts w:ascii="Arial" w:cs="Arial" w:eastAsia="Arial" w:hAnsi="Arial"/>
                <w:sz w:val="14"/>
                <w:szCs w:val="14"/>
              </w:rPr>
              <w:t xml:space="preserve">S9</w:t>
            </w:r>
          </w:p>
        </w:tc>
        <w:tc>
          <w:tcPr>
            <w:tcW w:type="dxa" w:w="2808"/>
            <w:tcMar>
              <w:top w:type="dxa" w:w="50"/>
              <w:left w:type="dxa" w:w="80"/>
              <w:bottom w:type="dxa" w:w="50"/>
              <w:right w:type="dxa" w:w="80"/>
            </w:tcMar>
          </w:tcPr>
          <w:p>
            <w:r>
              <w:rPr>
                <w:rFonts w:ascii="Arial" w:cs="Arial" w:eastAsia="Arial" w:hAnsi="Arial"/>
                <w:sz w:val="14"/>
                <w:szCs w:val="14"/>
              </w:rPr>
              <w:t xml:space="preserve">Compromise of a critical vendor with remote access to MediBec systems</w:t>
            </w:r>
          </w:p>
        </w:tc>
        <w:tc>
          <w:tcPr>
            <w:tcW w:type="dxa" w:w="561"/>
            <w:tcMar>
              <w:top w:type="dxa" w:w="50"/>
              <w:left w:type="dxa" w:w="80"/>
              <w:bottom w:type="dxa" w:w="50"/>
              <w:right w:type="dxa" w:w="80"/>
            </w:tcMar>
          </w:tcPr>
          <w:p>
            <w:r>
              <w:rPr>
                <w:rFonts w:ascii="Arial" w:cs="Arial" w:eastAsia="Arial" w:hAnsi="Arial"/>
                <w:sz w:val="14"/>
                <w:szCs w:val="14"/>
              </w:rPr>
              <w:t xml:space="preserve">9.0</w:t>
            </w:r>
          </w:p>
        </w:tc>
        <w:tc>
          <w:tcPr>
            <w:tcW w:type="dxa" w:w="748"/>
            <w:tcMar>
              <w:top w:type="dxa" w:w="50"/>
              <w:left w:type="dxa" w:w="80"/>
              <w:bottom w:type="dxa" w:w="50"/>
              <w:right w:type="dxa" w:w="80"/>
            </w:tcMar>
          </w:tcPr>
          <w:p>
            <w:r>
              <w:rPr>
                <w:rFonts w:ascii="Arial" w:cs="Arial" w:eastAsia="Arial" w:hAnsi="Arial"/>
                <w:sz w:val="14"/>
                <w:szCs w:val="14"/>
              </w:rPr>
              <w:t xml:space="preserve">4,057</w:t>
            </w:r>
          </w:p>
        </w:tc>
        <w:tc>
          <w:tcPr>
            <w:tcW w:type="dxa" w:w="748"/>
            <w:tcMar>
              <w:top w:type="dxa" w:w="50"/>
              <w:left w:type="dxa" w:w="80"/>
              <w:bottom w:type="dxa" w:w="50"/>
              <w:right w:type="dxa" w:w="80"/>
            </w:tcMar>
          </w:tcPr>
          <w:p>
            <w:r>
              <w:rPr>
                <w:rFonts w:ascii="Arial" w:cs="Arial" w:eastAsia="Arial" w:hAnsi="Arial"/>
                <w:sz w:val="14"/>
                <w:szCs w:val="14"/>
              </w:rPr>
              <w:t xml:space="preserve">1,623</w:t>
            </w:r>
          </w:p>
        </w:tc>
        <w:tc>
          <w:tcPr>
            <w:tcW w:type="dxa" w:w="748"/>
            <w:tcMar>
              <w:top w:type="dxa" w:w="50"/>
              <w:left w:type="dxa" w:w="80"/>
              <w:bottom w:type="dxa" w:w="50"/>
              <w:right w:type="dxa" w:w="80"/>
            </w:tcMar>
          </w:tcPr>
          <w:p>
            <w:r>
              <w:rPr>
                <w:rFonts w:ascii="Arial" w:cs="Arial" w:eastAsia="Arial" w:hAnsi="Arial"/>
                <w:sz w:val="14"/>
                <w:szCs w:val="14"/>
              </w:rPr>
              <w:t xml:space="preserve">2,495</w:t>
            </w:r>
          </w:p>
        </w:tc>
        <w:tc>
          <w:tcPr>
            <w:tcW w:type="dxa" w:w="655"/>
            <w:tcMar>
              <w:top w:type="dxa" w:w="50"/>
              <w:left w:type="dxa" w:w="80"/>
              <w:bottom w:type="dxa" w:w="50"/>
              <w:right w:type="dxa" w:w="80"/>
            </w:tcMar>
          </w:tcPr>
          <w:p>
            <w:r>
              <w:rPr>
                <w:rFonts w:ascii="Arial" w:cs="Arial" w:eastAsia="Arial" w:hAnsi="Arial"/>
                <w:sz w:val="14"/>
                <w:szCs w:val="14"/>
              </w:rPr>
              <w:t xml:space="preserve">1.54</w:t>
            </w:r>
          </w:p>
        </w:tc>
        <w:tc>
          <w:tcPr>
            <w:tcW w:type="dxa" w:w="1216"/>
            <w:shd w:fill="F4CCCC" w:color="auto" w:val="clear"/>
            <w:tcMar>
              <w:top w:type="dxa" w:w="50"/>
              <w:left w:type="dxa" w:w="80"/>
              <w:bottom w:type="dxa" w:w="50"/>
              <w:right w:type="dxa" w:w="80"/>
            </w:tcMar>
          </w:tcPr>
          <w:p>
            <w:r>
              <w:rPr>
                <w:rFonts w:ascii="Arial" w:cs="Arial" w:eastAsia="Arial" w:hAnsi="Arial"/>
                <w:sz w:val="14"/>
                <w:szCs w:val="14"/>
              </w:rPr>
              <w:t xml:space="preserve">Above tolerance</w:t>
            </w:r>
          </w:p>
        </w:tc>
        <w:tc>
          <w:tcPr>
            <w:tcW w:type="dxa" w:w="1502"/>
            <w:tcMar>
              <w:top w:type="dxa" w:w="50"/>
              <w:left w:type="dxa" w:w="80"/>
              <w:bottom w:type="dxa" w:w="50"/>
              <w:right w:type="dxa" w:w="80"/>
            </w:tcMar>
          </w:tcPr>
          <w:p>
            <w:r>
              <w:rPr>
                <w:rFonts w:ascii="Arial" w:cs="Arial" w:eastAsia="Arial" w:hAnsi="Arial"/>
                <w:sz w:val="14"/>
                <w:szCs w:val="14"/>
              </w:rPr>
              <w:t xml:space="preserve">I01, I02, I03, I10, I11</w:t>
            </w:r>
          </w:p>
        </w:tc>
      </w:tr>
      <w:tr>
        <w:tc>
          <w:tcPr>
            <w:tcW w:type="dxa" w:w="374"/>
            <w:tcMar>
              <w:top w:type="dxa" w:w="50"/>
              <w:left w:type="dxa" w:w="80"/>
              <w:bottom w:type="dxa" w:w="50"/>
              <w:right w:type="dxa" w:w="80"/>
            </w:tcMar>
          </w:tcPr>
          <w:p>
            <w:r>
              <w:rPr>
                <w:rFonts w:ascii="Arial" w:cs="Arial" w:eastAsia="Arial" w:hAnsi="Arial"/>
                <w:sz w:val="14"/>
                <w:szCs w:val="14"/>
              </w:rPr>
              <w:t xml:space="preserve">S10</w:t>
            </w:r>
          </w:p>
        </w:tc>
        <w:tc>
          <w:tcPr>
            <w:tcW w:type="dxa" w:w="2808"/>
            <w:tcMar>
              <w:top w:type="dxa" w:w="50"/>
              <w:left w:type="dxa" w:w="80"/>
              <w:bottom w:type="dxa" w:w="50"/>
              <w:right w:type="dxa" w:w="80"/>
            </w:tcMar>
          </w:tcPr>
          <w:p>
            <w:r>
              <w:rPr>
                <w:rFonts w:ascii="Arial" w:cs="Arial" w:eastAsia="Arial" w:hAnsi="Arial"/>
                <w:sz w:val="14"/>
                <w:szCs w:val="14"/>
              </w:rPr>
              <w:t xml:space="preserve">Manipulation of patient, medication or billing records undermining clinical decisions</w:t>
            </w:r>
          </w:p>
        </w:tc>
        <w:tc>
          <w:tcPr>
            <w:tcW w:type="dxa" w:w="561"/>
            <w:tcMar>
              <w:top w:type="dxa" w:w="50"/>
              <w:left w:type="dxa" w:w="80"/>
              <w:bottom w:type="dxa" w:w="50"/>
              <w:right w:type="dxa" w:w="80"/>
            </w:tcMar>
          </w:tcPr>
          <w:p>
            <w:r>
              <w:rPr>
                <w:rFonts w:ascii="Arial" w:cs="Arial" w:eastAsia="Arial" w:hAnsi="Arial"/>
                <w:sz w:val="14"/>
                <w:szCs w:val="14"/>
              </w:rPr>
              <w:t xml:space="preserve">8.3</w:t>
            </w:r>
          </w:p>
        </w:tc>
        <w:tc>
          <w:tcPr>
            <w:tcW w:type="dxa" w:w="748"/>
            <w:tcMar>
              <w:top w:type="dxa" w:w="50"/>
              <w:left w:type="dxa" w:w="80"/>
              <w:bottom w:type="dxa" w:w="50"/>
              <w:right w:type="dxa" w:w="80"/>
            </w:tcMar>
          </w:tcPr>
          <w:p>
            <w:r>
              <w:rPr>
                <w:rFonts w:ascii="Arial" w:cs="Arial" w:eastAsia="Arial" w:hAnsi="Arial"/>
                <w:sz w:val="14"/>
                <w:szCs w:val="14"/>
              </w:rPr>
              <w:t xml:space="preserve">1,774</w:t>
            </w:r>
          </w:p>
        </w:tc>
        <w:tc>
          <w:tcPr>
            <w:tcW w:type="dxa" w:w="748"/>
            <w:tcMar>
              <w:top w:type="dxa" w:w="50"/>
              <w:left w:type="dxa" w:w="80"/>
              <w:bottom w:type="dxa" w:w="50"/>
              <w:right w:type="dxa" w:w="80"/>
            </w:tcMar>
          </w:tcPr>
          <w:p>
            <w:r>
              <w:rPr>
                <w:rFonts w:ascii="Arial" w:cs="Arial" w:eastAsia="Arial" w:hAnsi="Arial"/>
                <w:sz w:val="14"/>
                <w:szCs w:val="14"/>
              </w:rPr>
              <w:t xml:space="preserve">710</w:t>
            </w:r>
          </w:p>
        </w:tc>
        <w:tc>
          <w:tcPr>
            <w:tcW w:type="dxa" w:w="748"/>
            <w:tcMar>
              <w:top w:type="dxa" w:w="50"/>
              <w:left w:type="dxa" w:w="80"/>
              <w:bottom w:type="dxa" w:w="50"/>
              <w:right w:type="dxa" w:w="80"/>
            </w:tcMar>
          </w:tcPr>
          <w:p>
            <w:r>
              <w:rPr>
                <w:rFonts w:ascii="Arial" w:cs="Arial" w:eastAsia="Arial" w:hAnsi="Arial"/>
                <w:sz w:val="14"/>
                <w:szCs w:val="14"/>
              </w:rPr>
              <w:t xml:space="preserve">843</w:t>
            </w:r>
          </w:p>
        </w:tc>
        <w:tc>
          <w:tcPr>
            <w:tcW w:type="dxa" w:w="655"/>
            <w:tcMar>
              <w:top w:type="dxa" w:w="50"/>
              <w:left w:type="dxa" w:w="80"/>
              <w:bottom w:type="dxa" w:w="50"/>
              <w:right w:type="dxa" w:w="80"/>
            </w:tcMar>
          </w:tcPr>
          <w:p>
            <w:r>
              <w:rPr>
                <w:rFonts w:ascii="Arial" w:cs="Arial" w:eastAsia="Arial" w:hAnsi="Arial"/>
                <w:sz w:val="14"/>
                <w:szCs w:val="14"/>
              </w:rPr>
              <w:t xml:space="preserve">1.19</w:t>
            </w:r>
          </w:p>
        </w:tc>
        <w:tc>
          <w:tcPr>
            <w:tcW w:type="dxa" w:w="1216"/>
            <w:shd w:fill="F4CCCC" w:color="auto" w:val="clear"/>
            <w:tcMar>
              <w:top w:type="dxa" w:w="50"/>
              <w:left w:type="dxa" w:w="80"/>
              <w:bottom w:type="dxa" w:w="50"/>
              <w:right w:type="dxa" w:w="80"/>
            </w:tcMar>
          </w:tcPr>
          <w:p>
            <w:r>
              <w:rPr>
                <w:rFonts w:ascii="Arial" w:cs="Arial" w:eastAsia="Arial" w:hAnsi="Arial"/>
                <w:sz w:val="14"/>
                <w:szCs w:val="14"/>
              </w:rPr>
              <w:t xml:space="preserve">Above tolerance</w:t>
            </w:r>
          </w:p>
        </w:tc>
        <w:tc>
          <w:tcPr>
            <w:tcW w:type="dxa" w:w="1502"/>
            <w:tcMar>
              <w:top w:type="dxa" w:w="50"/>
              <w:left w:type="dxa" w:w="80"/>
              <w:bottom w:type="dxa" w:w="50"/>
              <w:right w:type="dxa" w:w="80"/>
            </w:tcMar>
          </w:tcPr>
          <w:p>
            <w:r>
              <w:rPr>
                <w:rFonts w:ascii="Arial" w:cs="Arial" w:eastAsia="Arial" w:hAnsi="Arial"/>
                <w:sz w:val="14"/>
                <w:szCs w:val="14"/>
              </w:rPr>
              <w:t xml:space="preserve">I01, I02, I03, I04, I09, I11, I13</w:t>
            </w:r>
          </w:p>
        </w:tc>
      </w:tr>
    </w:tbl>
    <w:p>
      <w:pPr>
        <w:spacing w:after="80"/>
      </w:pPr>
    </w:p>
    <w:p>
      <w:pPr>
        <w:spacing w:after="120"/>
      </w:pPr>
      <w:r>
        <w:rPr>
          <w:rFonts w:ascii="Arial" w:cs="Arial" w:eastAsia="Arial" w:hAnsi="Arial"/>
        </w:rPr>
        <w:t xml:space="preserve">Totals: estimated 50,492, tolerated 20,508, residual 22,804 risk units. Initiative names are listed in Section 10.</w:t>
      </w:r>
    </w:p>
    <w:p>
      <w:pPr>
        <w:pStyle w:val="Heading1"/>
        <w:pageBreakBefore/>
      </w:pPr>
      <w:r>
        <w:rPr>
          <w:rFonts w:ascii="Arial" w:cs="Arial" w:eastAsia="Arial" w:hAnsi="Arial"/>
        </w:rPr>
        <w:t xml:space="preserve">7. Detailed risk scenarios</w:t>
      </w:r>
    </w:p>
    <w:p>
      <w:pPr>
        <w:spacing w:after="120"/>
      </w:pPr>
      <w:r>
        <w:rPr>
          <w:rFonts w:ascii="Arial" w:cs="Arial" w:eastAsia="Arial" w:hAnsi="Arial"/>
        </w:rPr>
        <w:t xml:space="preserve">Each scenario follows the causal chain threat source -&gt; vulnerability -&gt; asset/process -&gt; cybersecurity event -&gt; business consequence. Existing controls are listed only where the case documents them.</w:t>
      </w:r>
    </w:p>
    <w:p>
      <w:pPr>
        <w:pStyle w:val="Heading2"/>
      </w:pPr>
      <w:r>
        <w:rPr>
          <w:rFonts w:ascii="Arial" w:cs="Arial" w:eastAsia="Arial" w:hAnsi="Arial"/>
        </w:rPr>
        <w:t xml:space="preserve">S1 - Credential compromise of clinical administrator accounts through phishing and MFA fatigue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financially motivated external actor phishes clinic administrators and billing staff with an EHR-themed lure, captures credentials and obtains approval of an MFA push prompt, gaining remote access to the EHR, billing and administrative systems, enabling unauthorized access to patient records and follow-on intrusion.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MED-CYR-01 / 12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 administrators and billing staff; CIO; Cybersecurity lead; Privacy officer; Clinical Ops; patients; EHR vendor; Steering Committee.</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relies on remote and cloud access for staff and clinicians (E2). Exercise evidence shows an EHR-themed phishing lure with a macro attachment and a successful login from an unusual geography approved by MFA push (E6). Attack attempts are rising (E4).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Cybercriminal (initial-access broker or ransomware affiliate).</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Credential phishing and MFA push-fatigue against remote access.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Push-based MFA without number matching or phishing resistance (E6 - validate)</w:t>
            </w:r>
          </w:p>
          <w:p>
            <w:r>
              <w:rPr>
                <w:rFonts w:ascii="Arial" w:cs="Arial" w:eastAsia="Arial" w:hAnsi="Arial"/>
                <w:sz w:val="16"/>
                <w:szCs w:val="16"/>
              </w:rPr>
              <w:t xml:space="preserve">No evidence of conditional access (geo/device) policies</w:t>
            </w:r>
          </w:p>
          <w:p>
            <w:r>
              <w:rPr>
                <w:rFonts w:ascii="Arial" w:cs="Arial" w:eastAsia="Arial" w:hAnsi="Arial"/>
                <w:sz w:val="16"/>
                <w:szCs w:val="16"/>
              </w:rPr>
              <w:t xml:space="preserve">Internet-sourced macro documents reach users (E6)</w:t>
            </w:r>
          </w:p>
          <w:p>
            <w:r>
              <w:rPr>
                <w:rFonts w:ascii="Arial" w:cs="Arial" w:eastAsia="Arial" w:hAnsi="Arial"/>
                <w:sz w:val="16"/>
                <w:szCs w:val="16"/>
              </w:rPr>
              <w:t xml:space="preserve">Awareness programme maturity unknown (Evidence gap)</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CJ5 identity and remote access; CJ1 EHR; CJ4 billing.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Scheduling, clinical documentation, billing.</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Email filtering / antimalware (E2 - effectiveness unknown)</w:t>
            </w:r>
          </w:p>
          <w:p>
            <w:r>
              <w:rPr>
                <w:rFonts w:ascii="Arial" w:cs="Arial" w:eastAsia="Arial" w:hAnsi="Arial"/>
                <w:sz w:val="16"/>
                <w:szCs w:val="16"/>
              </w:rPr>
              <w:t xml:space="preserve">MFA push on remote access (E6)</w:t>
            </w:r>
          </w:p>
          <w:p>
            <w:r>
              <w:rPr>
                <w:rFonts w:ascii="Arial" w:cs="Arial" w:eastAsia="Arial" w:hAnsi="Arial"/>
                <w:sz w:val="16"/>
                <w:szCs w:val="16"/>
              </w:rPr>
              <w:t xml:space="preserve">EDR alerting (E6 - triage weak)</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newly registered look-alike domain sends 'Urgent: updated EHR access procedure' messages to clinic administrators. One user enters credentials on the fake portal; the attacker triggers repeated MFA pushes late at night until one is approved. With a valid clinical administrator session, the attacker browses EHR records, harvests address books for internal phishing and stages for privilege escalation.</w:t>
      </w:r>
    </w:p>
    <w:p>
      <w:pPr>
        <w:pStyle w:val="ListParagraph"/>
        <w:numPr>
          <w:ilvl w:val="0"/>
          <w:numId w:val="2"/>
        </w:numPr>
        <w:spacing w:after="60"/>
      </w:pPr>
      <w:r>
        <w:rPr>
          <w:rFonts w:ascii="Arial" w:cs="Arial" w:eastAsia="Arial" w:hAnsi="Arial"/>
        </w:rPr>
        <w:t xml:space="preserve">Initial access - credential phishing and MFA push approval</w:t>
      </w:r>
    </w:p>
    <w:p>
      <w:pPr>
        <w:pStyle w:val="ListParagraph"/>
        <w:numPr>
          <w:ilvl w:val="0"/>
          <w:numId w:val="2"/>
        </w:numPr>
        <w:spacing w:after="60"/>
      </w:pPr>
      <w:r>
        <w:rPr>
          <w:rFonts w:ascii="Arial" w:cs="Arial" w:eastAsia="Arial" w:hAnsi="Arial"/>
        </w:rPr>
        <w:t xml:space="preserve">Exploitation - valid session on remote access gateway</w:t>
      </w:r>
    </w:p>
    <w:p>
      <w:pPr>
        <w:pStyle w:val="ListParagraph"/>
        <w:numPr>
          <w:ilvl w:val="0"/>
          <w:numId w:val="2"/>
        </w:numPr>
        <w:spacing w:after="60"/>
      </w:pPr>
      <w:r>
        <w:rPr>
          <w:rFonts w:ascii="Arial" w:cs="Arial" w:eastAsia="Arial" w:hAnsi="Arial"/>
        </w:rPr>
        <w:t xml:space="preserve">Privilege escalation - search for admin credentials and service-account secrets</w:t>
      </w:r>
    </w:p>
    <w:p>
      <w:pPr>
        <w:pStyle w:val="ListParagraph"/>
        <w:numPr>
          <w:ilvl w:val="0"/>
          <w:numId w:val="2"/>
        </w:numPr>
        <w:spacing w:after="60"/>
      </w:pPr>
      <w:r>
        <w:rPr>
          <w:rFonts w:ascii="Arial" w:cs="Arial" w:eastAsia="Arial" w:hAnsi="Arial"/>
        </w:rPr>
        <w:t xml:space="preserve">Persistence - register attacker MFA device / mailbox rules</w:t>
      </w:r>
    </w:p>
    <w:p>
      <w:pPr>
        <w:pStyle w:val="ListParagraph"/>
        <w:numPr>
          <w:ilvl w:val="0"/>
          <w:numId w:val="2"/>
        </w:numPr>
        <w:spacing w:after="60"/>
      </w:pPr>
      <w:r>
        <w:rPr>
          <w:rFonts w:ascii="Arial" w:cs="Arial" w:eastAsia="Arial" w:hAnsi="Arial"/>
        </w:rPr>
        <w:t xml:space="preserve">Discovery - enumerate EHR, file shares, clinics</w:t>
      </w:r>
    </w:p>
    <w:p>
      <w:pPr>
        <w:pStyle w:val="ListParagraph"/>
        <w:numPr>
          <w:ilvl w:val="0"/>
          <w:numId w:val="2"/>
        </w:numPr>
        <w:spacing w:after="60"/>
      </w:pPr>
      <w:r>
        <w:rPr>
          <w:rFonts w:ascii="Arial" w:cs="Arial" w:eastAsia="Arial" w:hAnsi="Arial"/>
        </w:rPr>
        <w:t xml:space="preserve">Lateral movement - internal phishing from trusted mailbox</w:t>
      </w:r>
    </w:p>
    <w:p>
      <w:pPr>
        <w:pStyle w:val="ListParagraph"/>
        <w:numPr>
          <w:ilvl w:val="0"/>
          <w:numId w:val="2"/>
        </w:numPr>
        <w:spacing w:after="60"/>
      </w:pPr>
      <w:r>
        <w:rPr>
          <w:rFonts w:ascii="Arial" w:cs="Arial" w:eastAsia="Arial" w:hAnsi="Arial"/>
        </w:rPr>
        <w:t xml:space="preserve">Collection - patient and billing extracts</w:t>
      </w:r>
    </w:p>
    <w:p>
      <w:pPr>
        <w:pStyle w:val="ListParagraph"/>
        <w:numPr>
          <w:ilvl w:val="0"/>
          <w:numId w:val="2"/>
        </w:numPr>
        <w:spacing w:after="60"/>
      </w:pPr>
      <w:r>
        <w:rPr>
          <w:rFonts w:ascii="Arial" w:cs="Arial" w:eastAsia="Arial" w:hAnsi="Arial"/>
        </w:rPr>
        <w:t xml:space="preserve">Exfiltration - over remote session</w:t>
      </w:r>
    </w:p>
    <w:p>
      <w:pPr>
        <w:pStyle w:val="ListParagraph"/>
        <w:numPr>
          <w:ilvl w:val="0"/>
          <w:numId w:val="2"/>
        </w:numPr>
        <w:spacing w:after="60"/>
      </w:pPr>
      <w:r>
        <w:rPr>
          <w:rFonts w:ascii="Arial" w:cs="Arial" w:eastAsia="Arial" w:hAnsi="Arial"/>
        </w:rPr>
        <w:t xml:space="preserve">Detection - unusual geography flagged late or not at all</w:t>
      </w:r>
    </w:p>
    <w:p>
      <w:pPr>
        <w:pStyle w:val="ListParagraph"/>
        <w:numPr>
          <w:ilvl w:val="0"/>
          <w:numId w:val="2"/>
        </w:numPr>
        <w:spacing w:after="60"/>
      </w:pPr>
      <w:r>
        <w:rPr>
          <w:rFonts w:ascii="Arial" w:cs="Arial" w:eastAsia="Arial" w:hAnsi="Arial"/>
        </w:rPr>
        <w:t xml:space="preserve">Business impact - privacy breach, possible precursor to S2</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Unauthorized access to patient records; likely reportable confidentiality incident.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record or mailbox manipulation.</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Limited directly; high if it leads to S2.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Account resets and investigation across clinics.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Investigation, notification, legal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Quebec privacy-law incident register, assessment and notification obligations (counsel to confirm).</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Loss of patient trust if disclosed.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0.85</w:t>
            </w:r>
          </w:p>
        </w:tc>
        <w:tc>
          <w:tcPr>
            <w:tcW w:type="dxa" w:w="1123"/>
            <w:tcMar>
              <w:top w:type="dxa" w:w="50"/>
              <w:left w:type="dxa" w:w="80"/>
              <w:bottom w:type="dxa" w:w="50"/>
              <w:right w:type="dxa" w:w="80"/>
            </w:tcMar>
          </w:tcPr>
          <w:p>
            <w:r>
              <w:rPr>
                <w:rFonts w:ascii="Arial" w:cs="Arial" w:eastAsia="Arial" w:hAnsi="Arial"/>
                <w:sz w:val="15"/>
                <w:szCs w:val="15"/>
              </w:rPr>
              <w:t xml:space="preserve">Very likely</w:t>
            </w:r>
          </w:p>
        </w:tc>
        <w:tc>
          <w:tcPr>
            <w:tcW w:type="dxa" w:w="4024"/>
            <w:tcMar>
              <w:top w:type="dxa" w:w="50"/>
              <w:left w:type="dxa" w:w="80"/>
              <w:bottom w:type="dxa" w:w="50"/>
              <w:right w:type="dxa" w:w="80"/>
            </w:tcMar>
          </w:tcPr>
          <w:p>
            <w:r>
              <w:rPr>
                <w:rFonts w:ascii="Arial" w:cs="Arial" w:eastAsia="Arial" w:hAnsi="Arial"/>
                <w:sz w:val="15"/>
                <w:szCs w:val="15"/>
              </w:rPr>
              <w:t xml:space="preserve">Phishing is constant and attempts are increasing; lures already observed.</w:t>
            </w:r>
          </w:p>
        </w:tc>
        <w:tc>
          <w:tcPr>
            <w:tcW w:type="dxa" w:w="842"/>
            <w:tcMar>
              <w:top w:type="dxa" w:w="50"/>
              <w:left w:type="dxa" w:w="80"/>
              <w:bottom w:type="dxa" w:w="50"/>
              <w:right w:type="dxa" w:w="80"/>
            </w:tcMar>
          </w:tcPr>
          <w:p>
            <w:r>
              <w:rPr>
                <w:rFonts w:ascii="Arial" w:cs="Arial" w:eastAsia="Arial" w:hAnsi="Arial"/>
                <w:sz w:val="15"/>
                <w:szCs w:val="15"/>
              </w:rPr>
              <w:t xml:space="preserve">E4, 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Push MFA is bypassable by fatigue; no conditional access or macro blocking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Access to a subset of records; containment possible if detected.</w:t>
            </w:r>
          </w:p>
        </w:tc>
        <w:tc>
          <w:tcPr>
            <w:tcW w:type="dxa" w:w="842"/>
            <w:tcMar>
              <w:top w:type="dxa" w:w="50"/>
              <w:left w:type="dxa" w:w="80"/>
              <w:bottom w:type="dxa" w:w="50"/>
              <w:right w:type="dxa" w:w="80"/>
            </w:tcMar>
          </w:tcPr>
          <w:p>
            <w:r>
              <w:rPr>
                <w:rFonts w:ascii="Arial" w:cs="Arial" w:eastAsia="Arial" w:hAnsi="Arial"/>
                <w:sz w:val="15"/>
                <w:szCs w:val="15"/>
              </w:rPr>
              <w:t xml:space="preserve">E1, 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Full EHR access or pivot to ransomware.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Two-person team; alert triage weak; IR untested.</w:t>
            </w:r>
          </w:p>
        </w:tc>
        <w:tc>
          <w:tcPr>
            <w:tcW w:type="dxa" w:w="842"/>
            <w:tcMar>
              <w:top w:type="dxa" w:w="50"/>
              <w:left w:type="dxa" w:w="80"/>
              <w:bottom w:type="dxa" w:w="50"/>
              <w:right w:type="dxa" w:w="80"/>
            </w:tcMar>
          </w:tcPr>
          <w:p>
            <w:r>
              <w:rPr>
                <w:rFonts w:ascii="Arial" w:cs="Arial" w:eastAsia="Arial" w:hAnsi="Arial"/>
                <w:sz w:val="15"/>
                <w:szCs w:val="15"/>
              </w:rPr>
              <w:t xml:space="preserve">E3, 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Identity is the gateway to every crown jewel.</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CVSS:4.0/AV:N/AC:L/AT:N/PR:N/UI:A/VC:H/VI:H/VA:N/SC:H/SI:L/SA:L   </w:t>
      </w:r>
      <w:r>
        <w:rPr>
          <w:rFonts w:ascii="Arial" w:cs="Arial" w:eastAsia="Arial" w:hAnsi="Arial"/>
          <w:b/>
          <w:bCs/>
        </w:rPr>
        <w:t xml:space="preserve">CVSS-B:</w:t>
      </w:r>
      <w:r>
        <w:rPr>
          <w:rFonts w:ascii="Arial" w:cs="Arial" w:eastAsia="Arial" w:hAnsi="Arial"/>
        </w:rPr>
        <w:t xml:space="preserve"> 9.3 (Critical)</w:t>
      </w:r>
    </w:p>
    <w:p>
      <w:pPr>
        <w:spacing w:after="120"/>
      </w:pPr>
      <w:r>
        <w:rPr>
          <w:rFonts w:ascii="Arial" w:cs="Arial" w:eastAsia="Arial" w:hAnsi="Arial"/>
        </w:rPr>
        <w:t xml:space="preserve">Representative weakness: remote-access authentication accepting MFA push approval (CWE-308-type single-channel weakness). AV:N internet-reachable gateway; AC:L no special conditions; AT:N; PR:N attacker starts unauthenticated; UI:A user must actively approve; VC/VI:H full session on gateway; VA:N; SC:H EHR data behind the gateway; SI:L/SA:L limited downstream change/disruption. Applicability: moderate - human factor dominates.</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0.85 x 0.55 x 9.3 x ((0.55 + 0.85) / 2) x 0.85 / 0.40 x 1,000</w:t>
            </w:r>
          </w:p>
        </w:tc>
        <w:tc>
          <w:tcPr>
            <w:tcW w:type="dxa" w:w="1405"/>
            <w:tcMar>
              <w:top w:type="dxa" w:w="50"/>
              <w:left w:type="dxa" w:w="80"/>
              <w:bottom w:type="dxa" w:w="50"/>
              <w:right w:type="dxa" w:w="80"/>
            </w:tcMar>
          </w:tcPr>
          <w:p>
            <w:r>
              <w:rPr>
                <w:rFonts w:ascii="Arial" w:cs="Arial" w:eastAsia="Arial" w:hAnsi="Arial"/>
                <w:sz w:val="15"/>
                <w:szCs w:val="15"/>
              </w:rPr>
              <w:t xml:space="preserve">6,467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0.85 x 0.55 x 9.3 x 0.30 x 0.85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2,772</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6,467 x 0.80 (probability) x 0.75 (impact)</w:t>
            </w:r>
          </w:p>
        </w:tc>
        <w:tc>
          <w:tcPr>
            <w:tcW w:type="dxa" w:w="1405"/>
            <w:tcMar>
              <w:top w:type="dxa" w:w="50"/>
              <w:left w:type="dxa" w:w="80"/>
              <w:bottom w:type="dxa" w:w="50"/>
              <w:right w:type="dxa" w:w="80"/>
            </w:tcMar>
          </w:tcPr>
          <w:p>
            <w:r>
              <w:rPr>
                <w:rFonts w:ascii="Arial" w:cs="Arial" w:eastAsia="Arial" w:hAnsi="Arial"/>
                <w:sz w:val="15"/>
                <w:szCs w:val="15"/>
              </w:rPr>
              <w:t xml:space="preserve">3,880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6,467 - 3,880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2,587</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2,587 / 2,772  (pre-treatment ratio 2.33)</w:t>
            </w:r>
          </w:p>
        </w:tc>
        <w:tc>
          <w:tcPr>
            <w:tcW w:type="dxa" w:w="1405"/>
            <w:tcMar>
              <w:top w:type="dxa" w:w="50"/>
              <w:left w:type="dxa" w:w="80"/>
              <w:bottom w:type="dxa" w:w="50"/>
              <w:right w:type="dxa" w:w="80"/>
            </w:tcMar>
          </w:tcPr>
          <w:p>
            <w:r>
              <w:rPr>
                <w:rFonts w:ascii="Arial" w:cs="Arial" w:eastAsia="Arial" w:hAnsi="Arial"/>
                <w:sz w:val="15"/>
                <w:szCs w:val="15"/>
              </w:rPr>
              <w:t xml:space="preserve">0.93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(6,467 - 2,587) / $223,889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17.33</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Phishing-resistant MFA and conditional access (I01) is the primary lever; PAM (I02) limits blast radius; MDR (I03) shortens dwell time; awareness and reporting (I12).</w:t>
      </w:r>
    </w:p>
    <w:p>
      <w:pPr>
        <w:spacing w:after="120"/>
      </w:pPr>
      <w:r>
        <w:rPr>
          <w:rFonts w:ascii="Arial" w:cs="Arial" w:eastAsia="Arial" w:hAnsi="Arial"/>
        </w:rPr>
        <w:t xml:space="preserve">Initiatives: I01 Phishing-resistant MFA and conditional access; I02 Privileged access and service-account management (PAM); I03 24/7 managed detection and response with centralized logging; I12 Governance, awareness and risk reporting. Allocated Year-1 cost $223,889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(0.93).</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S2 - Ransomware disrupting EHR access and clinic operations across the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ransomware group gains a foothold through a macro-enabled phishing attachment or exposed service, moves laterally across an insufficiently segmented network, exfiltrates health data and encrypts EHR support servers, shared folders and scheduling systems, halting clinical and administrative operations at multiple clinics.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Executive leadership; Board/ownership group; CIO; Cybersecurity lead; Clinical Ops; clinic managers; Privacy/Legal; Communications; EHR vendor; insurer; forensic provider; patients; media.</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Clinics depend heavily on central services in Montreal (E1, E2). The exercise timeline shows the full chain - phishing, PowerShell alert closed as low, backup failures, ransom note (E6). Segmentation and backup isolation are listed as open questions (E2, E7).</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Ransomware-as-a-service affiliate (double extortion).</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Encryption of servers and endpoints with prior data theft and extortion.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Macro execution and weak alert triage (E6)</w:t>
            </w:r>
          </w:p>
          <w:p>
            <w:r>
              <w:rPr>
                <w:rFonts w:ascii="Arial" w:cs="Arial" w:eastAsia="Arial" w:hAnsi="Arial"/>
                <w:sz w:val="16"/>
                <w:szCs w:val="16"/>
              </w:rPr>
              <w:t xml:space="preserve">Segmentation between clinics, servers and backups not evidenced (E2, E7)</w:t>
            </w:r>
          </w:p>
          <w:p>
            <w:r>
              <w:rPr>
                <w:rFonts w:ascii="Arial" w:cs="Arial" w:eastAsia="Arial" w:hAnsi="Arial"/>
                <w:sz w:val="16"/>
                <w:szCs w:val="16"/>
              </w:rPr>
              <w:t xml:space="preserve">Privileged credential hygiene unknown (Evidence gap)</w:t>
            </w:r>
          </w:p>
          <w:p>
            <w:r>
              <w:rPr>
                <w:rFonts w:ascii="Arial" w:cs="Arial" w:eastAsia="Arial" w:hAnsi="Arial"/>
                <w:sz w:val="16"/>
                <w:szCs w:val="16"/>
              </w:rPr>
              <w:t xml:space="preserve">Clinic downtime procedures untested (E7)</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EHR, CJ3 scheduling, CJ4 billing, CJ6 data centre and clinic storage.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Care delivery, appointments, diagnostics, billing, communications.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IDS/IPS, antimalware (E2)</w:t>
            </w:r>
          </w:p>
          <w:p>
            <w:r>
              <w:rPr>
                <w:rFonts w:ascii="Arial" w:cs="Arial" w:eastAsia="Arial" w:hAnsi="Arial"/>
                <w:sz w:val="16"/>
                <w:szCs w:val="16"/>
              </w:rPr>
              <w:t xml:space="preserve">EDR (E6)</w:t>
            </w:r>
          </w:p>
          <w:p>
            <w:r>
              <w:rPr>
                <w:rFonts w:ascii="Arial" w:cs="Arial" w:eastAsia="Arial" w:hAnsi="Arial"/>
                <w:sz w:val="16"/>
                <w:szCs w:val="16"/>
              </w:rPr>
              <w:t xml:space="preserve">On-site and off-site backups (E2 - isolation and testing unknown)</w:t>
            </w:r>
          </w:p>
          <w:p>
            <w:r>
              <w:rPr>
                <w:rFonts w:ascii="Arial" w:cs="Arial" w:eastAsia="Arial" w:hAnsi="Arial"/>
                <w:sz w:val="16"/>
                <w:szCs w:val="16"/>
              </w:rPr>
              <w:t xml:space="preserve">Incident command structure defined (E6 - untested)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Executive leadership (COO) with 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Following initial access (see S1/S6), the actor escalates to domain administrator within days, disables security tooling where possible, deletes or encrypts reachable backups, exfiltrates EHR exports and deploys ransomware at 07:00 on a weekday. Several clinics lose EHR and scheduling; staff revert to paper; imaging and lab results are delayed.</w:t>
      </w:r>
    </w:p>
    <w:p>
      <w:pPr>
        <w:pStyle w:val="ListParagraph"/>
        <w:numPr>
          <w:ilvl w:val="0"/>
          <w:numId w:val="2"/>
        </w:numPr>
        <w:spacing w:after="60"/>
      </w:pPr>
      <w:r>
        <w:rPr>
          <w:rFonts w:ascii="Arial" w:cs="Arial" w:eastAsia="Arial" w:hAnsi="Arial"/>
        </w:rPr>
        <w:t xml:space="preserve">Initial access - phishing macro or exposed service</w:t>
      </w:r>
    </w:p>
    <w:p>
      <w:pPr>
        <w:pStyle w:val="ListParagraph"/>
        <w:numPr>
          <w:ilvl w:val="0"/>
          <w:numId w:val="2"/>
        </w:numPr>
        <w:spacing w:after="60"/>
      </w:pPr>
      <w:r>
        <w:rPr>
          <w:rFonts w:ascii="Arial" w:cs="Arial" w:eastAsia="Arial" w:hAnsi="Arial"/>
        </w:rPr>
        <w:t xml:space="preserve">Exploitation - PowerShell loader</w:t>
      </w:r>
    </w:p>
    <w:p>
      <w:pPr>
        <w:pStyle w:val="ListParagraph"/>
        <w:numPr>
          <w:ilvl w:val="0"/>
          <w:numId w:val="2"/>
        </w:numPr>
        <w:spacing w:after="60"/>
      </w:pPr>
      <w:r>
        <w:rPr>
          <w:rFonts w:ascii="Arial" w:cs="Arial" w:eastAsia="Arial" w:hAnsi="Arial"/>
        </w:rPr>
        <w:t xml:space="preserve">Privilege escalation - credential dumping to domain admin</w:t>
      </w:r>
    </w:p>
    <w:p>
      <w:pPr>
        <w:pStyle w:val="ListParagraph"/>
        <w:numPr>
          <w:ilvl w:val="0"/>
          <w:numId w:val="2"/>
        </w:numPr>
        <w:spacing w:after="60"/>
      </w:pPr>
      <w:r>
        <w:rPr>
          <w:rFonts w:ascii="Arial" w:cs="Arial" w:eastAsia="Arial" w:hAnsi="Arial"/>
        </w:rPr>
        <w:t xml:space="preserve">Persistence - scheduled tasks, remote tools</w:t>
      </w:r>
    </w:p>
    <w:p>
      <w:pPr>
        <w:pStyle w:val="ListParagraph"/>
        <w:numPr>
          <w:ilvl w:val="0"/>
          <w:numId w:val="2"/>
        </w:numPr>
        <w:spacing w:after="60"/>
      </w:pPr>
      <w:r>
        <w:rPr>
          <w:rFonts w:ascii="Arial" w:cs="Arial" w:eastAsia="Arial" w:hAnsi="Arial"/>
        </w:rPr>
        <w:t xml:space="preserve">Discovery - AD, backups, file shares</w:t>
      </w:r>
    </w:p>
    <w:p>
      <w:pPr>
        <w:pStyle w:val="ListParagraph"/>
        <w:numPr>
          <w:ilvl w:val="0"/>
          <w:numId w:val="2"/>
        </w:numPr>
        <w:spacing w:after="60"/>
      </w:pPr>
      <w:r>
        <w:rPr>
          <w:rFonts w:ascii="Arial" w:cs="Arial" w:eastAsia="Arial" w:hAnsi="Arial"/>
        </w:rPr>
        <w:t xml:space="preserve">Lateral movement - flat network to servers and clinics</w:t>
      </w:r>
    </w:p>
    <w:p>
      <w:pPr>
        <w:pStyle w:val="ListParagraph"/>
        <w:numPr>
          <w:ilvl w:val="0"/>
          <w:numId w:val="2"/>
        </w:numPr>
        <w:spacing w:after="60"/>
      </w:pPr>
      <w:r>
        <w:rPr>
          <w:rFonts w:ascii="Arial" w:cs="Arial" w:eastAsia="Arial" w:hAnsi="Arial"/>
        </w:rPr>
        <w:t xml:space="preserve">Collection - EHR and billing exports</w:t>
      </w:r>
    </w:p>
    <w:p>
      <w:pPr>
        <w:pStyle w:val="ListParagraph"/>
        <w:numPr>
          <w:ilvl w:val="0"/>
          <w:numId w:val="2"/>
        </w:numPr>
        <w:spacing w:after="60"/>
      </w:pPr>
      <w:r>
        <w:rPr>
          <w:rFonts w:ascii="Arial" w:cs="Arial" w:eastAsia="Arial" w:hAnsi="Arial"/>
        </w:rPr>
        <w:t xml:space="preserve">Exfiltration then encryption of servers and clinic storage</w:t>
      </w:r>
    </w:p>
    <w:p>
      <w:pPr>
        <w:pStyle w:val="ListParagraph"/>
        <w:numPr>
          <w:ilvl w:val="0"/>
          <w:numId w:val="2"/>
        </w:numPr>
        <w:spacing w:after="60"/>
      </w:pPr>
      <w:r>
        <w:rPr>
          <w:rFonts w:ascii="Arial" w:cs="Arial" w:eastAsia="Arial" w:hAnsi="Arial"/>
        </w:rPr>
        <w:t xml:space="preserve">Detection - ransom note / user reports</w:t>
      </w:r>
    </w:p>
    <w:p>
      <w:pPr>
        <w:pStyle w:val="ListParagraph"/>
        <w:numPr>
          <w:ilvl w:val="0"/>
          <w:numId w:val="2"/>
        </w:numPr>
        <w:spacing w:after="60"/>
      </w:pPr>
      <w:r>
        <w:rPr>
          <w:rFonts w:ascii="Arial" w:cs="Arial" w:eastAsia="Arial" w:hAnsi="Arial"/>
        </w:rPr>
        <w:t xml:space="preserve">Business impact - multi-day multi-clinic disruption</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Probable health-data theft and publication threat.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Encrypted and possibly corrupted data.</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EHR, scheduling and file shares down for days.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Cancelled or delayed appointments at several clinics.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Recovery, forensics, lost revenue, possible extortion demand.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Notification to regulator and patients likely.</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Media attention (E6 inject).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Delayed diagnosis and treatment; medication-history gaps.</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0.75</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Healthcare is a sustained ransomware target; attempts rising.</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Multiple weak links (triage, segmentation, backup isolation) but perimeter controls exist.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 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0.70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Multi-day disruption of several clinics.</w:t>
            </w:r>
          </w:p>
        </w:tc>
        <w:tc>
          <w:tcPr>
            <w:tcW w:type="dxa" w:w="842"/>
            <w:tcMar>
              <w:top w:type="dxa" w:w="50"/>
              <w:left w:type="dxa" w:w="80"/>
              <w:bottom w:type="dxa" w:w="50"/>
              <w:right w:type="dxa" w:w="80"/>
            </w:tcMar>
          </w:tcPr>
          <w:p>
            <w:r>
              <w:rPr>
                <w:rFonts w:ascii="Arial" w:cs="Arial" w:eastAsia="Arial" w:hAnsi="Arial"/>
                <w:sz w:val="15"/>
                <w:szCs w:val="15"/>
              </w:rPr>
              <w:t xml:space="preserve">E1, 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Network-wide outage with data theft and failed recovery.</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Recovery and workarounds untested; small team.</w:t>
            </w:r>
          </w:p>
        </w:tc>
        <w:tc>
          <w:tcPr>
            <w:tcW w:type="dxa" w:w="842"/>
            <w:tcMar>
              <w:top w:type="dxa" w:w="50"/>
              <w:left w:type="dxa" w:w="80"/>
              <w:bottom w:type="dxa" w:w="50"/>
              <w:right w:type="dxa" w:w="80"/>
            </w:tcMar>
          </w:tcPr>
          <w:p>
            <w:r>
              <w:rPr>
                <w:rFonts w:ascii="Arial" w:cs="Arial" w:eastAsia="Arial" w:hAnsi="Arial"/>
                <w:sz w:val="15"/>
                <w:szCs w:val="15"/>
              </w:rPr>
              <w:t xml:space="preserve">E3, E7</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Mission-critical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EHR and scheduling underpin care delivery.</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CVSS:4.0/AV:N/AC:L/AT:N/PR:N/UI:P/VC:H/VI:H/VA:H/SC:H/SI:H/SA:H   </w:t>
      </w:r>
      <w:r>
        <w:rPr>
          <w:rFonts w:ascii="Arial" w:cs="Arial" w:eastAsia="Arial" w:hAnsi="Arial"/>
          <w:b/>
          <w:bCs/>
        </w:rPr>
        <w:t xml:space="preserve">CVSS-B:</w:t>
      </w:r>
      <w:r>
        <w:rPr>
          <w:rFonts w:ascii="Arial" w:cs="Arial" w:eastAsia="Arial" w:hAnsi="Arial"/>
        </w:rPr>
        <w:t xml:space="preserve"> 9.4 (Critical)</w:t>
      </w:r>
    </w:p>
    <w:p>
      <w:pPr>
        <w:spacing w:after="120"/>
      </w:pPr>
      <w:r>
        <w:rPr>
          <w:rFonts w:ascii="Arial" w:cs="Arial" w:eastAsia="Arial" w:hAnsi="Arial"/>
        </w:rPr>
        <w:t xml:space="preserve">Representative weakness: malicious macro document leading to code execution (initial vector in E6). AV:N delivered by e-mail; AC:L; AT:N; PR:N; UI:P user opens the document; VC/VI/VA:H on the workstation; SC/SI/SA:H because EHR and clinic systems are subsequently affected. CVSS describes the entry weakness only, not the enterprise impact.</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0.75 x 0.50 x 9.4 x ((0.70 + 0.95) / 2) x 0.95 / 0.35 x 1,000</w:t>
            </w:r>
          </w:p>
        </w:tc>
        <w:tc>
          <w:tcPr>
            <w:tcW w:type="dxa" w:w="1405"/>
            <w:tcMar>
              <w:top w:type="dxa" w:w="50"/>
              <w:left w:type="dxa" w:w="80"/>
              <w:bottom w:type="dxa" w:w="50"/>
              <w:right w:type="dxa" w:w="80"/>
            </w:tcMar>
          </w:tcPr>
          <w:p>
            <w:r>
              <w:rPr>
                <w:rFonts w:ascii="Arial" w:cs="Arial" w:eastAsia="Arial" w:hAnsi="Arial"/>
                <w:sz w:val="15"/>
                <w:szCs w:val="15"/>
              </w:rPr>
              <w:t xml:space="preserve">7,893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0.75 x 0.50 x 9.4 x 0.30 x 0.95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2,870</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7,893 x 0.75 (probability) x 0.75 (impact)</w:t>
            </w:r>
          </w:p>
        </w:tc>
        <w:tc>
          <w:tcPr>
            <w:tcW w:type="dxa" w:w="1405"/>
            <w:tcMar>
              <w:top w:type="dxa" w:w="50"/>
              <w:left w:type="dxa" w:w="80"/>
              <w:bottom w:type="dxa" w:w="50"/>
              <w:right w:type="dxa" w:w="80"/>
            </w:tcMar>
          </w:tcPr>
          <w:p>
            <w:r>
              <w:rPr>
                <w:rFonts w:ascii="Arial" w:cs="Arial" w:eastAsia="Arial" w:hAnsi="Arial"/>
                <w:sz w:val="15"/>
                <w:szCs w:val="15"/>
              </w:rPr>
              <w:t xml:space="preserve">4,440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7,893 - 4,440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3,453</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3,453 / 2,870  (pre-treatment ratio 2.75)</w:t>
            </w:r>
          </w:p>
        </w:tc>
        <w:tc>
          <w:tcPr>
            <w:tcW w:type="dxa" w:w="1405"/>
            <w:tcMar>
              <w:top w:type="dxa" w:w="50"/>
              <w:left w:type="dxa" w:w="80"/>
              <w:bottom w:type="dxa" w:w="50"/>
              <w:right w:type="dxa" w:w="80"/>
            </w:tcMar>
          </w:tcPr>
          <w:p>
            <w:r>
              <w:rPr>
                <w:rFonts w:ascii="Arial" w:cs="Arial" w:eastAsia="Arial" w:hAnsi="Arial"/>
                <w:sz w:val="15"/>
                <w:szCs w:val="15"/>
              </w:rPr>
              <w:t xml:space="preserve">1.20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(7,893 - 3,453) / $585,889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7.58</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Layered: MDR/EDR (I03), PAM (I02), segmentation (I06), immutable backup (I04), patching (I05), IR and downtime procedures (I11), awareness (I12). Residual remains material - consider cyber-insurance transfer.</w:t>
      </w:r>
    </w:p>
    <w:p>
      <w:pPr>
        <w:spacing w:after="120"/>
      </w:pPr>
      <w:r>
        <w:rPr>
          <w:rFonts w:ascii="Arial" w:cs="Arial" w:eastAsia="Arial" w:hAnsi="Arial"/>
        </w:rPr>
        <w:t xml:space="preserve">Initiatives: I02 Privileged access and service-account management (PAM); I03 24/7 managed detection and response with centralized logging; I04 Immutable and isolated backup with tested recovery; I05 Risk-based vulnerability and patch management; I06 Network segmentation and network access control; I11 Incident response and clinical continuity readiness; I12 Governance, awareness and risk reporting. Allocated Year-1 cost $585,889 (share of shared initiatives). Horizon: 0-24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(1.20).</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S3 - Backup environment compromised, preventing recovery after a destructive attack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holding administrative credentials reaches backup servers that share the production identity domain and network, deletes or encrypts backup sets and clinic storage copies, so that MediBec cannot restore EHR and clinic systems within clinically acceptable time after a destructive event.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MED-CYR-07</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Infrastructure team; Cybersecurity lead; Clinical Ops; clinic managers; off-site backup provider; Executive leadership.</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has on-site and off-site backups (E2) but isolation, immutability and restore testing are not evidenced. Exercise evidence shows unexplained backup failures on several clinic storage units before encryption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Ransomware operator or other attacker with administrative access.</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Deletion/encryption of backups and recovery tooling.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Backup consoles authenticated through production directory (Analyst assumption - validate)</w:t>
            </w:r>
          </w:p>
          <w:p>
            <w:r>
              <w:rPr>
                <w:rFonts w:ascii="Arial" w:cs="Arial" w:eastAsia="Arial" w:hAnsi="Arial"/>
                <w:sz w:val="16"/>
                <w:szCs w:val="16"/>
              </w:rPr>
              <w:t xml:space="preserve">No immutable or offline copy evidenced</w:t>
            </w:r>
          </w:p>
          <w:p>
            <w:r>
              <w:rPr>
                <w:rFonts w:ascii="Arial" w:cs="Arial" w:eastAsia="Arial" w:hAnsi="Arial"/>
                <w:sz w:val="16"/>
                <w:szCs w:val="16"/>
              </w:rPr>
              <w:t xml:space="preserve">Restore testing and RTO/RPO not evidenced (E7)</w:t>
            </w:r>
          </w:p>
          <w:p>
            <w:r>
              <w:rPr>
                <w:rFonts w:ascii="Arial" w:cs="Arial" w:eastAsia="Arial" w:hAnsi="Arial"/>
                <w:sz w:val="16"/>
                <w:szCs w:val="16"/>
              </w:rPr>
              <w:t xml:space="preserve">Backup failure alerts not escalated (E6)</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CJ6 backup servers, off-site copies, local clinic storage.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Disaster recovery for all clinical and administrative services.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On-site and off-site backups (E2)</w:t>
            </w:r>
          </w:p>
          <w:p>
            <w:r>
              <w:rPr>
                <w:rFonts w:ascii="Arial" w:cs="Arial" w:eastAsia="Arial" w:hAnsi="Arial"/>
                <w:sz w:val="16"/>
                <w:szCs w:val="16"/>
              </w:rPr>
              <w:t xml:space="preserve">Encrypted storage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Days before detonation, the attacker logs into the backup console with a domain administrator account, shortens retention, deletes restore points and corrupts clinic storage replicas. Failed backup jobs raise tickets that are treated as capacity issues. After encryption, restoration attempts fail or reach only stale copies.</w:t>
      </w:r>
    </w:p>
    <w:p>
      <w:pPr>
        <w:pStyle w:val="ListParagraph"/>
        <w:numPr>
          <w:ilvl w:val="0"/>
          <w:numId w:val="2"/>
        </w:numPr>
        <w:spacing w:after="60"/>
      </w:pPr>
      <w:r>
        <w:rPr>
          <w:rFonts w:ascii="Arial" w:cs="Arial" w:eastAsia="Arial" w:hAnsi="Arial"/>
        </w:rPr>
        <w:t xml:space="preserve">Initial access - via S1/S2 chain</w:t>
      </w:r>
    </w:p>
    <w:p>
      <w:pPr>
        <w:pStyle w:val="ListParagraph"/>
        <w:numPr>
          <w:ilvl w:val="0"/>
          <w:numId w:val="2"/>
        </w:numPr>
        <w:spacing w:after="60"/>
      </w:pPr>
      <w:r>
        <w:rPr>
          <w:rFonts w:ascii="Arial" w:cs="Arial" w:eastAsia="Arial" w:hAnsi="Arial"/>
        </w:rPr>
        <w:t xml:space="preserve">Privilege escalation - domain admin</w:t>
      </w:r>
    </w:p>
    <w:p>
      <w:pPr>
        <w:pStyle w:val="ListParagraph"/>
        <w:numPr>
          <w:ilvl w:val="0"/>
          <w:numId w:val="2"/>
        </w:numPr>
        <w:spacing w:after="60"/>
      </w:pPr>
      <w:r>
        <w:rPr>
          <w:rFonts w:ascii="Arial" w:cs="Arial" w:eastAsia="Arial" w:hAnsi="Arial"/>
        </w:rPr>
        <w:t xml:space="preserve">Discovery - locate backup servers and schedules</w:t>
      </w:r>
    </w:p>
    <w:p>
      <w:pPr>
        <w:pStyle w:val="ListParagraph"/>
        <w:numPr>
          <w:ilvl w:val="0"/>
          <w:numId w:val="2"/>
        </w:numPr>
        <w:spacing w:after="60"/>
      </w:pPr>
      <w:r>
        <w:rPr>
          <w:rFonts w:ascii="Arial" w:cs="Arial" w:eastAsia="Arial" w:hAnsi="Arial"/>
        </w:rPr>
        <w:t xml:space="preserve">Lateral movement - to backup network</w:t>
      </w:r>
    </w:p>
    <w:p>
      <w:pPr>
        <w:pStyle w:val="ListParagraph"/>
        <w:numPr>
          <w:ilvl w:val="0"/>
          <w:numId w:val="2"/>
        </w:numPr>
        <w:spacing w:after="60"/>
      </w:pPr>
      <w:r>
        <w:rPr>
          <w:rFonts w:ascii="Arial" w:cs="Arial" w:eastAsia="Arial" w:hAnsi="Arial"/>
        </w:rPr>
        <w:t xml:space="preserve">Manipulation - retention changes, deletion of restore points</w:t>
      </w:r>
    </w:p>
    <w:p>
      <w:pPr>
        <w:pStyle w:val="ListParagraph"/>
        <w:numPr>
          <w:ilvl w:val="0"/>
          <w:numId w:val="2"/>
        </w:numPr>
        <w:spacing w:after="60"/>
      </w:pPr>
      <w:r>
        <w:rPr>
          <w:rFonts w:ascii="Arial" w:cs="Arial" w:eastAsia="Arial" w:hAnsi="Arial"/>
        </w:rPr>
        <w:t xml:space="preserve">Disruption - encryption of backup repositories</w:t>
      </w:r>
    </w:p>
    <w:p>
      <w:pPr>
        <w:pStyle w:val="ListParagraph"/>
        <w:numPr>
          <w:ilvl w:val="0"/>
          <w:numId w:val="2"/>
        </w:numPr>
        <w:spacing w:after="60"/>
      </w:pPr>
      <w:r>
        <w:rPr>
          <w:rFonts w:ascii="Arial" w:cs="Arial" w:eastAsia="Arial" w:hAnsi="Arial"/>
        </w:rPr>
        <w:t xml:space="preserve">Detection - failed restore during incident</w:t>
      </w:r>
    </w:p>
    <w:p>
      <w:pPr>
        <w:pStyle w:val="ListParagraph"/>
        <w:numPr>
          <w:ilvl w:val="0"/>
          <w:numId w:val="2"/>
        </w:numPr>
        <w:spacing w:after="60"/>
      </w:pPr>
      <w:r>
        <w:rPr>
          <w:rFonts w:ascii="Arial" w:cs="Arial" w:eastAsia="Arial" w:hAnsi="Arial"/>
        </w:rPr>
        <w:t xml:space="preserve">Business impact - prolonged outage and potential permanent data loss</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Backup data sets also exfiltrated.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Loss of historical clinical data.</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Recovery time extends from days to weeks.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Prolonged paper-based operation.</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Pressure to pay ransom; rebuild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Record-keeping and continuity obligations at risk.</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Severe.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Missing history for ongoing treatment.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Conditional on an intrusion reaching administrative level (S1/S2).</w:t>
            </w:r>
          </w:p>
        </w:tc>
        <w:tc>
          <w:tcPr>
            <w:tcW w:type="dxa" w:w="842"/>
            <w:tcMar>
              <w:top w:type="dxa" w:w="50"/>
              <w:left w:type="dxa" w:w="80"/>
              <w:bottom w:type="dxa" w:w="50"/>
              <w:right w:type="dxa" w:w="80"/>
            </w:tcMar>
          </w:tcPr>
          <w:p>
            <w:r>
              <w:rPr>
                <w:rFonts w:ascii="Arial" w:cs="Arial" w:eastAsia="Arial" w:hAnsi="Arial"/>
                <w:sz w:val="15"/>
                <w:szCs w:val="15"/>
              </w:rPr>
              <w:t xml:space="preserve">E4, 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Isolation unknown; failures in E6 suggest exposure.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 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Partial loss of recent restore points.</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No usable backup for EHR.</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No restore testing evidence.</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Recoverability of every crown jewel depends on it.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CVSS:4.0/AV:N/AC:L/AT:N/PR:H/UI:N/VC:H/VI:H/VA:H/SC:N/SI:N/SA:H   </w:t>
      </w:r>
      <w:r>
        <w:rPr>
          <w:rFonts w:ascii="Arial" w:cs="Arial" w:eastAsia="Arial" w:hAnsi="Arial"/>
          <w:b/>
          <w:bCs/>
        </w:rPr>
        <w:t xml:space="preserve">CVSS-B:</w:t>
      </w:r>
      <w:r>
        <w:rPr>
          <w:rFonts w:ascii="Arial" w:cs="Arial" w:eastAsia="Arial" w:hAnsi="Arial"/>
        </w:rPr>
        <w:t xml:space="preserve"> 9.2 (Critical)</w:t>
      </w:r>
    </w:p>
    <w:p>
      <w:pPr>
        <w:spacing w:after="120"/>
      </w:pPr>
      <w:r>
        <w:rPr>
          <w:rFonts w:ascii="Arial" w:cs="Arial" w:eastAsia="Arial" w:hAnsi="Arial"/>
        </w:rPr>
        <w:t xml:space="preserve">Representative weakness: backup management console reachable from production network and trusting production administrator accounts. PR:H attacker already holds admin credentials; VC/VI/VA:H on the backup system; SA:H because recovery of all subsequent systems is lost.</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0.55 x 0.50 x 9.2 x ((0.60 + 0.90) / 2) x 0.90 / 0.35 x 1,000</w:t>
            </w:r>
          </w:p>
        </w:tc>
        <w:tc>
          <w:tcPr>
            <w:tcW w:type="dxa" w:w="1405"/>
            <w:tcMar>
              <w:top w:type="dxa" w:w="50"/>
              <w:left w:type="dxa" w:w="80"/>
              <w:bottom w:type="dxa" w:w="50"/>
              <w:right w:type="dxa" w:w="80"/>
            </w:tcMar>
          </w:tcPr>
          <w:p>
            <w:r>
              <w:rPr>
                <w:rFonts w:ascii="Arial" w:cs="Arial" w:eastAsia="Arial" w:hAnsi="Arial"/>
                <w:sz w:val="15"/>
                <w:szCs w:val="15"/>
              </w:rPr>
              <w:t xml:space="preserve">4,879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0.55 x 0.50 x 9.2 x 0.30 x 0.90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1,952</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4,879 x 0.80 (probability) x 0.85 (impact)</w:t>
            </w:r>
          </w:p>
        </w:tc>
        <w:tc>
          <w:tcPr>
            <w:tcW w:type="dxa" w:w="1405"/>
            <w:tcMar>
              <w:top w:type="dxa" w:w="50"/>
              <w:left w:type="dxa" w:w="80"/>
              <w:bottom w:type="dxa" w:w="50"/>
              <w:right w:type="dxa" w:w="80"/>
            </w:tcMar>
          </w:tcPr>
          <w:p>
            <w:r>
              <w:rPr>
                <w:rFonts w:ascii="Arial" w:cs="Arial" w:eastAsia="Arial" w:hAnsi="Arial"/>
                <w:sz w:val="15"/>
                <w:szCs w:val="15"/>
              </w:rPr>
              <w:t xml:space="preserve">3,318</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4,879 - 3,318</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1,561</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1,561 / 1,952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0.80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(4,879 - 1,561) / $423,889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7.83</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Immutable/offline copies with separate backup identity (I04), segmentation (I06), PAM (I02), backup-alert monitoring (I03), quarterly restore tests and IR integration (I11).</w:t>
      </w:r>
    </w:p>
    <w:p>
      <w:pPr>
        <w:spacing w:after="120"/>
      </w:pPr>
      <w:r>
        <w:rPr>
          <w:rFonts w:ascii="Arial" w:cs="Arial" w:eastAsia="Arial" w:hAnsi="Arial"/>
        </w:rPr>
        <w:t xml:space="preserve">Initiatives: I02 Privileged access and service-account management (PAM); I03 24/7 managed detection and response with centralized logging; I04 Immutable and isolated backup with tested recovery; I06 Network segmentation and network access control; I11 Incident response and clinical continuity readiness. Allocated Year-1 cost $423,889 (share of shared initiatives). Horizon: 0-9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9EAD3" w:color="auto" w:val="clear"/>
            <w:tcMar>
              <w:top w:type="dxa" w:w="100"/>
              <w:left w:type="dxa" w:w="140"/>
              <w:bottom w:type="dxa" w:w="100"/>
              <w:right w:type="dxa" w:w="140"/>
            </w:tcMar>
          </w:tcPr>
          <w:p>
            <w:r>
              <w:rPr>
                <w:rFonts w:ascii="Arial" w:cs="Arial" w:eastAsia="Arial" w:hAnsi="Arial"/>
                <w:b/>
                <w:bCs/>
                <w:sz w:val="19"/>
                <w:szCs w:val="19"/>
              </w:rPr>
              <w:t xml:space="preserve">Result: Below tolerance (0.80).</w:t>
            </w:r>
            <w:r>
              <w:rPr>
                <w:rFonts w:ascii="Arial" w:cs="Arial" w:eastAsia="Arial" w:hAnsi="Arial"/>
                <w:sz w:val="19"/>
                <w:szCs w:val="19"/>
              </w:rPr>
              <w:t xml:space="preserve"> Residual risk falls below tolerance if the package is delivered as designed; the CIO can accept it within normal governance, subject to KRI monitoring.</w:t>
            </w:r>
          </w:p>
        </w:tc>
      </w:tr>
    </w:tbl>
    <w:p>
      <w:pPr>
        <w:pStyle w:val="Heading2"/>
        <w:pageBreakBefore/>
      </w:pPr>
      <w:r>
        <w:rPr>
          <w:rFonts w:ascii="Arial" w:cs="Arial" w:eastAsia="Arial" w:hAnsi="Arial"/>
        </w:rPr>
        <w:t xml:space="preserve">S4 - Cloud medical-image transfer storage exposed, enabling bulk health-data exfiltration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opportunistic or targeted actor discovers a cloud storage location used for medical-image transfer and exports that is shared through long-lived public or weakly authenticated links, downloads large volumes of images and associated patient identifiers, and causes a large-scale health-data breach.</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MED-CYR-03</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Radiology lead; CIO; Cybersecurity lead; Privacy officer; Legal; cloud provider; referring clinicians; patients.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uses cloud integration for remote data access (E2). Exercise evidence shows medical</w:t>
            </w:r>
            <w:r>
              <w:rPr>
                <w:rFonts w:ascii="Arial" w:cs="Arial" w:eastAsia="Arial" w:hAnsi="Arial"/>
                <w:i/>
                <w:iCs/>
                <w:sz w:val="16"/>
                <w:szCs w:val="16"/>
              </w:rPr>
              <w:t xml:space="preserve">image</w:t>
            </w:r>
            <w:r>
              <w:rPr>
                <w:rFonts w:ascii="Arial" w:cs="Arial" w:eastAsia="Arial" w:hAnsi="Arial"/>
                <w:sz w:val="16"/>
                <w:szCs w:val="16"/>
              </w:rPr>
              <w:t xml:space="preserve">export.zip downloaded from an unrecognized IP (E6). Cloud configuration, logging and shared-responsibility understanding are open questions (E4).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Opportunistic scanner or cybercriminal data broker.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Unauthorized bulk download from cloud storage.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Permissive or long-lived sharing links (Analyst assumption)</w:t>
            </w:r>
          </w:p>
          <w:p>
            <w:r>
              <w:rPr>
                <w:rFonts w:ascii="Arial" w:cs="Arial" w:eastAsia="Arial" w:hAnsi="Arial"/>
                <w:sz w:val="16"/>
                <w:szCs w:val="16"/>
              </w:rPr>
              <w:t xml:space="preserve">No cloud posture management evidenced</w:t>
            </w:r>
          </w:p>
          <w:p>
            <w:r>
              <w:rPr>
                <w:rFonts w:ascii="Arial" w:cs="Arial" w:eastAsia="Arial" w:hAnsi="Arial"/>
                <w:sz w:val="16"/>
                <w:szCs w:val="16"/>
              </w:rPr>
              <w:t xml:space="preserve">Object-level access logging unknown (E4)</w:t>
            </w:r>
          </w:p>
          <w:p>
            <w:r>
              <w:rPr>
                <w:rFonts w:ascii="Arial" w:cs="Arial" w:eastAsia="Arial" w:hAnsi="Arial"/>
                <w:sz w:val="16"/>
                <w:szCs w:val="16"/>
              </w:rPr>
              <w:t xml:space="preserve">Exports contain identifiers alongside images</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CJ7 cloud image storage; CJ2 radiology.</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Image sharing with clinicians and partners, referrals.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Encrypted storage (E2 - at-rest only, not access control)</w:t>
            </w:r>
          </w:p>
          <w:p>
            <w:r>
              <w:rPr>
                <w:rFonts w:ascii="Arial" w:cs="Arial" w:eastAsia="Arial" w:hAnsi="Arial"/>
                <w:sz w:val="16"/>
                <w:szCs w:val="16"/>
              </w:rPr>
              <w:t xml:space="preserve">Cloud access via identity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with Privacy officer</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An export bucket created for a referral workflow keeps an anonymous access link. Automated scanners find it; an actor downloads several thousand studies with DICOM headers containing patient identifiers. MediBec learns of it from anomalous egress or from a third party.</w:t>
      </w:r>
    </w:p>
    <w:p>
      <w:pPr>
        <w:pStyle w:val="ListParagraph"/>
        <w:numPr>
          <w:ilvl w:val="0"/>
          <w:numId w:val="2"/>
        </w:numPr>
        <w:spacing w:after="60"/>
      </w:pPr>
      <w:r>
        <w:rPr>
          <w:rFonts w:ascii="Arial" w:cs="Arial" w:eastAsia="Arial" w:hAnsi="Arial"/>
        </w:rPr>
        <w:t xml:space="preserve">Discovery - scanning for open storage</w:t>
      </w:r>
    </w:p>
    <w:p>
      <w:pPr>
        <w:pStyle w:val="ListParagraph"/>
        <w:numPr>
          <w:ilvl w:val="0"/>
          <w:numId w:val="2"/>
        </w:numPr>
        <w:spacing w:after="60"/>
      </w:pPr>
      <w:r>
        <w:rPr>
          <w:rFonts w:ascii="Arial" w:cs="Arial" w:eastAsia="Arial" w:hAnsi="Arial"/>
        </w:rPr>
        <w:t xml:space="preserve">Initial access - anonymous or leaked link</w:t>
      </w:r>
    </w:p>
    <w:p>
      <w:pPr>
        <w:pStyle w:val="ListParagraph"/>
        <w:numPr>
          <w:ilvl w:val="0"/>
          <w:numId w:val="2"/>
        </w:numPr>
        <w:spacing w:after="60"/>
      </w:pPr>
      <w:r>
        <w:rPr>
          <w:rFonts w:ascii="Arial" w:cs="Arial" w:eastAsia="Arial" w:hAnsi="Arial"/>
        </w:rPr>
        <w:t xml:space="preserve">Collection - enumeration of objects</w:t>
      </w:r>
    </w:p>
    <w:p>
      <w:pPr>
        <w:pStyle w:val="ListParagraph"/>
        <w:numPr>
          <w:ilvl w:val="0"/>
          <w:numId w:val="2"/>
        </w:numPr>
        <w:spacing w:after="60"/>
      </w:pPr>
      <w:r>
        <w:rPr>
          <w:rFonts w:ascii="Arial" w:cs="Arial" w:eastAsia="Arial" w:hAnsi="Arial"/>
        </w:rPr>
        <w:t xml:space="preserve">Exfiltration - bulk download</w:t>
      </w:r>
    </w:p>
    <w:p>
      <w:pPr>
        <w:pStyle w:val="ListParagraph"/>
        <w:numPr>
          <w:ilvl w:val="0"/>
          <w:numId w:val="2"/>
        </w:numPr>
        <w:spacing w:after="60"/>
      </w:pPr>
      <w:r>
        <w:rPr>
          <w:rFonts w:ascii="Arial" w:cs="Arial" w:eastAsia="Arial" w:hAnsi="Arial"/>
        </w:rPr>
        <w:t xml:space="preserve">Detection - late, via egress anomaly or external notice</w:t>
      </w:r>
    </w:p>
    <w:p>
      <w:pPr>
        <w:pStyle w:val="ListParagraph"/>
        <w:numPr>
          <w:ilvl w:val="0"/>
          <w:numId w:val="2"/>
        </w:numPr>
        <w:spacing w:after="60"/>
      </w:pPr>
      <w:r>
        <w:rPr>
          <w:rFonts w:ascii="Arial" w:cs="Arial" w:eastAsia="Arial" w:hAnsi="Arial"/>
        </w:rPr>
        <w:t xml:space="preserve">Business impact - large privacy breach</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Bulk exposure of images and identifiers.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Sharing workflow suspended.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Referral delays.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Notification, legal and forensic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High - large number of affected individuals.</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Cloud storage is continuously scanned.</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Depends on sharing configuration - unknown; E6 suggests weakness.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Partial data set exposed.</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Entire export history exposed.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Logging and detection uncertain.</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Important but not essential to same-day care.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CVSS:4.0/AV:N/AC:L/AT:N/PR:N/UI:N/VC:H/VI:N/VA:N/SC:N/SI:N/SA:N   </w:t>
      </w:r>
      <w:r>
        <w:rPr>
          <w:rFonts w:ascii="Arial" w:cs="Arial" w:eastAsia="Arial" w:hAnsi="Arial"/>
          <w:b/>
          <w:bCs/>
        </w:rPr>
        <w:t xml:space="preserve">CVSS-B:</w:t>
      </w:r>
      <w:r>
        <w:rPr>
          <w:rFonts w:ascii="Arial" w:cs="Arial" w:eastAsia="Arial" w:hAnsi="Arial"/>
        </w:rPr>
        <w:t xml:space="preserve"> 8.7 (High)</w:t>
      </w:r>
    </w:p>
    <w:p>
      <w:pPr>
        <w:spacing w:after="120"/>
      </w:pPr>
      <w:r>
        <w:rPr>
          <w:rFonts w:ascii="Arial" w:cs="Arial" w:eastAsia="Arial" w:hAnsi="Arial"/>
        </w:rPr>
        <w:t xml:space="preserve">Representative weakness: storage object accessible without authentication (CWE-284 misconfiguration). AV:N, AC:L, AT:N, PR:N, UI:N; confidentiality only (VC:H).</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0.60 x 0.45 x 8.7 x ((0.55 + 0.80) / 2) x 0.75 / 0.40 x 1,000</w:t>
            </w:r>
          </w:p>
        </w:tc>
        <w:tc>
          <w:tcPr>
            <w:tcW w:type="dxa" w:w="1405"/>
            <w:tcMar>
              <w:top w:type="dxa" w:w="50"/>
              <w:left w:type="dxa" w:w="80"/>
              <w:bottom w:type="dxa" w:w="50"/>
              <w:right w:type="dxa" w:w="80"/>
            </w:tcMar>
          </w:tcPr>
          <w:p>
            <w:r>
              <w:rPr>
                <w:rFonts w:ascii="Arial" w:cs="Arial" w:eastAsia="Arial" w:hAnsi="Arial"/>
                <w:sz w:val="15"/>
                <w:szCs w:val="15"/>
              </w:rPr>
              <w:t xml:space="preserve">2,973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0.60 x 0.45 x 8.7 x 0.30 x 0.75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1,321</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2,973 x 0.85 (probability) x 0.70 (impact)</w:t>
            </w:r>
          </w:p>
        </w:tc>
        <w:tc>
          <w:tcPr>
            <w:tcW w:type="dxa" w:w="1405"/>
            <w:tcMar>
              <w:top w:type="dxa" w:w="50"/>
              <w:left w:type="dxa" w:w="80"/>
              <w:bottom w:type="dxa" w:w="50"/>
              <w:right w:type="dxa" w:w="80"/>
            </w:tcMar>
          </w:tcPr>
          <w:p>
            <w:r>
              <w:rPr>
                <w:rFonts w:ascii="Arial" w:cs="Arial" w:eastAsia="Arial" w:hAnsi="Arial"/>
                <w:sz w:val="15"/>
                <w:szCs w:val="15"/>
              </w:rPr>
              <w:t xml:space="preserve">1,769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2,973 - 1,769</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1,204</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1,204 / 1,321  (pre-treatment ratio 2.25)</w:t>
            </w:r>
          </w:p>
        </w:tc>
        <w:tc>
          <w:tcPr>
            <w:tcW w:type="dxa" w:w="1405"/>
            <w:tcMar>
              <w:top w:type="dxa" w:w="50"/>
              <w:left w:type="dxa" w:w="80"/>
              <w:bottom w:type="dxa" w:w="50"/>
              <w:right w:type="dxa" w:w="80"/>
            </w:tcMar>
          </w:tcPr>
          <w:p>
            <w:r>
              <w:rPr>
                <w:rFonts w:ascii="Arial" w:cs="Arial" w:eastAsia="Arial" w:hAnsi="Arial"/>
                <w:sz w:val="15"/>
                <w:szCs w:val="15"/>
              </w:rPr>
              <w:t xml:space="preserve">0.91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(2,973 - 1,204) / $345,556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5.12</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Block public access and enforce expiring authenticated links (I08); DLP and data minimization in exports (I09); object-access logging to MDR (I03).</w:t>
      </w:r>
    </w:p>
    <w:p>
      <w:pPr>
        <w:spacing w:after="120"/>
      </w:pPr>
      <w:r>
        <w:rPr>
          <w:rFonts w:ascii="Arial" w:cs="Arial" w:eastAsia="Arial" w:hAnsi="Arial"/>
        </w:rPr>
        <w:t xml:space="preserve">Initiatives: I03 24/7 managed detection and response with centralized logging; I08 Cloud security posture and secure image transfer; I09 Data access governance and EHR privacy monitoring. Allocated Year-1 cost $345,556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(0.91).</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S5 - Misuse of legitimate clinical, privileged or service-account access to extract patient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malicious or curious insider, or an attacker who has taken over the over-privileged ehr-sync-svc service account, uses legitimate but excessive EHR access to query and export large volumes of patient or billing records without triggering review, resulting in a privacy breach and loss of trust.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MED-CYR-11 (+ service-account evidence)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Privacy officer; HR; Clinical Ops; CIO; Cybersecurity lead; Legal; patients; professional orders.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EHR access is central to care (E7). Exercise evidence shows unusual query volume from ehr-sync-svc (E6). The appetite statement requires least privilege and logging for high-risk data stores (E5).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Malicious or negligent insider; external actor using a service account.</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Unauthorized query and export of health records.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Broad role-based access in EHR (Analyst assumption)</w:t>
            </w:r>
          </w:p>
          <w:p>
            <w:r>
              <w:rPr>
                <w:rFonts w:ascii="Arial" w:cs="Arial" w:eastAsia="Arial" w:hAnsi="Arial"/>
                <w:sz w:val="16"/>
                <w:szCs w:val="16"/>
              </w:rPr>
              <w:t xml:space="preserve">Over-privileged service account without vaulting (E6)</w:t>
            </w:r>
          </w:p>
          <w:p>
            <w:r>
              <w:rPr>
                <w:rFonts w:ascii="Arial" w:cs="Arial" w:eastAsia="Arial" w:hAnsi="Arial"/>
                <w:sz w:val="16"/>
                <w:szCs w:val="16"/>
              </w:rPr>
              <w:t xml:space="preserve">No EHR access analytics or periodic recertification evidenced (E7)</w:t>
            </w:r>
          </w:p>
          <w:p>
            <w:r>
              <w:rPr>
                <w:rFonts w:ascii="Arial" w:cs="Arial" w:eastAsia="Arial" w:hAnsi="Arial"/>
                <w:sz w:val="16"/>
                <w:szCs w:val="16"/>
              </w:rPr>
              <w:t xml:space="preserve">No DLP evidenced</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EHR data; CJ4 billing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Clinical documentation, billing, EHR integration.</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EHR audit log exists (E6)</w:t>
            </w:r>
          </w:p>
          <w:p>
            <w:r>
              <w:rPr>
                <w:rFonts w:ascii="Arial" w:cs="Arial" w:eastAsia="Arial" w:hAnsi="Arial"/>
                <w:sz w:val="16"/>
                <w:szCs w:val="16"/>
              </w:rPr>
              <w:t xml:space="preserve">Encrypted storage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Privacy officer</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An employee leaving for a competitor exports patient contact and billing lists; separately, ehr-sync-svc credentials stored in a script are reused to pull records at night. Audit logs capture the activity but nobody reviews them until a patient complaint.</w:t>
      </w:r>
    </w:p>
    <w:p>
      <w:pPr>
        <w:pStyle w:val="ListParagraph"/>
        <w:numPr>
          <w:ilvl w:val="0"/>
          <w:numId w:val="2"/>
        </w:numPr>
        <w:spacing w:after="60"/>
      </w:pPr>
      <w:r>
        <w:rPr>
          <w:rFonts w:ascii="Arial" w:cs="Arial" w:eastAsia="Arial" w:hAnsi="Arial"/>
        </w:rPr>
        <w:t xml:space="preserve">Initial access - legitimate account or reused service credential</w:t>
      </w:r>
    </w:p>
    <w:p>
      <w:pPr>
        <w:pStyle w:val="ListParagraph"/>
        <w:numPr>
          <w:ilvl w:val="0"/>
          <w:numId w:val="2"/>
        </w:numPr>
        <w:spacing w:after="60"/>
      </w:pPr>
      <w:r>
        <w:rPr>
          <w:rFonts w:ascii="Arial" w:cs="Arial" w:eastAsia="Arial" w:hAnsi="Arial"/>
        </w:rPr>
        <w:t xml:space="preserve">Collection - bulk queries and exports</w:t>
      </w:r>
    </w:p>
    <w:p>
      <w:pPr>
        <w:pStyle w:val="ListParagraph"/>
        <w:numPr>
          <w:ilvl w:val="0"/>
          <w:numId w:val="2"/>
        </w:numPr>
        <w:spacing w:after="60"/>
      </w:pPr>
      <w:r>
        <w:rPr>
          <w:rFonts w:ascii="Arial" w:cs="Arial" w:eastAsia="Arial" w:hAnsi="Arial"/>
        </w:rPr>
        <w:t xml:space="preserve">Exfiltration - USB, e-mail, personal cloud</w:t>
      </w:r>
    </w:p>
    <w:p>
      <w:pPr>
        <w:pStyle w:val="ListParagraph"/>
        <w:numPr>
          <w:ilvl w:val="0"/>
          <w:numId w:val="2"/>
        </w:numPr>
        <w:spacing w:after="60"/>
      </w:pPr>
      <w:r>
        <w:rPr>
          <w:rFonts w:ascii="Arial" w:cs="Arial" w:eastAsia="Arial" w:hAnsi="Arial"/>
        </w:rPr>
        <w:t xml:space="preserve">Detection - patient complaint or after-the-fact log review</w:t>
      </w:r>
    </w:p>
    <w:p>
      <w:pPr>
        <w:pStyle w:val="ListParagraph"/>
        <w:numPr>
          <w:ilvl w:val="0"/>
          <w:numId w:val="2"/>
        </w:numPr>
        <w:spacing w:after="60"/>
      </w:pPr>
      <w:r>
        <w:rPr>
          <w:rFonts w:ascii="Arial" w:cs="Arial" w:eastAsia="Arial" w:hAnsi="Arial"/>
        </w:rPr>
        <w:t xml:space="preserve">Business impact - privacy breach, disciplinary and legal action</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Targeted or bulk disclosure of health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None.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Investigations, HR processes.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Legal and notification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High.</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 especially for sensitive patients.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Low.</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Likely</w:t>
            </w:r>
          </w:p>
        </w:tc>
        <w:tc>
          <w:tcPr>
            <w:tcW w:type="dxa" w:w="4024"/>
            <w:tcMar>
              <w:top w:type="dxa" w:w="50"/>
              <w:left w:type="dxa" w:w="80"/>
              <w:bottom w:type="dxa" w:w="50"/>
              <w:right w:type="dxa" w:w="80"/>
            </w:tcMar>
          </w:tcPr>
          <w:p>
            <w:r>
              <w:rPr>
                <w:rFonts w:ascii="Arial" w:cs="Arial" w:eastAsia="Arial" w:hAnsi="Arial"/>
                <w:sz w:val="15"/>
                <w:szCs w:val="15"/>
              </w:rPr>
              <w:t xml:space="preserve">Insider snooping is recurrent in healthcare; service-account anomaly observed.</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Legitimate access bypasses perimeter controls; no analytics.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 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Moderate</w:t>
            </w:r>
          </w:p>
        </w:tc>
        <w:tc>
          <w:tcPr>
            <w:tcW w:type="dxa" w:w="4024"/>
            <w:tcMar>
              <w:top w:type="dxa" w:w="50"/>
              <w:left w:type="dxa" w:w="80"/>
              <w:bottom w:type="dxa" w:w="50"/>
              <w:right w:type="dxa" w:w="80"/>
            </w:tcMar>
          </w:tcPr>
          <w:p>
            <w:r>
              <w:rPr>
                <w:rFonts w:ascii="Arial" w:cs="Arial" w:eastAsia="Arial" w:hAnsi="Arial"/>
                <w:sz w:val="15"/>
                <w:szCs w:val="15"/>
              </w:rPr>
              <w:t xml:space="preserve">Limited set of records.</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0.75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Severe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Bulk extraction through the service account.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Logs exist but not monitored.</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EHR confidentiality is core to trust.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CVSS:4.0/AV:N/AC:L/AT:N/PR:L/UI:N/VC:H/VI:L/VA:N/SC:N/SI:N/SA:N   </w:t>
      </w:r>
      <w:r>
        <w:rPr>
          <w:rFonts w:ascii="Arial" w:cs="Arial" w:eastAsia="Arial" w:hAnsi="Arial"/>
          <w:b/>
          <w:bCs/>
        </w:rPr>
        <w:t xml:space="preserve">CVSS-B:</w:t>
      </w:r>
      <w:r>
        <w:rPr>
          <w:rFonts w:ascii="Arial" w:cs="Arial" w:eastAsia="Arial" w:hAnsi="Arial"/>
        </w:rPr>
        <w:t xml:space="preserve"> 7.1 (High)</w:t>
      </w:r>
    </w:p>
    <w:p>
      <w:pPr>
        <w:spacing w:after="120"/>
      </w:pPr>
      <w:r>
        <w:rPr>
          <w:rFonts w:ascii="Arial" w:cs="Arial" w:eastAsia="Arial" w:hAnsi="Arial"/>
        </w:rPr>
        <w:t xml:space="preserve">Limited applicability: insider misuse is not a software vulnerability. Representative weakness used for the workbook: excessive privileges on an authenticated account (CWE-269). PR:L legitimate low-privilege access; VC:H bulk read; VI:L. Interpret with caution.</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0.60 x 0.55 x 7.1 x ((0.45 + 0.75) / 2) x 0.80 / 0.40 x 1,000</w:t>
            </w:r>
          </w:p>
        </w:tc>
        <w:tc>
          <w:tcPr>
            <w:tcW w:type="dxa" w:w="1405"/>
            <w:tcMar>
              <w:top w:type="dxa" w:w="50"/>
              <w:left w:type="dxa" w:w="80"/>
              <w:bottom w:type="dxa" w:w="50"/>
              <w:right w:type="dxa" w:w="80"/>
            </w:tcMar>
          </w:tcPr>
          <w:p>
            <w:r>
              <w:rPr>
                <w:rFonts w:ascii="Arial" w:cs="Arial" w:eastAsia="Arial" w:hAnsi="Arial"/>
                <w:sz w:val="15"/>
                <w:szCs w:val="15"/>
              </w:rPr>
              <w:t xml:space="preserve">2,812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0.60 x 0.55 x 7.1 x 0.30 x 0.80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1,406</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2,812 x 0.60 (probability) x 0.65 (impact)</w:t>
            </w:r>
          </w:p>
        </w:tc>
        <w:tc>
          <w:tcPr>
            <w:tcW w:type="dxa" w:w="1405"/>
            <w:tcMar>
              <w:top w:type="dxa" w:w="50"/>
              <w:left w:type="dxa" w:w="80"/>
              <w:bottom w:type="dxa" w:w="50"/>
              <w:right w:type="dxa" w:w="80"/>
            </w:tcMar>
          </w:tcPr>
          <w:p>
            <w:r>
              <w:rPr>
                <w:rFonts w:ascii="Arial" w:cs="Arial" w:eastAsia="Arial" w:hAnsi="Arial"/>
                <w:sz w:val="15"/>
                <w:szCs w:val="15"/>
              </w:rPr>
              <w:t xml:space="preserve">1,097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2,812 - 1,097</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1,715</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1,715 / 1,406  (pre-treatment ratio 2.00)</w:t>
            </w:r>
          </w:p>
        </w:tc>
        <w:tc>
          <w:tcPr>
            <w:tcW w:type="dxa" w:w="1405"/>
            <w:tcMar>
              <w:top w:type="dxa" w:w="50"/>
              <w:left w:type="dxa" w:w="80"/>
              <w:bottom w:type="dxa" w:w="50"/>
              <w:right w:type="dxa" w:w="80"/>
            </w:tcMar>
          </w:tcPr>
          <w:p>
            <w:r>
              <w:rPr>
                <w:rFonts w:ascii="Arial" w:cs="Arial" w:eastAsia="Arial" w:hAnsi="Arial"/>
                <w:sz w:val="15"/>
                <w:szCs w:val="15"/>
              </w:rPr>
              <w:t xml:space="preserve">1.22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(2,812 - 1,715) / $260,556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4.21</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Least-privilege redesign and access recertification plus EHR access analytics and DLP (I09); vault and restrict service accounts (I02); MDR use-cases (I03); HR/awareness (I12).</w:t>
      </w:r>
    </w:p>
    <w:p>
      <w:pPr>
        <w:spacing w:after="120"/>
      </w:pPr>
      <w:r>
        <w:rPr>
          <w:rFonts w:ascii="Arial" w:cs="Arial" w:eastAsia="Arial" w:hAnsi="Arial"/>
        </w:rPr>
        <w:t xml:space="preserve">Initiatives: I02 Privileged access and service-account management (PAM); I03 24/7 managed detection and response with centralized logging; I09 Data access governance and EHR privacy monitoring; I12 Governance, awareness and risk reporting. Allocated Year-1 cost $260,556 (share of shared initiatives). Horizon: 3-12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(1.22).</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S6 - Exploitation of unpatched internet-facing or end-of-life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cybercriminal or state-linked actor mass-exploits a known vulnerability in an internet-facing remote access gateway, firewall or web application that MediBec has not patched because of uptime concerns, vendor constraints or limited staff, obtaining remote code execution and a foothold for data theft or ransomware.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 Infrastructure; Cybersecurity lead; application owners; vendors; Clinical Ops (change windows).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Patch delays are documented as a healthcare constraint (E3, E7). Asset inventory completeness and scan coverage are unknown (E4).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Cybercriminal / state-linked actor using public exploits.</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Remote exploitation of a known vulnerability.</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Patch SLAs and exception governance not evidenced (E7)</w:t>
            </w:r>
          </w:p>
          <w:p>
            <w:r>
              <w:rPr>
                <w:rFonts w:ascii="Arial" w:cs="Arial" w:eastAsia="Arial" w:hAnsi="Arial"/>
                <w:sz w:val="16"/>
                <w:szCs w:val="16"/>
              </w:rPr>
              <w:t xml:space="preserve">Incomplete asset inventory (E4)</w:t>
            </w:r>
          </w:p>
          <w:p>
            <w:r>
              <w:rPr>
                <w:rFonts w:ascii="Arial" w:cs="Arial" w:eastAsia="Arial" w:hAnsi="Arial"/>
                <w:sz w:val="16"/>
                <w:szCs w:val="16"/>
              </w:rPr>
              <w:t xml:space="preserve">Possible end-of-life systems (Evidence gap)</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CJ5 remote access; CJ6 perimeter; internet-facing applications.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Remote access for clinicians; online services.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IDS/IPS (E2)</w:t>
            </w:r>
          </w:p>
          <w:p>
            <w:r>
              <w:rPr>
                <w:rFonts w:ascii="Arial" w:cs="Arial" w:eastAsia="Arial" w:hAnsi="Arial"/>
                <w:sz w:val="16"/>
                <w:szCs w:val="16"/>
              </w:rPr>
              <w:t xml:space="preserve">Antimalware (E2)</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critical flaw in the remote access appliance is disclosed and exploited within days. MediBec schedules the patch for the next quarterly window. The actor implants a web shell, harvests session tokens and pivots internally.</w:t>
      </w:r>
    </w:p>
    <w:p>
      <w:pPr>
        <w:pStyle w:val="ListParagraph"/>
        <w:numPr>
          <w:ilvl w:val="0"/>
          <w:numId w:val="2"/>
        </w:numPr>
        <w:spacing w:after="60"/>
      </w:pPr>
      <w:r>
        <w:rPr>
          <w:rFonts w:ascii="Arial" w:cs="Arial" w:eastAsia="Arial" w:hAnsi="Arial"/>
        </w:rPr>
        <w:t xml:space="preserve">Initial access - exploit of edge device</w:t>
      </w:r>
    </w:p>
    <w:p>
      <w:pPr>
        <w:pStyle w:val="ListParagraph"/>
        <w:numPr>
          <w:ilvl w:val="0"/>
          <w:numId w:val="2"/>
        </w:numPr>
        <w:spacing w:after="60"/>
      </w:pPr>
      <w:r>
        <w:rPr>
          <w:rFonts w:ascii="Arial" w:cs="Arial" w:eastAsia="Arial" w:hAnsi="Arial"/>
        </w:rPr>
        <w:t xml:space="preserve">Persistence - web shell / implant</w:t>
      </w:r>
    </w:p>
    <w:p>
      <w:pPr>
        <w:pStyle w:val="ListParagraph"/>
        <w:numPr>
          <w:ilvl w:val="0"/>
          <w:numId w:val="2"/>
        </w:numPr>
        <w:spacing w:after="60"/>
      </w:pPr>
      <w:r>
        <w:rPr>
          <w:rFonts w:ascii="Arial" w:cs="Arial" w:eastAsia="Arial" w:hAnsi="Arial"/>
        </w:rPr>
        <w:t xml:space="preserve">Credential access - session tokens</w:t>
      </w:r>
    </w:p>
    <w:p>
      <w:pPr>
        <w:pStyle w:val="ListParagraph"/>
        <w:numPr>
          <w:ilvl w:val="0"/>
          <w:numId w:val="2"/>
        </w:numPr>
        <w:spacing w:after="60"/>
      </w:pPr>
      <w:r>
        <w:rPr>
          <w:rFonts w:ascii="Arial" w:cs="Arial" w:eastAsia="Arial" w:hAnsi="Arial"/>
        </w:rPr>
        <w:t xml:space="preserve">Lateral movement - into server network</w:t>
      </w:r>
    </w:p>
    <w:p>
      <w:pPr>
        <w:pStyle w:val="ListParagraph"/>
        <w:numPr>
          <w:ilvl w:val="0"/>
          <w:numId w:val="2"/>
        </w:numPr>
        <w:spacing w:after="60"/>
      </w:pPr>
      <w:r>
        <w:rPr>
          <w:rFonts w:ascii="Arial" w:cs="Arial" w:eastAsia="Arial" w:hAnsi="Arial"/>
        </w:rPr>
        <w:t xml:space="preserve">Collection / disruption - leads to S2 or data theft</w:t>
      </w:r>
    </w:p>
    <w:p>
      <w:pPr>
        <w:pStyle w:val="ListParagraph"/>
        <w:numPr>
          <w:ilvl w:val="0"/>
          <w:numId w:val="2"/>
        </w:numPr>
        <w:spacing w:after="60"/>
      </w:pPr>
      <w:r>
        <w:rPr>
          <w:rFonts w:ascii="Arial" w:cs="Arial" w:eastAsia="Arial" w:hAnsi="Arial"/>
        </w:rPr>
        <w:t xml:space="preserve">Detection - external notice or threat hunt</w:t>
      </w:r>
    </w:p>
    <w:p>
      <w:pPr>
        <w:pStyle w:val="ListParagraph"/>
        <w:numPr>
          <w:ilvl w:val="0"/>
          <w:numId w:val="2"/>
        </w:numPr>
        <w:spacing w:after="60"/>
      </w:pPr>
      <w:r>
        <w:rPr>
          <w:rFonts w:ascii="Arial" w:cs="Arial" w:eastAsia="Arial" w:hAnsi="Arial"/>
        </w:rPr>
        <w:t xml:space="preserve">Business impact - intrusion, possible outage</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Potential access to health data.</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Device configuration tampering.</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Remote access outage during emergency patching.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Clinician remote access disrupted.</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Incident response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Moderate to high.</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0.80</w:t>
            </w:r>
          </w:p>
        </w:tc>
        <w:tc>
          <w:tcPr>
            <w:tcW w:type="dxa" w:w="1123"/>
            <w:tcMar>
              <w:top w:type="dxa" w:w="50"/>
              <w:left w:type="dxa" w:w="80"/>
              <w:bottom w:type="dxa" w:w="50"/>
              <w:right w:type="dxa" w:w="80"/>
            </w:tcMar>
          </w:tcPr>
          <w:p>
            <w:r>
              <w:rPr>
                <w:rFonts w:ascii="Arial" w:cs="Arial" w:eastAsia="Arial" w:hAnsi="Arial"/>
                <w:sz w:val="15"/>
                <w:szCs w:val="15"/>
              </w:rPr>
              <w:t xml:space="preserve">Very likely</w:t>
            </w:r>
          </w:p>
        </w:tc>
        <w:tc>
          <w:tcPr>
            <w:tcW w:type="dxa" w:w="4024"/>
            <w:tcMar>
              <w:top w:type="dxa" w:w="50"/>
              <w:left w:type="dxa" w:w="80"/>
              <w:bottom w:type="dxa" w:w="50"/>
              <w:right w:type="dxa" w:w="80"/>
            </w:tcMar>
          </w:tcPr>
          <w:p>
            <w:r>
              <w:rPr>
                <w:rFonts w:ascii="Arial" w:cs="Arial" w:eastAsia="Arial" w:hAnsi="Arial"/>
                <w:sz w:val="15"/>
                <w:szCs w:val="15"/>
              </w:rPr>
              <w:t xml:space="preserve">Edge-device exploitation campaigns are frequent.</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Patching lag documented; inventory incomplete.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E3, 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Foothold with some data access.</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Precursor to network-wide ransomware.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Detection of implants uncertain.</w:t>
            </w:r>
          </w:p>
        </w:tc>
        <w:tc>
          <w:tcPr>
            <w:tcW w:type="dxa" w:w="842"/>
            <w:tcMar>
              <w:top w:type="dxa" w:w="50"/>
              <w:left w:type="dxa" w:w="80"/>
              <w:bottom w:type="dxa" w:w="50"/>
              <w:right w:type="dxa" w:w="80"/>
            </w:tcMar>
          </w:tcPr>
          <w:p>
            <w:r>
              <w:rPr>
                <w:rFonts w:ascii="Arial" w:cs="Arial" w:eastAsia="Arial" w:hAnsi="Arial"/>
                <w:sz w:val="15"/>
                <w:szCs w:val="15"/>
              </w:rPr>
              <w:t xml:space="preserve">E3</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Remote access and perimeter serve all clinics.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CVSS:4.0/AV:N/AC:L/AT:N/PR:N/UI:N/VC:H/VI:H/VA:H/SC:H/SI:H/SA:H   </w:t>
      </w:r>
      <w:r>
        <w:rPr>
          <w:rFonts w:ascii="Arial" w:cs="Arial" w:eastAsia="Arial" w:hAnsi="Arial"/>
          <w:b/>
          <w:bCs/>
        </w:rPr>
        <w:t xml:space="preserve">CVSS-B:</w:t>
      </w:r>
      <w:r>
        <w:rPr>
          <w:rFonts w:ascii="Arial" w:cs="Arial" w:eastAsia="Arial" w:hAnsi="Arial"/>
        </w:rPr>
        <w:t xml:space="preserve"> 10.0 (Critical)</w:t>
      </w:r>
    </w:p>
    <w:p>
      <w:pPr>
        <w:spacing w:after="120"/>
      </w:pPr>
      <w:r>
        <w:rPr>
          <w:rFonts w:ascii="Arial" w:cs="Arial" w:eastAsia="Arial" w:hAnsi="Arial"/>
        </w:rPr>
        <w:t xml:space="preserve">Representative weakness: unauthenticated remote code execution in an internet-facing gateway (typical of known-exploited edge vulnerabilities). All impacts High because the gateway fronts the internal network. Replace with the actual CVE vector once scan data is available.</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0.80 x 0.50 x 10.0 x ((0.60 + 0.90) / 2) x 0.85 / 0.40 x 1,000</w:t>
            </w:r>
          </w:p>
        </w:tc>
        <w:tc>
          <w:tcPr>
            <w:tcW w:type="dxa" w:w="1405"/>
            <w:tcMar>
              <w:top w:type="dxa" w:w="50"/>
              <w:left w:type="dxa" w:w="80"/>
              <w:bottom w:type="dxa" w:w="50"/>
              <w:right w:type="dxa" w:w="80"/>
            </w:tcMar>
          </w:tcPr>
          <w:p>
            <w:r>
              <w:rPr>
                <w:rFonts w:ascii="Arial" w:cs="Arial" w:eastAsia="Arial" w:hAnsi="Arial"/>
                <w:sz w:val="15"/>
                <w:szCs w:val="15"/>
              </w:rPr>
              <w:t xml:space="preserve">6,375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0.80 x 0.50 x 10.0 x 0.30 x 0.85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2,550</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6,375 x 0.85 (probability) x 0.70 (impact)</w:t>
            </w:r>
          </w:p>
        </w:tc>
        <w:tc>
          <w:tcPr>
            <w:tcW w:type="dxa" w:w="1405"/>
            <w:tcMar>
              <w:top w:type="dxa" w:w="50"/>
              <w:left w:type="dxa" w:w="80"/>
              <w:bottom w:type="dxa" w:w="50"/>
              <w:right w:type="dxa" w:w="80"/>
            </w:tcMar>
          </w:tcPr>
          <w:p>
            <w:r>
              <w:rPr>
                <w:rFonts w:ascii="Arial" w:cs="Arial" w:eastAsia="Arial" w:hAnsi="Arial"/>
                <w:sz w:val="15"/>
                <w:szCs w:val="15"/>
              </w:rPr>
              <w:t xml:space="preserve">3,793</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6,375 - 3,793</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2,582</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2,582 / 2,550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1.01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(6,375 - 2,582) / $320,889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11.82</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Risk-based vulnerability and patch management with KEV SLAs and EOL retirement (I05); segmentation behind the edge (I06); MDR threat hunting (I03).</w:t>
      </w:r>
    </w:p>
    <w:p>
      <w:pPr>
        <w:spacing w:after="120"/>
      </w:pPr>
      <w:r>
        <w:rPr>
          <w:rFonts w:ascii="Arial" w:cs="Arial" w:eastAsia="Arial" w:hAnsi="Arial"/>
        </w:rPr>
        <w:t xml:space="preserve">Initiatives: I03 24/7 managed detection and response with centralized logging; I05 Risk-based vulnerability and patch management; I06 Network segmentation and network access control. Allocated Year-1 cost $320,889 (share of shared initiatives). Horizon: 1-9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(1.01).</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S7 - Connected medical device used as a foothold to disrupt clinical equipment and reach the EHR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reaching a clinic network (through malware, a compromised clinic Wi-Fi or vendor access) exploits an unpatched or default-credential medical device on a network shared with EHR workstations, disrupting device operation and using it as a persistent foothold, with potential consequences for patient care.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MED-CYR-09 (+ Wi-Fi path MED-CYR-05)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Biomedical engineering; Clinical Ops; clinic managers; device manufacturers; CIO; Cybersecurity lead; patients.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Medical equipment is interconnected with the EHR environment; inventory, patch levels and segmentation are unknown (E2, E4). Patching is constrained by certification (E3).</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Cybercriminal (opportunistic or during ransomware operation).</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Exploitation of a medical/IoT device and lateral movement.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Incomplete device inventory (E4)</w:t>
            </w:r>
          </w:p>
          <w:p>
            <w:r>
              <w:rPr>
                <w:rFonts w:ascii="Arial" w:cs="Arial" w:eastAsia="Arial" w:hAnsi="Arial"/>
                <w:sz w:val="16"/>
                <w:szCs w:val="16"/>
              </w:rPr>
              <w:t xml:space="preserve">Embedded OS patching restricted by certification (E3)</w:t>
            </w:r>
          </w:p>
          <w:p>
            <w:r>
              <w:rPr>
                <w:rFonts w:ascii="Arial" w:cs="Arial" w:eastAsia="Arial" w:hAnsi="Arial"/>
                <w:sz w:val="16"/>
                <w:szCs w:val="16"/>
              </w:rPr>
              <w:t xml:space="preserve">Devices and guest/clinical Wi-Fi not segmented (E4, E7 - validate)</w:t>
            </w:r>
          </w:p>
          <w:p>
            <w:r>
              <w:rPr>
                <w:rFonts w:ascii="Arial" w:cs="Arial" w:eastAsia="Arial" w:hAnsi="Arial"/>
                <w:sz w:val="16"/>
                <w:szCs w:val="16"/>
              </w:rPr>
              <w:t xml:space="preserve">Default credentials (Analyst assumption)</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CJ8 medical devices; CJ2 diagnostics; clinic LAN.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Diagnostic imaging, monitoring, device-to-EHR data flows.</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and IDS/IPS at hub (E2 - east-west coverage unknown)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Clinical Ops with Biomedical engineering</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Ransomware spreading in a clinic encrypts the Windows-based console of an imaging device; separately, an attacker on guest Wi-Fi reaches a device with default credentials and uses it as a pivot that endpoint tools do not cover.</w:t>
      </w:r>
    </w:p>
    <w:p>
      <w:pPr>
        <w:pStyle w:val="ListParagraph"/>
        <w:numPr>
          <w:ilvl w:val="0"/>
          <w:numId w:val="2"/>
        </w:numPr>
        <w:spacing w:after="60"/>
      </w:pPr>
      <w:r>
        <w:rPr>
          <w:rFonts w:ascii="Arial" w:cs="Arial" w:eastAsia="Arial" w:hAnsi="Arial"/>
        </w:rPr>
        <w:t xml:space="preserve">Initial access - adjacent network (Wi-Fi or infected workstation)</w:t>
      </w:r>
    </w:p>
    <w:p>
      <w:pPr>
        <w:pStyle w:val="ListParagraph"/>
        <w:numPr>
          <w:ilvl w:val="0"/>
          <w:numId w:val="2"/>
        </w:numPr>
        <w:spacing w:after="60"/>
      </w:pPr>
      <w:r>
        <w:rPr>
          <w:rFonts w:ascii="Arial" w:cs="Arial" w:eastAsia="Arial" w:hAnsi="Arial"/>
        </w:rPr>
        <w:t xml:space="preserve">Exploitation - unpatched service / default credentials</w:t>
      </w:r>
    </w:p>
    <w:p>
      <w:pPr>
        <w:pStyle w:val="ListParagraph"/>
        <w:numPr>
          <w:ilvl w:val="0"/>
          <w:numId w:val="2"/>
        </w:numPr>
        <w:spacing w:after="60"/>
      </w:pPr>
      <w:r>
        <w:rPr>
          <w:rFonts w:ascii="Arial" w:cs="Arial" w:eastAsia="Arial" w:hAnsi="Arial"/>
        </w:rPr>
        <w:t xml:space="preserve">Persistence - implant on unmanaged device</w:t>
      </w:r>
    </w:p>
    <w:p>
      <w:pPr>
        <w:pStyle w:val="ListParagraph"/>
        <w:numPr>
          <w:ilvl w:val="0"/>
          <w:numId w:val="2"/>
        </w:numPr>
        <w:spacing w:after="60"/>
      </w:pPr>
      <w:r>
        <w:rPr>
          <w:rFonts w:ascii="Arial" w:cs="Arial" w:eastAsia="Arial" w:hAnsi="Arial"/>
        </w:rPr>
        <w:t xml:space="preserve">Lateral movement - to EHR workstations</w:t>
      </w:r>
    </w:p>
    <w:p>
      <w:pPr>
        <w:pStyle w:val="ListParagraph"/>
        <w:numPr>
          <w:ilvl w:val="0"/>
          <w:numId w:val="2"/>
        </w:numPr>
        <w:spacing w:after="60"/>
      </w:pPr>
      <w:r>
        <w:rPr>
          <w:rFonts w:ascii="Arial" w:cs="Arial" w:eastAsia="Arial" w:hAnsi="Arial"/>
        </w:rPr>
        <w:t xml:space="preserve">Disruption - device unavailable or data altered</w:t>
      </w:r>
    </w:p>
    <w:p>
      <w:pPr>
        <w:pStyle w:val="ListParagraph"/>
        <w:numPr>
          <w:ilvl w:val="0"/>
          <w:numId w:val="2"/>
        </w:numPr>
        <w:spacing w:after="60"/>
      </w:pPr>
      <w:r>
        <w:rPr>
          <w:rFonts w:ascii="Arial" w:cs="Arial" w:eastAsia="Arial" w:hAnsi="Arial"/>
        </w:rPr>
        <w:t xml:space="preserve">Detection - clinical staff notice malfunction</w:t>
      </w:r>
    </w:p>
    <w:p>
      <w:pPr>
        <w:pStyle w:val="ListParagraph"/>
        <w:numPr>
          <w:ilvl w:val="0"/>
          <w:numId w:val="2"/>
        </w:numPr>
        <w:spacing w:after="60"/>
      </w:pPr>
      <w:r>
        <w:rPr>
          <w:rFonts w:ascii="Arial" w:cs="Arial" w:eastAsia="Arial" w:hAnsi="Arial"/>
        </w:rPr>
        <w:t xml:space="preserve">Business impact - postponed procedures, safety review</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Device-stored images and identifiers.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altered readings.</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Devices out of service.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Procedure cancellations.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Device remediation with vendor.</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Device-safety reporting may apply (validate).</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 if patient harm.</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Direct - delayed or incorrect diagnostics.</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0.45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Targeting of devices is less frequent than IT, but collateral infection is common.</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0.50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Patch and segmentation constraints documented.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E3, E4</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Some devices unavailable at one clinic.</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Patient harm from altered or unavailable equipment.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No device monitoring or inventory evidence.</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Direct link to patient safety.</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CVSS:4.0/AV:A/AC:L/AT:N/PR:N/UI:N/VC:H/VI:H/VA:H/SC:L/SI:L/SA:L   </w:t>
      </w:r>
      <w:r>
        <w:rPr>
          <w:rFonts w:ascii="Arial" w:cs="Arial" w:eastAsia="Arial" w:hAnsi="Arial"/>
          <w:b/>
          <w:bCs/>
        </w:rPr>
        <w:t xml:space="preserve">CVSS-B:</w:t>
      </w:r>
      <w:r>
        <w:rPr>
          <w:rFonts w:ascii="Arial" w:cs="Arial" w:eastAsia="Arial" w:hAnsi="Arial"/>
        </w:rPr>
        <w:t xml:space="preserve"> 8.7 (High)</w:t>
      </w:r>
    </w:p>
    <w:p>
      <w:pPr>
        <w:spacing w:after="120"/>
      </w:pPr>
      <w:r>
        <w:rPr>
          <w:rFonts w:ascii="Arial" w:cs="Arial" w:eastAsia="Arial" w:hAnsi="Arial"/>
        </w:rPr>
        <w:t xml:space="preserve">Representative weakness: unpatched embedded service or default credential on a networked device. AV:A reachable from the clinic LAN/Wi-Fi only; PR:N; full device impact; SC/SI/SA:L onward effects. CVSS supplemental metric Safety (S:P) would apply but is not part of the base score.</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0.45 x 0.50 x 8.7 x ((0.55 + 0.95) / 2) x 0.90 / 0.35 x 1,000</w:t>
            </w:r>
          </w:p>
        </w:tc>
        <w:tc>
          <w:tcPr>
            <w:tcW w:type="dxa" w:w="1405"/>
            <w:tcMar>
              <w:top w:type="dxa" w:w="50"/>
              <w:left w:type="dxa" w:w="80"/>
              <w:bottom w:type="dxa" w:w="50"/>
              <w:right w:type="dxa" w:w="80"/>
            </w:tcMar>
          </w:tcPr>
          <w:p>
            <w:r>
              <w:rPr>
                <w:rFonts w:ascii="Arial" w:cs="Arial" w:eastAsia="Arial" w:hAnsi="Arial"/>
                <w:sz w:val="15"/>
                <w:szCs w:val="15"/>
              </w:rPr>
              <w:t xml:space="preserve">3,775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0.45 x 0.50 x 8.7 x 0.30 x 0.90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1,510</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3,775 x 0.70 (probability) x 0.60 (impact)</w:t>
            </w:r>
          </w:p>
        </w:tc>
        <w:tc>
          <w:tcPr>
            <w:tcW w:type="dxa" w:w="1405"/>
            <w:tcMar>
              <w:top w:type="dxa" w:w="50"/>
              <w:left w:type="dxa" w:w="80"/>
              <w:bottom w:type="dxa" w:w="50"/>
              <w:right w:type="dxa" w:w="80"/>
            </w:tcMar>
          </w:tcPr>
          <w:p>
            <w:r>
              <w:rPr>
                <w:rFonts w:ascii="Arial" w:cs="Arial" w:eastAsia="Arial" w:hAnsi="Arial"/>
                <w:sz w:val="15"/>
                <w:szCs w:val="15"/>
              </w:rPr>
              <w:t xml:space="preserve">1,586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3,775 - 1,586</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2,190</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2,190 / 1,510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1.45</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(3,775 - 2,190) / $522,000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3.04</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Medical device security programme (I07), segmentation and NAC including guest Wi-Fi isolation (I06), patch/compensating controls (I05). Residual depends on manufacturers.</w:t>
      </w:r>
    </w:p>
    <w:p>
      <w:pPr>
        <w:spacing w:after="120"/>
      </w:pPr>
      <w:r>
        <w:rPr>
          <w:rFonts w:ascii="Arial" w:cs="Arial" w:eastAsia="Arial" w:hAnsi="Arial"/>
        </w:rPr>
        <w:t xml:space="preserve">Initiatives: I05 Risk-based vulnerability and patch management; I06 Network segmentation and network access control; I07 Medical device security programme. Allocated Year-1 cost $522,000 (share of shared initiatives). Horizon: 3-24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(1.45).</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S8 - Detection and response gaps allow an intrusion to persist and 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intrusion by any external actor goes unnoticed or is misclassified because alert triage, log coverage and after-hours monitoring are insufficient for a two-person cybersecurity team, and the untested incident response plan leads to slow, uncoordinated containment, turning a contained event into a major privacy and operational incident.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MED-CYR-08 / 15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Cybersecurity lead; CIO; Executive leadership; Clinical Ops; clinic managers; Privacy/Legal; Communications; MDR/forensic providers.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Two dedicated cybersecurity staff (E3); a PowerShell alert was closed as low severity; unusual logins, cloud downloads and service-account queries were not correlated (E6). The IR plan has not been tested across clinics (E8 MED-CYR-15).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Any external actor (amplifier scenario).</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Undetected dwell time and delayed, uncoordinated response.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24/7 monitoring (E3 - inferred)</w:t>
            </w:r>
          </w:p>
          <w:p>
            <w:r>
              <w:rPr>
                <w:rFonts w:ascii="Arial" w:cs="Arial" w:eastAsia="Arial" w:hAnsi="Arial"/>
                <w:sz w:val="16"/>
                <w:szCs w:val="16"/>
              </w:rPr>
              <w:t xml:space="preserve">Alert triage criteria weak (E6)</w:t>
            </w:r>
          </w:p>
          <w:p>
            <w:r>
              <w:rPr>
                <w:rFonts w:ascii="Arial" w:cs="Arial" w:eastAsia="Arial" w:hAnsi="Arial"/>
                <w:sz w:val="16"/>
                <w:szCs w:val="16"/>
              </w:rPr>
              <w:t xml:space="preserve">Log coverage and retention unknown (E4)</w:t>
            </w:r>
          </w:p>
          <w:p>
            <w:r>
              <w:rPr>
                <w:rFonts w:ascii="Arial" w:cs="Arial" w:eastAsia="Arial" w:hAnsi="Arial"/>
                <w:sz w:val="16"/>
                <w:szCs w:val="16"/>
              </w:rPr>
              <w:t xml:space="preserve">IR plan untested; decision rights unclear (E8)</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All crown jewels; especially CJ1, CJ5.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Incident management, clinical continuity, privacy breach assessment.</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IDS/IPS (E2)</w:t>
            </w:r>
          </w:p>
          <w:p>
            <w:r>
              <w:rPr>
                <w:rFonts w:ascii="Arial" w:cs="Arial" w:eastAsia="Arial" w:hAnsi="Arial"/>
                <w:sz w:val="16"/>
                <w:szCs w:val="16"/>
              </w:rPr>
              <w:t xml:space="preserve">EDR (E6)</w:t>
            </w:r>
          </w:p>
          <w:p>
            <w:r>
              <w:rPr>
                <w:rFonts w:ascii="Arial" w:cs="Arial" w:eastAsia="Arial" w:hAnsi="Arial"/>
                <w:sz w:val="16"/>
                <w:szCs w:val="16"/>
              </w:rPr>
              <w:t xml:space="preserve">Incident command roles defined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Cybersecurity lead</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Across ten days, four weak signals (phishing, PowerShell, unusual login, cloud download) are visible in different consoles but no one correlates them. When encryption begins, roles, forensic engagement and clinical workarounds are improvised.</w:t>
      </w:r>
    </w:p>
    <w:p>
      <w:pPr>
        <w:pStyle w:val="ListParagraph"/>
        <w:numPr>
          <w:ilvl w:val="0"/>
          <w:numId w:val="2"/>
        </w:numPr>
        <w:spacing w:after="60"/>
      </w:pPr>
      <w:r>
        <w:rPr>
          <w:rFonts w:ascii="Arial" w:cs="Arial" w:eastAsia="Arial" w:hAnsi="Arial"/>
        </w:rPr>
        <w:t xml:space="preserve">Initial access - via S1/S6</w:t>
      </w:r>
    </w:p>
    <w:p>
      <w:pPr>
        <w:pStyle w:val="ListParagraph"/>
        <w:numPr>
          <w:ilvl w:val="0"/>
          <w:numId w:val="2"/>
        </w:numPr>
        <w:spacing w:after="60"/>
      </w:pPr>
      <w:r>
        <w:rPr>
          <w:rFonts w:ascii="Arial" w:cs="Arial" w:eastAsia="Arial" w:hAnsi="Arial"/>
        </w:rPr>
        <w:t xml:space="preserve">Weak signals generated but not triaged</w:t>
      </w:r>
    </w:p>
    <w:p>
      <w:pPr>
        <w:pStyle w:val="ListParagraph"/>
        <w:numPr>
          <w:ilvl w:val="0"/>
          <w:numId w:val="2"/>
        </w:numPr>
        <w:spacing w:after="60"/>
      </w:pPr>
      <w:r>
        <w:rPr>
          <w:rFonts w:ascii="Arial" w:cs="Arial" w:eastAsia="Arial" w:hAnsi="Arial"/>
        </w:rPr>
        <w:t xml:space="preserve">Dwell time of days to weeks</w:t>
      </w:r>
    </w:p>
    <w:p>
      <w:pPr>
        <w:pStyle w:val="ListParagraph"/>
        <w:numPr>
          <w:ilvl w:val="0"/>
          <w:numId w:val="2"/>
        </w:numPr>
        <w:spacing w:after="60"/>
      </w:pPr>
      <w:r>
        <w:rPr>
          <w:rFonts w:ascii="Arial" w:cs="Arial" w:eastAsia="Arial" w:hAnsi="Arial"/>
        </w:rPr>
        <w:t xml:space="preserve">Escalation to data theft / encryption</w:t>
      </w:r>
    </w:p>
    <w:p>
      <w:pPr>
        <w:pStyle w:val="ListParagraph"/>
        <w:numPr>
          <w:ilvl w:val="0"/>
          <w:numId w:val="2"/>
        </w:numPr>
        <w:spacing w:after="60"/>
      </w:pPr>
      <w:r>
        <w:rPr>
          <w:rFonts w:ascii="Arial" w:cs="Arial" w:eastAsia="Arial" w:hAnsi="Arial"/>
        </w:rPr>
        <w:t xml:space="preserve">Detection - by impact, not by monitoring</w:t>
      </w:r>
    </w:p>
    <w:p>
      <w:pPr>
        <w:pStyle w:val="ListParagraph"/>
        <w:numPr>
          <w:ilvl w:val="0"/>
          <w:numId w:val="2"/>
        </w:numPr>
        <w:spacing w:after="60"/>
      </w:pPr>
      <w:r>
        <w:rPr>
          <w:rFonts w:ascii="Arial" w:cs="Arial" w:eastAsia="Arial" w:hAnsi="Arial"/>
        </w:rPr>
        <w:t xml:space="preserve">Response - delayed decisions, evidence loss</w:t>
      </w:r>
    </w:p>
    <w:p>
      <w:pPr>
        <w:pStyle w:val="ListParagraph"/>
        <w:numPr>
          <w:ilvl w:val="0"/>
          <w:numId w:val="2"/>
        </w:numPr>
        <w:spacing w:after="60"/>
      </w:pPr>
      <w:r>
        <w:rPr>
          <w:rFonts w:ascii="Arial" w:cs="Arial" w:eastAsia="Arial" w:hAnsi="Arial"/>
        </w:rPr>
        <w:t xml:space="preserve">Business impact - amplified harm</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Larger breach scope; weaker evidence of what was accessed.</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Uncertainty over what was changed.</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Longer outage.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Poor coordination across clinics.</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Higher total incident cost.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Inability to substantiate breach assessment.</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Perceived mismanagement.</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 via prolonged outage.</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0.80</w:t>
            </w:r>
          </w:p>
        </w:tc>
        <w:tc>
          <w:tcPr>
            <w:tcW w:type="dxa" w:w="1123"/>
            <w:tcMar>
              <w:top w:type="dxa" w:w="50"/>
              <w:left w:type="dxa" w:w="80"/>
              <w:bottom w:type="dxa" w:w="50"/>
              <w:right w:type="dxa" w:w="80"/>
            </w:tcMar>
          </w:tcPr>
          <w:p>
            <w:r>
              <w:rPr>
                <w:rFonts w:ascii="Arial" w:cs="Arial" w:eastAsia="Arial" w:hAnsi="Arial"/>
                <w:sz w:val="15"/>
                <w:szCs w:val="15"/>
              </w:rPr>
              <w:t xml:space="preserve">Very likely</w:t>
            </w:r>
          </w:p>
        </w:tc>
        <w:tc>
          <w:tcPr>
            <w:tcW w:type="dxa" w:w="4024"/>
            <w:tcMar>
              <w:top w:type="dxa" w:w="50"/>
              <w:left w:type="dxa" w:w="80"/>
              <w:bottom w:type="dxa" w:w="50"/>
              <w:right w:type="dxa" w:w="80"/>
            </w:tcMar>
          </w:tcPr>
          <w:p>
            <w:r>
              <w:rPr>
                <w:rFonts w:ascii="Arial" w:cs="Arial" w:eastAsia="Arial" w:hAnsi="Arial"/>
                <w:sz w:val="15"/>
                <w:szCs w:val="15"/>
              </w:rPr>
              <w:t xml:space="preserve">Attempts ongoing; some will pass perimeter controls.</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0.60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Likely</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Evidence of mis-triaged alerts and uncorrelated signals.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Incident escalates before containment.</w:t>
            </w:r>
          </w:p>
        </w:tc>
        <w:tc>
          <w:tcPr>
            <w:tcW w:type="dxa" w:w="842"/>
            <w:tcMar>
              <w:top w:type="dxa" w:w="50"/>
              <w:left w:type="dxa" w:w="80"/>
              <w:bottom w:type="dxa" w:w="50"/>
              <w:right w:type="dxa" w:w="80"/>
            </w:tcMar>
          </w:tcPr>
          <w:p>
            <w:r>
              <w:rPr>
                <w:rFonts w:ascii="Arial" w:cs="Arial" w:eastAsia="Arial" w:hAnsi="Arial"/>
                <w:sz w:val="15"/>
                <w:szCs w:val="15"/>
              </w:rPr>
              <w:t xml:space="preserve">E6</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Full ransomware and breach scenario.</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E6</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0.30</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Detection and response are the weak capability itself.</w:t>
            </w:r>
          </w:p>
        </w:tc>
        <w:tc>
          <w:tcPr>
            <w:tcW w:type="dxa" w:w="842"/>
            <w:tcMar>
              <w:top w:type="dxa" w:w="50"/>
              <w:left w:type="dxa" w:w="80"/>
              <w:bottom w:type="dxa" w:w="50"/>
              <w:right w:type="dxa" w:w="80"/>
            </w:tcMar>
          </w:tcPr>
          <w:p>
            <w:r>
              <w:rPr>
                <w:rFonts w:ascii="Arial" w:cs="Arial" w:eastAsia="Arial" w:hAnsi="Arial"/>
                <w:sz w:val="15"/>
                <w:szCs w:val="15"/>
              </w:rPr>
              <w:t xml:space="preserve">E3</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Response capacity protects every service.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CVSS:4.0/AV:N/AC:L/AT:N/PR:N/UI:P/VC:H/VI:H/VA:L/SC:H/SI:L/SA:L   </w:t>
      </w:r>
      <w:r>
        <w:rPr>
          <w:rFonts w:ascii="Arial" w:cs="Arial" w:eastAsia="Arial" w:hAnsi="Arial"/>
          <w:b/>
          <w:bCs/>
        </w:rPr>
        <w:t xml:space="preserve">CVSS-B:</w:t>
      </w:r>
      <w:r>
        <w:rPr>
          <w:rFonts w:ascii="Arial" w:cs="Arial" w:eastAsia="Arial" w:hAnsi="Arial"/>
        </w:rPr>
        <w:t xml:space="preserve"> 9.3 (Critical)</w:t>
      </w:r>
    </w:p>
    <w:p>
      <w:pPr>
        <w:spacing w:after="120"/>
      </w:pPr>
      <w:r>
        <w:rPr>
          <w:rFonts w:ascii="Arial" w:cs="Arial" w:eastAsia="Arial" w:hAnsi="Arial"/>
        </w:rPr>
        <w:t xml:space="preserve">Limited applicability: a detection gap is a control weakness, not a vulnerability. Representative weakness for the workbook: the undetected initial code-execution vector (macro/PowerShell, E6). Do not interpret the score as the severity of the detection gap.</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0.80 x 0.60 x 9.3 x ((0.60 + 0.90) / 2) x 0.85 / 0.30 x 1,000</w:t>
            </w:r>
          </w:p>
        </w:tc>
        <w:tc>
          <w:tcPr>
            <w:tcW w:type="dxa" w:w="1405"/>
            <w:tcMar>
              <w:top w:type="dxa" w:w="50"/>
              <w:left w:type="dxa" w:w="80"/>
              <w:bottom w:type="dxa" w:w="50"/>
              <w:right w:type="dxa" w:w="80"/>
            </w:tcMar>
          </w:tcPr>
          <w:p>
            <w:r>
              <w:rPr>
                <w:rFonts w:ascii="Arial" w:cs="Arial" w:eastAsia="Arial" w:hAnsi="Arial"/>
                <w:sz w:val="15"/>
                <w:szCs w:val="15"/>
              </w:rPr>
              <w:t xml:space="preserve">9,486</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0.80 x 0.60 x 9.3 x 0.30 x 0.85 / 0.30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3,794</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9,486 x 0.70 (probability) x 0.80 (impact)</w:t>
            </w:r>
          </w:p>
        </w:tc>
        <w:tc>
          <w:tcPr>
            <w:tcW w:type="dxa" w:w="1405"/>
            <w:tcMar>
              <w:top w:type="dxa" w:w="50"/>
              <w:left w:type="dxa" w:w="80"/>
              <w:bottom w:type="dxa" w:w="50"/>
              <w:right w:type="dxa" w:w="80"/>
            </w:tcMar>
          </w:tcPr>
          <w:p>
            <w:r>
              <w:rPr>
                <w:rFonts w:ascii="Arial" w:cs="Arial" w:eastAsia="Arial" w:hAnsi="Arial"/>
                <w:sz w:val="15"/>
                <w:szCs w:val="15"/>
              </w:rPr>
              <w:t xml:space="preserve">5,312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9,486 - 5,312</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4,174</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4,174 / 3,794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1.10</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(9,486 - 4,174) / $208,889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25.43</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24/7 MDR with centralized logging and escalation criteria (I03); IR plan, playbooks, retainer and tabletop exercises across clinics (I11); governance reporting (I12).</w:t>
      </w:r>
    </w:p>
    <w:p>
      <w:pPr>
        <w:spacing w:after="120"/>
      </w:pPr>
      <w:r>
        <w:rPr>
          <w:rFonts w:ascii="Arial" w:cs="Arial" w:eastAsia="Arial" w:hAnsi="Arial"/>
        </w:rPr>
        <w:t xml:space="preserve">Initiatives: I01 Phishing-resistant MFA and conditional access; I03 24/7 managed detection and response with centralized logging; I11 Incident response and clinical continuity readiness; I12 Governance, awareness and risk reporting. Allocated Year-1 cost $208,889 (share of shared initiatives). Horizon: 0-6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b/>
                <w:bCs/>
                <w:sz w:val="19"/>
                <w:szCs w:val="19"/>
              </w:rPr>
              <w:t xml:space="preserve">Result: Approximately at tolerance (1.10).</w:t>
            </w:r>
            <w:r>
              <w:rPr>
                <w:rFonts w:ascii="Arial" w:cs="Arial" w:eastAsia="Arial" w:hAnsi="Arial"/>
                <w:sz w:val="19"/>
                <w:szCs w:val="19"/>
              </w:rPr>
              <w:t xml:space="preserve"> Residual risk is approximately at tolerance; the result depends on the treatment actually achieving the assumed effectiveness. Executive review and KRI tracking are recommended.</w:t>
            </w:r>
          </w:p>
        </w:tc>
      </w:tr>
    </w:tbl>
    <w:p>
      <w:pPr>
        <w:pStyle w:val="Heading2"/>
        <w:pageBreakBefore/>
      </w:pPr>
      <w:r>
        <w:rPr>
          <w:rFonts w:ascii="Arial" w:cs="Arial" w:eastAsia="Arial" w:hAnsi="Arial"/>
        </w:rPr>
        <w:t xml:space="preserve">S9 - Compromise of a critical vendor with remote access to MediBec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 threat actor compromises an EHR, diagnostic, device or IT support vendor and uses the vendor's standing remote access or software update channel to enter MediBec's environment, bypassing perimeter controls to access health data or deploy malware.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MED-CYR-14</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Procurement; CIO; Cybersecurity lead; Vendor coordination lead; Privacy/Legal; Clinical Ops; affected vendors.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MediBec depends on EHR, cloud, device and support vendors (E2, E7). Vendor assurance, contract clauses and access restrictions are listed as areas to assess, not as existing controls (E5, E7).</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Supply-chain attacker (cybercriminal or state-linked).</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Intrusion through a trusted third-party access path.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Standing vendor remote access (Analyst assumption)</w:t>
            </w:r>
          </w:p>
          <w:p>
            <w:r>
              <w:rPr>
                <w:rFonts w:ascii="Arial" w:cs="Arial" w:eastAsia="Arial" w:hAnsi="Arial"/>
                <w:sz w:val="16"/>
                <w:szCs w:val="16"/>
              </w:rPr>
              <w:t xml:space="preserve">No vendor tiering or assessments evidenced (E7)</w:t>
            </w:r>
          </w:p>
          <w:p>
            <w:r>
              <w:rPr>
                <w:rFonts w:ascii="Arial" w:cs="Arial" w:eastAsia="Arial" w:hAnsi="Arial"/>
                <w:sz w:val="16"/>
                <w:szCs w:val="16"/>
              </w:rPr>
              <w:t xml:space="preserve">Incident-notification clauses unknown (E5)</w:t>
            </w:r>
          </w:p>
          <w:p>
            <w:r>
              <w:rPr>
                <w:rFonts w:ascii="Arial" w:cs="Arial" w:eastAsia="Arial" w:hAnsi="Arial"/>
                <w:sz w:val="16"/>
                <w:szCs w:val="16"/>
              </w:rPr>
              <w:t xml:space="preserve">Vendor sessions not brokered or recorded</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CJ2, CJ8 and vendor-managed components.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EHR support, device maintenance, IT support.</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Firewalls (E2)</w:t>
            </w:r>
          </w:p>
          <w:p>
            <w:r>
              <w:rPr>
                <w:rFonts w:ascii="Arial" w:cs="Arial" w:eastAsia="Arial" w:hAnsi="Arial"/>
                <w:sz w:val="16"/>
                <w:szCs w:val="16"/>
              </w:rPr>
              <w:t xml:space="preserve">Vendor coordination role defined for incidents (E6)</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Procurement with CIO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A remote-support tool used by a diagnostic-system vendor is compromised; the attacker uses the vendor's always-on connection to access the imaging server and pivot. The vendor notifies customers two weeks later.</w:t>
      </w:r>
    </w:p>
    <w:p>
      <w:pPr>
        <w:pStyle w:val="ListParagraph"/>
        <w:numPr>
          <w:ilvl w:val="0"/>
          <w:numId w:val="2"/>
        </w:numPr>
        <w:spacing w:after="60"/>
      </w:pPr>
      <w:r>
        <w:rPr>
          <w:rFonts w:ascii="Arial" w:cs="Arial" w:eastAsia="Arial" w:hAnsi="Arial"/>
        </w:rPr>
        <w:t xml:space="preserve">Initial access - via vendor remote access</w:t>
      </w:r>
    </w:p>
    <w:p>
      <w:pPr>
        <w:pStyle w:val="ListParagraph"/>
        <w:numPr>
          <w:ilvl w:val="0"/>
          <w:numId w:val="2"/>
        </w:numPr>
        <w:spacing w:after="60"/>
      </w:pPr>
      <w:r>
        <w:rPr>
          <w:rFonts w:ascii="Arial" w:cs="Arial" w:eastAsia="Arial" w:hAnsi="Arial"/>
        </w:rPr>
        <w:t xml:space="preserve">Exploitation - trusted session</w:t>
      </w:r>
    </w:p>
    <w:p>
      <w:pPr>
        <w:pStyle w:val="ListParagraph"/>
        <w:numPr>
          <w:ilvl w:val="0"/>
          <w:numId w:val="2"/>
        </w:numPr>
        <w:spacing w:after="60"/>
      </w:pPr>
      <w:r>
        <w:rPr>
          <w:rFonts w:ascii="Arial" w:cs="Arial" w:eastAsia="Arial" w:hAnsi="Arial"/>
        </w:rPr>
        <w:t xml:space="preserve">Discovery - vendor-managed servers</w:t>
      </w:r>
    </w:p>
    <w:p>
      <w:pPr>
        <w:pStyle w:val="ListParagraph"/>
        <w:numPr>
          <w:ilvl w:val="0"/>
          <w:numId w:val="2"/>
        </w:numPr>
        <w:spacing w:after="60"/>
      </w:pPr>
      <w:r>
        <w:rPr>
          <w:rFonts w:ascii="Arial" w:cs="Arial" w:eastAsia="Arial" w:hAnsi="Arial"/>
        </w:rPr>
        <w:t xml:space="preserve">Lateral movement - into MediBec network</w:t>
      </w:r>
    </w:p>
    <w:p>
      <w:pPr>
        <w:pStyle w:val="ListParagraph"/>
        <w:numPr>
          <w:ilvl w:val="0"/>
          <w:numId w:val="2"/>
        </w:numPr>
        <w:spacing w:after="60"/>
      </w:pPr>
      <w:r>
        <w:rPr>
          <w:rFonts w:ascii="Arial" w:cs="Arial" w:eastAsia="Arial" w:hAnsi="Arial"/>
        </w:rPr>
        <w:t xml:space="preserve">Collection / disruption</w:t>
      </w:r>
    </w:p>
    <w:p>
      <w:pPr>
        <w:pStyle w:val="ListParagraph"/>
        <w:numPr>
          <w:ilvl w:val="0"/>
          <w:numId w:val="2"/>
        </w:numPr>
        <w:spacing w:after="60"/>
      </w:pPr>
      <w:r>
        <w:rPr>
          <w:rFonts w:ascii="Arial" w:cs="Arial" w:eastAsia="Arial" w:hAnsi="Arial"/>
        </w:rPr>
        <w:t xml:space="preserve">Detection - vendor notice or MDR alert</w:t>
      </w:r>
    </w:p>
    <w:p>
      <w:pPr>
        <w:pStyle w:val="ListParagraph"/>
        <w:numPr>
          <w:ilvl w:val="0"/>
          <w:numId w:val="2"/>
        </w:numPr>
        <w:spacing w:after="60"/>
      </w:pPr>
      <w:r>
        <w:rPr>
          <w:rFonts w:ascii="Arial" w:cs="Arial" w:eastAsia="Arial" w:hAnsi="Arial"/>
        </w:rPr>
        <w:t xml:space="preserve">Business impact - breach and outage, contractual disputes</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Health data exposed via vendor path.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Possible tampering with vendor-managed systems.</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Vendor systems isolated during investigation.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Diagnostic services degraded.</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Shared-liability disputes.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MediBec remains accountable for its data.</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High.</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Indirect.</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Plausible</w:t>
            </w:r>
          </w:p>
        </w:tc>
        <w:tc>
          <w:tcPr>
            <w:tcW w:type="dxa" w:w="4024"/>
            <w:tcMar>
              <w:top w:type="dxa" w:w="50"/>
              <w:left w:type="dxa" w:w="80"/>
              <w:bottom w:type="dxa" w:w="50"/>
              <w:right w:type="dxa" w:w="80"/>
            </w:tcMar>
          </w:tcPr>
          <w:p>
            <w:r>
              <w:rPr>
                <w:rFonts w:ascii="Arial" w:cs="Arial" w:eastAsia="Arial" w:hAnsi="Arial"/>
                <w:sz w:val="15"/>
                <w:szCs w:val="15"/>
              </w:rPr>
              <w:t xml:space="preserve">Supply-chain attacks on healthcare vendors are recurrent.</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Plausible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Controls over vendor access not evidenced.</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E7</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0.60</w:t>
            </w:r>
          </w:p>
        </w:tc>
        <w:tc>
          <w:tcPr>
            <w:tcW w:type="dxa" w:w="1123"/>
            <w:tcMar>
              <w:top w:type="dxa" w:w="50"/>
              <w:left w:type="dxa" w:w="80"/>
              <w:bottom w:type="dxa" w:w="50"/>
              <w:right w:type="dxa" w:w="80"/>
            </w:tcMar>
          </w:tcPr>
          <w:p>
            <w:r>
              <w:rPr>
                <w:rFonts w:ascii="Arial" w:cs="Arial" w:eastAsia="Arial" w:hAnsi="Arial"/>
                <w:sz w:val="15"/>
                <w:szCs w:val="15"/>
              </w:rPr>
              <w:t xml:space="preserve">Major</w:t>
            </w:r>
          </w:p>
        </w:tc>
        <w:tc>
          <w:tcPr>
            <w:tcW w:type="dxa" w:w="4024"/>
            <w:tcMar>
              <w:top w:type="dxa" w:w="50"/>
              <w:left w:type="dxa" w:w="80"/>
              <w:bottom w:type="dxa" w:w="50"/>
              <w:right w:type="dxa" w:w="80"/>
            </w:tcMar>
          </w:tcPr>
          <w:p>
            <w:r>
              <w:rPr>
                <w:rFonts w:ascii="Arial" w:cs="Arial" w:eastAsia="Arial" w:hAnsi="Arial"/>
                <w:sz w:val="15"/>
                <w:szCs w:val="15"/>
              </w:rPr>
              <w:t xml:space="preserve">Breach through one vendor path.</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EHR vendor compromise affecting all clinics.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0.35</w:t>
            </w:r>
          </w:p>
        </w:tc>
        <w:tc>
          <w:tcPr>
            <w:tcW w:type="dxa" w:w="1123"/>
            <w:tcMar>
              <w:top w:type="dxa" w:w="50"/>
              <w:left w:type="dxa" w:w="80"/>
              <w:bottom w:type="dxa" w:w="50"/>
              <w:right w:type="dxa" w:w="80"/>
            </w:tcMar>
          </w:tcPr>
          <w:p>
            <w:r>
              <w:rPr>
                <w:rFonts w:ascii="Arial" w:cs="Arial" w:eastAsia="Arial" w:hAnsi="Arial"/>
                <w:sz w:val="15"/>
                <w:szCs w:val="15"/>
              </w:rPr>
              <w:t xml:space="preserve">Weak</w:t>
            </w:r>
          </w:p>
        </w:tc>
        <w:tc>
          <w:tcPr>
            <w:tcW w:type="dxa" w:w="4024"/>
            <w:tcMar>
              <w:top w:type="dxa" w:w="50"/>
              <w:left w:type="dxa" w:w="80"/>
              <w:bottom w:type="dxa" w:w="50"/>
              <w:right w:type="dxa" w:w="80"/>
            </w:tcMar>
          </w:tcPr>
          <w:p>
            <w:r>
              <w:rPr>
                <w:rFonts w:ascii="Arial" w:cs="Arial" w:eastAsia="Arial" w:hAnsi="Arial"/>
                <w:sz w:val="15"/>
                <w:szCs w:val="15"/>
              </w:rPr>
              <w:t xml:space="preserve">Limited visibility into vendor activity.</w:t>
            </w:r>
          </w:p>
        </w:tc>
        <w:tc>
          <w:tcPr>
            <w:tcW w:type="dxa" w:w="842"/>
            <w:tcMar>
              <w:top w:type="dxa" w:w="50"/>
              <w:left w:type="dxa" w:w="80"/>
              <w:bottom w:type="dxa" w:w="50"/>
              <w:right w:type="dxa" w:w="80"/>
            </w:tcMar>
          </w:tcPr>
          <w:p>
            <w:r>
              <w:rPr>
                <w:rFonts w:ascii="Arial" w:cs="Arial" w:eastAsia="Arial" w:hAnsi="Arial"/>
                <w:sz w:val="15"/>
                <w:szCs w:val="15"/>
              </w:rPr>
              <w:t xml:space="preserve">E7</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0.85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Very high</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Vendors support crown-jewel systems.</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E2</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CVSS:4.0/AV:N/AC:L/AT:P/PR:L/UI:N/VC:H/VI:H/VA:H/SC:H/SI:H/SA:H   </w:t>
      </w:r>
      <w:r>
        <w:rPr>
          <w:rFonts w:ascii="Arial" w:cs="Arial" w:eastAsia="Arial" w:hAnsi="Arial"/>
          <w:b/>
          <w:bCs/>
        </w:rPr>
        <w:t xml:space="preserve">CVSS-B:</w:t>
      </w:r>
      <w:r>
        <w:rPr>
          <w:rFonts w:ascii="Arial" w:cs="Arial" w:eastAsia="Arial" w:hAnsi="Arial"/>
        </w:rPr>
        <w:t xml:space="preserve"> 9.0 (Critical)</w:t>
      </w:r>
    </w:p>
    <w:p>
      <w:pPr>
        <w:spacing w:after="120"/>
      </w:pPr>
      <w:r>
        <w:rPr>
          <w:rFonts w:ascii="Arial" w:cs="Arial" w:eastAsia="Arial" w:hAnsi="Arial"/>
        </w:rPr>
        <w:t xml:space="preserve">Limited applicability: supplier concentration is not a single vulnerability. Representative weakness: standing authenticated remote-access channel. AT:P the vendor must first be compromised; PR:L vendor account; full impacts. Validate against actual vendor access design.</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0.55 x 0.45 x 9.0 x ((0.60 + 0.90) / 2) x 0.85 / 0.35 x 1,000</w:t>
            </w:r>
          </w:p>
        </w:tc>
        <w:tc>
          <w:tcPr>
            <w:tcW w:type="dxa" w:w="1405"/>
            <w:tcMar>
              <w:top w:type="dxa" w:w="50"/>
              <w:left w:type="dxa" w:w="80"/>
              <w:bottom w:type="dxa" w:w="50"/>
              <w:right w:type="dxa" w:w="80"/>
            </w:tcMar>
          </w:tcPr>
          <w:p>
            <w:r>
              <w:rPr>
                <w:rFonts w:ascii="Arial" w:cs="Arial" w:eastAsia="Arial" w:hAnsi="Arial"/>
                <w:sz w:val="15"/>
                <w:szCs w:val="15"/>
              </w:rPr>
              <w:t xml:space="preserve">4,057</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0.55 x 0.45 x 9.0 x 0.30 x 0.85 / 0.35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1,623</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4,057 x 0.55 (probability) x 0.70 (impact)</w:t>
            </w:r>
          </w:p>
        </w:tc>
        <w:tc>
          <w:tcPr>
            <w:tcW w:type="dxa" w:w="1405"/>
            <w:tcMar>
              <w:top w:type="dxa" w:w="50"/>
              <w:left w:type="dxa" w:w="80"/>
              <w:bottom w:type="dxa" w:w="50"/>
              <w:right w:type="dxa" w:w="80"/>
            </w:tcMar>
          </w:tcPr>
          <w:p>
            <w:r>
              <w:rPr>
                <w:rFonts w:ascii="Arial" w:cs="Arial" w:eastAsia="Arial" w:hAnsi="Arial"/>
                <w:sz w:val="15"/>
                <w:szCs w:val="15"/>
              </w:rPr>
              <w:t xml:space="preserve">1,562</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4,057 - 1,562</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2,495</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2,495 / 1,623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1.54</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(4,057 - 2,495) / $383,889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4.07</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Third-party risk programme and contract clauses (I10); vendor access only through PAM with MFA and recording (I01/I02); MDR monitoring of vendor sessions (I03); joint IR (I11). Residual largely outside MediBec's control - consider contractual and insurance transfer.</w:t>
      </w:r>
    </w:p>
    <w:p>
      <w:pPr>
        <w:spacing w:after="120"/>
      </w:pPr>
      <w:r>
        <w:rPr>
          <w:rFonts w:ascii="Arial" w:cs="Arial" w:eastAsia="Arial" w:hAnsi="Arial"/>
        </w:rPr>
        <w:t xml:space="preserve">Initiatives: I01 Phishing-resistant MFA and conditional access; I02 Privileged access and service-account management (PAM); I03 24/7 managed detection and response with centralized logging; I10 Third-party cyber risk management; I11 Incident response and clinical continuity readiness. Allocated Year-1 cost $383,889 (share of shared initiatives). Horizon: 2-12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(1.54).</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2"/>
        <w:pageBreakBefore/>
      </w:pPr>
      <w:r>
        <w:rPr>
          <w:rFonts w:ascii="Arial" w:cs="Arial" w:eastAsia="Arial" w:hAnsi="Arial"/>
        </w:rPr>
        <w:t xml:space="preserve">S10 - Manipulation of patient, medication or billing records undermining clinical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DEEAF6" w:color="auto" w:val="clear"/>
            <w:tcMar>
              <w:top w:type="dxa" w:w="100"/>
              <w:left w:type="dxa" w:w="140"/>
              <w:bottom w:type="dxa" w:w="100"/>
              <w:right w:type="dxa" w:w="140"/>
            </w:tcMar>
          </w:tcPr>
          <w:p>
            <w:r>
              <w:rPr>
                <w:rFonts w:ascii="Arial" w:cs="Arial" w:eastAsia="Arial" w:hAnsi="Arial"/>
                <w:b/>
                <w:bCs/>
                <w:sz w:val="19"/>
                <w:szCs w:val="19"/>
              </w:rPr>
              <w:t xml:space="preserve">Scenario statement.</w:t>
            </w:r>
            <w:r>
              <w:rPr>
                <w:rFonts w:ascii="Arial" w:cs="Arial" w:eastAsia="Arial" w:hAnsi="Arial"/>
                <w:sz w:val="19"/>
                <w:szCs w:val="19"/>
              </w:rPr>
              <w:t xml:space="preserve"> An attacker with compromised clinical credentials, or a malicious insider, alters medication, allergy, laboratory or billing records in the EHR or pharmacy system without detection, leading to incorrect clinical decisions, patient harm and loss of confidence in the record.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Element</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Description</w:t>
            </w:r>
          </w:p>
        </w:tc>
      </w:tr>
      <w:tr>
        <w:tc>
          <w:tcPr>
            <w:tcW w:type="dxa" w:w="2059"/>
            <w:tcMar>
              <w:top w:type="dxa" w:w="50"/>
              <w:left w:type="dxa" w:w="80"/>
              <w:bottom w:type="dxa" w:w="50"/>
              <w:right w:type="dxa" w:w="80"/>
            </w:tcMar>
          </w:tcPr>
          <w:p>
            <w:r>
              <w:rPr>
                <w:rFonts w:ascii="Arial" w:cs="Arial" w:eastAsia="Arial" w:hAnsi="Arial"/>
                <w:sz w:val="16"/>
                <w:szCs w:val="16"/>
              </w:rPr>
              <w:t xml:space="preserve">Library reference</w:t>
            </w:r>
          </w:p>
        </w:tc>
        <w:tc>
          <w:tcPr>
            <w:tcW w:type="dxa" w:w="7301"/>
            <w:tcMar>
              <w:top w:type="dxa" w:w="50"/>
              <w:left w:type="dxa" w:w="80"/>
              <w:bottom w:type="dxa" w:w="50"/>
              <w:right w:type="dxa" w:w="80"/>
            </w:tcMar>
          </w:tcPr>
          <w:p>
            <w:r>
              <w:rPr>
                <w:rFonts w:ascii="Arial" w:cs="Arial" w:eastAsia="Arial" w:hAnsi="Arial"/>
                <w:sz w:val="16"/>
                <w:szCs w:val="16"/>
              </w:rPr>
              <w:t xml:space="preserve">MED-CYR-13</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Stakeholders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Clinical Ops; Pharmacy lead; Laboratory lead; physicians; Privacy officer; CIO; Cybersecurity lead; patients; professional orders.</w:t>
            </w:r>
          </w:p>
        </w:tc>
      </w:tr>
      <w:tr>
        <w:tc>
          <w:tcPr>
            <w:tcW w:type="dxa" w:w="2059"/>
            <w:tcMar>
              <w:top w:type="dxa" w:w="50"/>
              <w:left w:type="dxa" w:w="80"/>
              <w:bottom w:type="dxa" w:w="50"/>
              <w:right w:type="dxa" w:w="80"/>
            </w:tcMar>
          </w:tcPr>
          <w:p>
            <w:r>
              <w:rPr>
                <w:rFonts w:ascii="Arial" w:cs="Arial" w:eastAsia="Arial" w:hAnsi="Arial"/>
                <w:sz w:val="16"/>
                <w:szCs w:val="16"/>
              </w:rPr>
              <w:t xml:space="preserve">Background</w:t>
            </w:r>
          </w:p>
        </w:tc>
        <w:tc>
          <w:tcPr>
            <w:tcW w:type="dxa" w:w="7301"/>
            <w:tcMar>
              <w:top w:type="dxa" w:w="50"/>
              <w:left w:type="dxa" w:w="80"/>
              <w:bottom w:type="dxa" w:w="50"/>
              <w:right w:type="dxa" w:w="80"/>
            </w:tcMar>
          </w:tcPr>
          <w:p>
            <w:r>
              <w:rPr>
                <w:rFonts w:ascii="Arial" w:cs="Arial" w:eastAsia="Arial" w:hAnsi="Arial"/>
                <w:sz w:val="16"/>
                <w:szCs w:val="16"/>
              </w:rPr>
              <w:t xml:space="preserve">Clinical decisions rely on EHR, lab and pharmacy data (E1). Integrity controls are listed among expected controls but are not evidenced (E8). The appetite statement allows no residual risk that creates credible immediate threat to patient care (E5).</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Threat source</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External attacker (extortion or sabotage) or malicious insider.</w:t>
            </w:r>
          </w:p>
        </w:tc>
      </w:tr>
      <w:tr>
        <w:tc>
          <w:tcPr>
            <w:tcW w:type="dxa" w:w="2059"/>
            <w:tcMar>
              <w:top w:type="dxa" w:w="50"/>
              <w:left w:type="dxa" w:w="80"/>
              <w:bottom w:type="dxa" w:w="50"/>
              <w:right w:type="dxa" w:w="80"/>
            </w:tcMar>
          </w:tcPr>
          <w:p>
            <w:r>
              <w:rPr>
                <w:rFonts w:ascii="Arial" w:cs="Arial" w:eastAsia="Arial" w:hAnsi="Arial"/>
                <w:sz w:val="16"/>
                <w:szCs w:val="16"/>
              </w:rPr>
              <w:t xml:space="preserve">Threat event</w:t>
            </w:r>
          </w:p>
        </w:tc>
        <w:tc>
          <w:tcPr>
            <w:tcW w:type="dxa" w:w="7301"/>
            <w:tcMar>
              <w:top w:type="dxa" w:w="50"/>
              <w:left w:type="dxa" w:w="80"/>
              <w:bottom w:type="dxa" w:w="50"/>
              <w:right w:type="dxa" w:w="80"/>
            </w:tcMar>
          </w:tcPr>
          <w:p>
            <w:r>
              <w:rPr>
                <w:rFonts w:ascii="Arial" w:cs="Arial" w:eastAsia="Arial" w:hAnsi="Arial"/>
                <w:sz w:val="16"/>
                <w:szCs w:val="16"/>
              </w:rPr>
              <w:t xml:space="preserve">Unauthorized modification of clinical or billing records.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Vulnerabilities / conditions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No integrity monitoring or reconciliation evidenced (E8)</w:t>
            </w:r>
          </w:p>
          <w:p>
            <w:r>
              <w:rPr>
                <w:rFonts w:ascii="Arial" w:cs="Arial" w:eastAsia="Arial" w:hAnsi="Arial"/>
                <w:sz w:val="16"/>
                <w:szCs w:val="16"/>
              </w:rPr>
              <w:t xml:space="preserve">Broad write privileges (Analyst assumption)</w:t>
            </w:r>
          </w:p>
          <w:p>
            <w:r>
              <w:rPr>
                <w:rFonts w:ascii="Arial" w:cs="Arial" w:eastAsia="Arial" w:hAnsi="Arial"/>
                <w:sz w:val="16"/>
                <w:szCs w:val="16"/>
              </w:rPr>
              <w:t xml:space="preserve">Audit trail review not evidenced</w:t>
            </w:r>
          </w:p>
          <w:p>
            <w:r>
              <w:rPr>
                <w:rFonts w:ascii="Arial" w:cs="Arial" w:eastAsia="Arial" w:hAnsi="Arial"/>
                <w:sz w:val="16"/>
                <w:szCs w:val="16"/>
              </w:rPr>
              <w:t xml:space="preserve">Post-restore integrity verification absent</w:t>
            </w:r>
          </w:p>
        </w:tc>
      </w:tr>
      <w:tr>
        <w:tc>
          <w:tcPr>
            <w:tcW w:type="dxa" w:w="2059"/>
            <w:tcMar>
              <w:top w:type="dxa" w:w="50"/>
              <w:left w:type="dxa" w:w="80"/>
              <w:bottom w:type="dxa" w:w="50"/>
              <w:right w:type="dxa" w:w="80"/>
            </w:tcMar>
          </w:tcPr>
          <w:p>
            <w:r>
              <w:rPr>
                <w:rFonts w:ascii="Arial" w:cs="Arial" w:eastAsia="Arial" w:hAnsi="Arial"/>
                <w:sz w:val="16"/>
                <w:szCs w:val="16"/>
              </w:rPr>
              <w:t xml:space="preserve">Assets at risk</w:t>
            </w:r>
          </w:p>
        </w:tc>
        <w:tc>
          <w:tcPr>
            <w:tcW w:type="dxa" w:w="7301"/>
            <w:tcMar>
              <w:top w:type="dxa" w:w="50"/>
              <w:left w:type="dxa" w:w="80"/>
              <w:bottom w:type="dxa" w:w="50"/>
              <w:right w:type="dxa" w:w="80"/>
            </w:tcMar>
          </w:tcPr>
          <w:p>
            <w:r>
              <w:rPr>
                <w:rFonts w:ascii="Arial" w:cs="Arial" w:eastAsia="Arial" w:hAnsi="Arial"/>
                <w:sz w:val="16"/>
                <w:szCs w:val="16"/>
              </w:rPr>
              <w:t xml:space="preserve">CJ1 EHR; CJ2 pharmacy and laboratory systems; CJ4 billing.</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Processes affected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Prescribing, dispensing, diagnosis, billing.</w:t>
            </w:r>
          </w:p>
        </w:tc>
      </w:tr>
      <w:tr>
        <w:tc>
          <w:tcPr>
            <w:tcW w:type="dxa" w:w="2059"/>
            <w:tcMar>
              <w:top w:type="dxa" w:w="50"/>
              <w:left w:type="dxa" w:w="80"/>
              <w:bottom w:type="dxa" w:w="50"/>
              <w:right w:type="dxa" w:w="80"/>
            </w:tcMar>
          </w:tcPr>
          <w:p>
            <w:r>
              <w:rPr>
                <w:rFonts w:ascii="Arial" w:cs="Arial" w:eastAsia="Arial" w:hAnsi="Arial"/>
                <w:sz w:val="16"/>
                <w:szCs w:val="16"/>
              </w:rPr>
              <w:t xml:space="preserve">Existing controls (evidenced)</w:t>
            </w:r>
          </w:p>
        </w:tc>
        <w:tc>
          <w:tcPr>
            <w:tcW w:type="dxa" w:w="7301"/>
            <w:tcMar>
              <w:top w:type="dxa" w:w="50"/>
              <w:left w:type="dxa" w:w="80"/>
              <w:bottom w:type="dxa" w:w="50"/>
              <w:right w:type="dxa" w:w="80"/>
            </w:tcMar>
          </w:tcPr>
          <w:p>
            <w:r>
              <w:rPr>
                <w:rFonts w:ascii="Arial" w:cs="Arial" w:eastAsia="Arial" w:hAnsi="Arial"/>
                <w:sz w:val="16"/>
                <w:szCs w:val="16"/>
              </w:rPr>
              <w:t xml:space="preserve">EHR audit logging (E6)</w:t>
            </w:r>
          </w:p>
          <w:p>
            <w:r>
              <w:rPr>
                <w:rFonts w:ascii="Arial" w:cs="Arial" w:eastAsia="Arial" w:hAnsi="Arial"/>
                <w:sz w:val="16"/>
                <w:szCs w:val="16"/>
              </w:rPr>
              <w:t xml:space="preserve">Encrypted storage (E2 - no integrity protection)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Risk owner (proposed)</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Clinical Ops (CMO)</w:t>
            </w:r>
          </w:p>
        </w:tc>
      </w:tr>
    </w:tbl>
    <w:p>
      <w:pPr>
        <w:pStyle w:val="Heading3"/>
      </w:pPr>
      <w:r>
        <w:rPr>
          <w:rFonts w:ascii="Arial" w:cs="Arial" w:eastAsia="Arial" w:hAnsi="Arial"/>
        </w:rPr>
        <w:t xml:space="preserve">Narrative and event sequence</w:t>
      </w:r>
    </w:p>
    <w:p>
      <w:pPr>
        <w:spacing w:after="120"/>
      </w:pPr>
      <w:r>
        <w:rPr>
          <w:rFonts w:ascii="Arial" w:cs="Arial" w:eastAsia="Arial" w:hAnsi="Arial"/>
        </w:rPr>
        <w:t xml:space="preserve">Following a credential compromise, an extortion group alters allergy entries for a sample of patients and then demands payment to reveal which records were changed. MediBec must verify thousands of records manually.</w:t>
      </w:r>
    </w:p>
    <w:p>
      <w:pPr>
        <w:pStyle w:val="ListParagraph"/>
        <w:numPr>
          <w:ilvl w:val="0"/>
          <w:numId w:val="2"/>
        </w:numPr>
        <w:spacing w:after="60"/>
      </w:pPr>
      <w:r>
        <w:rPr>
          <w:rFonts w:ascii="Arial" w:cs="Arial" w:eastAsia="Arial" w:hAnsi="Arial"/>
        </w:rPr>
        <w:t xml:space="preserve">Initial access - compromised clinical account</w:t>
      </w:r>
    </w:p>
    <w:p>
      <w:pPr>
        <w:pStyle w:val="ListParagraph"/>
        <w:numPr>
          <w:ilvl w:val="0"/>
          <w:numId w:val="2"/>
        </w:numPr>
        <w:spacing w:after="60"/>
      </w:pPr>
      <w:r>
        <w:rPr>
          <w:rFonts w:ascii="Arial" w:cs="Arial" w:eastAsia="Arial" w:hAnsi="Arial"/>
        </w:rPr>
        <w:t xml:space="preserve">Manipulation - targeted record changes</w:t>
      </w:r>
    </w:p>
    <w:p>
      <w:pPr>
        <w:pStyle w:val="ListParagraph"/>
        <w:numPr>
          <w:ilvl w:val="0"/>
          <w:numId w:val="2"/>
        </w:numPr>
        <w:spacing w:after="60"/>
      </w:pPr>
      <w:r>
        <w:rPr>
          <w:rFonts w:ascii="Arial" w:cs="Arial" w:eastAsia="Arial" w:hAnsi="Arial"/>
        </w:rPr>
        <w:t xml:space="preserve">Detection - clinician notices inconsistency or extortion note</w:t>
      </w:r>
    </w:p>
    <w:p>
      <w:pPr>
        <w:pStyle w:val="ListParagraph"/>
        <w:numPr>
          <w:ilvl w:val="0"/>
          <w:numId w:val="2"/>
        </w:numPr>
        <w:spacing w:after="60"/>
      </w:pPr>
      <w:r>
        <w:rPr>
          <w:rFonts w:ascii="Arial" w:cs="Arial" w:eastAsia="Arial" w:hAnsi="Arial"/>
        </w:rPr>
        <w:t xml:space="preserve">Response - verification against backups</w:t>
      </w:r>
    </w:p>
    <w:p>
      <w:pPr>
        <w:pStyle w:val="ListParagraph"/>
        <w:numPr>
          <w:ilvl w:val="0"/>
          <w:numId w:val="2"/>
        </w:numPr>
        <w:spacing w:after="60"/>
      </w:pPr>
      <w:r>
        <w:rPr>
          <w:rFonts w:ascii="Arial" w:cs="Arial" w:eastAsia="Arial" w:hAnsi="Arial"/>
        </w:rPr>
        <w:t xml:space="preserve">Business impact - clinical safety review, loss of trust in record</w:t>
      </w:r>
    </w:p>
    <w:p>
      <w:pPr>
        <w:pStyle w:val="Heading3"/>
      </w:pPr>
      <w:r>
        <w:rPr>
          <w:rFonts w:ascii="Arial" w:cs="Arial" w:eastAsia="Arial" w:hAnsi="Arial"/>
        </w:rPr>
        <w:t xml:space="preserve">Consequences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Dimension</w:t>
            </w:r>
          </w:p>
        </w:tc>
        <w:tc>
          <w:tcPr>
            <w:tcW w:type="dxa" w:w="7301"/>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Consequence</w:t>
            </w:r>
          </w:p>
        </w:tc>
      </w:tr>
      <w:tr>
        <w:tc>
          <w:tcPr>
            <w:tcW w:type="dxa" w:w="2059"/>
            <w:tcMar>
              <w:top w:type="dxa" w:w="50"/>
              <w:left w:type="dxa" w:w="80"/>
              <w:bottom w:type="dxa" w:w="50"/>
              <w:right w:type="dxa" w:w="80"/>
            </w:tcMar>
          </w:tcPr>
          <w:p>
            <w:r>
              <w:rPr>
                <w:rFonts w:ascii="Arial" w:cs="Arial" w:eastAsia="Arial" w:hAnsi="Arial"/>
                <w:sz w:val="16"/>
                <w:szCs w:val="16"/>
              </w:rPr>
              <w:t xml:space="preserve">Confidentiality/privacy</w:t>
            </w:r>
          </w:p>
        </w:tc>
        <w:tc>
          <w:tcPr>
            <w:tcW w:type="dxa" w:w="7301"/>
            <w:tcMar>
              <w:top w:type="dxa" w:w="50"/>
              <w:left w:type="dxa" w:w="80"/>
              <w:bottom w:type="dxa" w:w="50"/>
              <w:right w:type="dxa" w:w="80"/>
            </w:tcMar>
          </w:tcPr>
          <w:p>
            <w:r>
              <w:rPr>
                <w:rFonts w:ascii="Arial" w:cs="Arial" w:eastAsia="Arial" w:hAnsi="Arial"/>
                <w:sz w:val="16"/>
                <w:szCs w:val="16"/>
              </w:rPr>
              <w:t xml:space="preserve">Moderate.</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Integrity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Severe - trust in clinical record.</w:t>
            </w:r>
          </w:p>
        </w:tc>
      </w:tr>
      <w:tr>
        <w:tc>
          <w:tcPr>
            <w:tcW w:type="dxa" w:w="2059"/>
            <w:tcMar>
              <w:top w:type="dxa" w:w="50"/>
              <w:left w:type="dxa" w:w="80"/>
              <w:bottom w:type="dxa" w:w="50"/>
              <w:right w:type="dxa" w:w="80"/>
            </w:tcMar>
          </w:tcPr>
          <w:p>
            <w:r>
              <w:rPr>
                <w:rFonts w:ascii="Arial" w:cs="Arial" w:eastAsia="Arial" w:hAnsi="Arial"/>
                <w:sz w:val="16"/>
                <w:szCs w:val="16"/>
              </w:rPr>
              <w:t xml:space="preserve">Availability</w:t>
            </w:r>
          </w:p>
        </w:tc>
        <w:tc>
          <w:tcPr>
            <w:tcW w:type="dxa" w:w="7301"/>
            <w:tcMar>
              <w:top w:type="dxa" w:w="50"/>
              <w:left w:type="dxa" w:w="80"/>
              <w:bottom w:type="dxa" w:w="50"/>
              <w:right w:type="dxa" w:w="80"/>
            </w:tcMar>
          </w:tcPr>
          <w:p>
            <w:r>
              <w:rPr>
                <w:rFonts w:ascii="Arial" w:cs="Arial" w:eastAsia="Arial" w:hAnsi="Arial"/>
                <w:sz w:val="16"/>
                <w:szCs w:val="16"/>
              </w:rPr>
              <w:t xml:space="preserve">EHR in restricted mode during verification.</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Operations</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Manual verification workload.</w:t>
            </w:r>
          </w:p>
        </w:tc>
      </w:tr>
      <w:tr>
        <w:tc>
          <w:tcPr>
            <w:tcW w:type="dxa" w:w="2059"/>
            <w:tcMar>
              <w:top w:type="dxa" w:w="50"/>
              <w:left w:type="dxa" w:w="80"/>
              <w:bottom w:type="dxa" w:w="50"/>
              <w:right w:type="dxa" w:w="80"/>
            </w:tcMar>
          </w:tcPr>
          <w:p>
            <w:r>
              <w:rPr>
                <w:rFonts w:ascii="Arial" w:cs="Arial" w:eastAsia="Arial" w:hAnsi="Arial"/>
                <w:sz w:val="16"/>
                <w:szCs w:val="16"/>
              </w:rPr>
              <w:t xml:space="preserve">Financial</w:t>
            </w:r>
          </w:p>
        </w:tc>
        <w:tc>
          <w:tcPr>
            <w:tcW w:type="dxa" w:w="7301"/>
            <w:tcMar>
              <w:top w:type="dxa" w:w="50"/>
              <w:left w:type="dxa" w:w="80"/>
              <w:bottom w:type="dxa" w:w="50"/>
              <w:right w:type="dxa" w:w="80"/>
            </w:tcMar>
          </w:tcPr>
          <w:p>
            <w:r>
              <w:rPr>
                <w:rFonts w:ascii="Arial" w:cs="Arial" w:eastAsia="Arial" w:hAnsi="Arial"/>
                <w:sz w:val="16"/>
                <w:szCs w:val="16"/>
              </w:rPr>
              <w:t xml:space="preserve">Verification, legal costs.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Regulatory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Professional and privacy obligations.</w:t>
            </w:r>
          </w:p>
        </w:tc>
      </w:tr>
      <w:tr>
        <w:tc>
          <w:tcPr>
            <w:tcW w:type="dxa" w:w="2059"/>
            <w:tcMar>
              <w:top w:type="dxa" w:w="50"/>
              <w:left w:type="dxa" w:w="80"/>
              <w:bottom w:type="dxa" w:w="50"/>
              <w:right w:type="dxa" w:w="80"/>
            </w:tcMar>
          </w:tcPr>
          <w:p>
            <w:r>
              <w:rPr>
                <w:rFonts w:ascii="Arial" w:cs="Arial" w:eastAsia="Arial" w:hAnsi="Arial"/>
                <w:sz w:val="16"/>
                <w:szCs w:val="16"/>
              </w:rPr>
              <w:t xml:space="preserve">Reputation</w:t>
            </w:r>
          </w:p>
        </w:tc>
        <w:tc>
          <w:tcPr>
            <w:tcW w:type="dxa" w:w="7301"/>
            <w:tcMar>
              <w:top w:type="dxa" w:w="50"/>
              <w:left w:type="dxa" w:w="80"/>
              <w:bottom w:type="dxa" w:w="50"/>
              <w:right w:type="dxa" w:w="80"/>
            </w:tcMar>
          </w:tcPr>
          <w:p>
            <w:r>
              <w:rPr>
                <w:rFonts w:ascii="Arial" w:cs="Arial" w:eastAsia="Arial" w:hAnsi="Arial"/>
                <w:sz w:val="16"/>
                <w:szCs w:val="16"/>
              </w:rPr>
              <w:t xml:space="preserve">Severe if harm occurs.</w:t>
            </w:r>
          </w:p>
        </w:tc>
      </w:tr>
      <w:tr>
        <w:tc>
          <w:tcPr>
            <w:tcW w:type="dxa" w:w="2059"/>
            <w:shd w:fill="F2F2F2" w:color="auto" w:val="clear"/>
            <w:tcMar>
              <w:top w:type="dxa" w:w="50"/>
              <w:left w:type="dxa" w:w="80"/>
              <w:bottom w:type="dxa" w:w="50"/>
              <w:right w:type="dxa" w:w="80"/>
            </w:tcMar>
          </w:tcPr>
          <w:p>
            <w:r>
              <w:rPr>
                <w:rFonts w:ascii="Arial" w:cs="Arial" w:eastAsia="Arial" w:hAnsi="Arial"/>
                <w:sz w:val="16"/>
                <w:szCs w:val="16"/>
              </w:rPr>
              <w:t xml:space="preserve">Safety</w:t>
            </w:r>
          </w:p>
        </w:tc>
        <w:tc>
          <w:tcPr>
            <w:tcW w:type="dxa" w:w="7301"/>
            <w:shd w:fill="F2F2F2" w:color="auto" w:val="clear"/>
            <w:tcMar>
              <w:top w:type="dxa" w:w="50"/>
              <w:left w:type="dxa" w:w="80"/>
              <w:bottom w:type="dxa" w:w="50"/>
              <w:right w:type="dxa" w:w="80"/>
            </w:tcMar>
          </w:tcPr>
          <w:p>
            <w:r>
              <w:rPr>
                <w:rFonts w:ascii="Arial" w:cs="Arial" w:eastAsia="Arial" w:hAnsi="Arial"/>
                <w:sz w:val="16"/>
                <w:szCs w:val="16"/>
              </w:rPr>
              <w:t xml:space="preserve">Direct - wrong medication or diagnosis.</w:t>
            </w:r>
          </w:p>
        </w:tc>
      </w:tr>
    </w:tbl>
    <w:p>
      <w:pPr>
        <w:pStyle w:val="Heading3"/>
      </w:pPr>
      <w:r>
        <w:rPr>
          <w:rFonts w:ascii="Arial" w:cs="Arial" w:eastAsia="Arial" w:hAnsi="Arial"/>
        </w:rPr>
        <w:t xml:space="preserve">Quantitative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55"/>
        <w:gridCol w:w="1123"/>
        <w:gridCol w:w="4024"/>
        <w:gridCol w:w="842"/>
        <w:gridCol w:w="1032"/>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Parameter</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Value</w:t>
            </w:r>
          </w:p>
        </w:tc>
        <w:tc>
          <w:tcPr>
            <w:tcW w:type="dxa" w:w="112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Reading</w:t>
            </w:r>
          </w:p>
        </w:tc>
        <w:tc>
          <w:tcPr>
            <w:tcW w:type="dxa" w:w="402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Rationale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Evidence</w:t>
            </w:r>
          </w:p>
        </w:tc>
        <w:tc>
          <w:tcPr>
            <w:tcW w:type="dxa" w:w="103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Confidence</w:t>
            </w:r>
          </w:p>
        </w:tc>
      </w:tr>
      <w:tr>
        <w:tc>
          <w:tcPr>
            <w:tcW w:type="dxa" w:w="1684"/>
            <w:tcMar>
              <w:top w:type="dxa" w:w="50"/>
              <w:left w:type="dxa" w:w="80"/>
              <w:bottom w:type="dxa" w:w="50"/>
              <w:right w:type="dxa" w:w="80"/>
            </w:tcMar>
          </w:tcPr>
          <w:p>
            <w:r>
              <w:rPr>
                <w:rFonts w:ascii="Arial" w:cs="Arial" w:eastAsia="Arial" w:hAnsi="Arial"/>
                <w:sz w:val="15"/>
                <w:szCs w:val="15"/>
              </w:rPr>
              <w:t xml:space="preserve">Pb(A) threat presence</w:t>
            </w:r>
          </w:p>
        </w:tc>
        <w:tc>
          <w:tcPr>
            <w:tcW w:type="dxa" w:w="655"/>
            <w:tcMar>
              <w:top w:type="dxa" w:w="50"/>
              <w:left w:type="dxa" w:w="80"/>
              <w:bottom w:type="dxa" w:w="50"/>
              <w:right w:type="dxa" w:w="80"/>
            </w:tcMar>
          </w:tcPr>
          <w:p>
            <w:r>
              <w:rPr>
                <w:rFonts w:ascii="Arial" w:cs="Arial" w:eastAsia="Arial" w:hAnsi="Arial"/>
                <w:sz w:val="15"/>
                <w:szCs w:val="15"/>
              </w:rPr>
              <w:t xml:space="preserve">0.30</w:t>
            </w:r>
          </w:p>
        </w:tc>
        <w:tc>
          <w:tcPr>
            <w:tcW w:type="dxa" w:w="1123"/>
            <w:tcMar>
              <w:top w:type="dxa" w:w="50"/>
              <w:left w:type="dxa" w:w="80"/>
              <w:bottom w:type="dxa" w:w="50"/>
              <w:right w:type="dxa" w:w="80"/>
            </w:tcMar>
          </w:tcPr>
          <w:p>
            <w:r>
              <w:rPr>
                <w:rFonts w:ascii="Arial" w:cs="Arial" w:eastAsia="Arial" w:hAnsi="Arial"/>
                <w:sz w:val="15"/>
                <w:szCs w:val="15"/>
              </w:rPr>
              <w:t xml:space="preserve">Unlikely-plausible</w:t>
            </w:r>
          </w:p>
        </w:tc>
        <w:tc>
          <w:tcPr>
            <w:tcW w:type="dxa" w:w="4024"/>
            <w:tcMar>
              <w:top w:type="dxa" w:w="50"/>
              <w:left w:type="dxa" w:w="80"/>
              <w:bottom w:type="dxa" w:w="50"/>
              <w:right w:type="dxa" w:w="80"/>
            </w:tcMar>
          </w:tcPr>
          <w:p>
            <w:r>
              <w:rPr>
                <w:rFonts w:ascii="Arial" w:cs="Arial" w:eastAsia="Arial" w:hAnsi="Arial"/>
                <w:sz w:val="15"/>
                <w:szCs w:val="15"/>
              </w:rPr>
              <w:t xml:space="preserve">Integrity attacks are rarer than theft or encryption.</w:t>
            </w:r>
          </w:p>
        </w:tc>
        <w:tc>
          <w:tcPr>
            <w:tcW w:type="dxa" w:w="842"/>
            <w:tcMar>
              <w:top w:type="dxa" w:w="50"/>
              <w:left w:type="dxa" w:w="80"/>
              <w:bottom w:type="dxa" w:w="50"/>
              <w:right w:type="dxa" w:w="80"/>
            </w:tcMar>
          </w:tcPr>
          <w:p>
            <w:r>
              <w:rPr>
                <w:rFonts w:ascii="Arial" w:cs="Arial" w:eastAsia="Arial" w:hAnsi="Arial"/>
                <w:sz w:val="15"/>
                <w:szCs w:val="15"/>
              </w:rPr>
              <w:t xml:space="preserve">E4</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Pb(psi,A) exploitation</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0.40</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Requires write access; monitoring absent.</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E8</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Low</w:t>
            </w:r>
          </w:p>
        </w:tc>
      </w:tr>
      <w:tr>
        <w:tc>
          <w:tcPr>
            <w:tcW w:type="dxa" w:w="1684"/>
            <w:tcMar>
              <w:top w:type="dxa" w:w="50"/>
              <w:left w:type="dxa" w:w="80"/>
              <w:bottom w:type="dxa" w:w="50"/>
              <w:right w:type="dxa" w:w="80"/>
            </w:tcMar>
          </w:tcPr>
          <w:p>
            <w:r>
              <w:rPr>
                <w:rFonts w:ascii="Arial" w:cs="Arial" w:eastAsia="Arial" w:hAnsi="Arial"/>
                <w:sz w:val="15"/>
                <w:szCs w:val="15"/>
              </w:rPr>
              <w:t xml:space="preserve">de expected damage</w:t>
            </w:r>
          </w:p>
        </w:tc>
        <w:tc>
          <w:tcPr>
            <w:tcW w:type="dxa" w:w="655"/>
            <w:tcMar>
              <w:top w:type="dxa" w:w="50"/>
              <w:left w:type="dxa" w:w="80"/>
              <w:bottom w:type="dxa" w:w="50"/>
              <w:right w:type="dxa" w:w="80"/>
            </w:tcMar>
          </w:tcPr>
          <w:p>
            <w:r>
              <w:rPr>
                <w:rFonts w:ascii="Arial" w:cs="Arial" w:eastAsia="Arial" w:hAnsi="Arial"/>
                <w:sz w:val="15"/>
                <w:szCs w:val="15"/>
              </w:rPr>
              <w:t xml:space="preserve">0.55</w:t>
            </w:r>
          </w:p>
        </w:tc>
        <w:tc>
          <w:tcPr>
            <w:tcW w:type="dxa" w:w="1123"/>
            <w:tcMar>
              <w:top w:type="dxa" w:w="50"/>
              <w:left w:type="dxa" w:w="80"/>
              <w:bottom w:type="dxa" w:w="50"/>
              <w:right w:type="dxa" w:w="80"/>
            </w:tcMar>
          </w:tcPr>
          <w:p>
            <w:r>
              <w:rPr>
                <w:rFonts w:ascii="Arial" w:cs="Arial" w:eastAsia="Arial" w:hAnsi="Arial"/>
                <w:sz w:val="15"/>
                <w:szCs w:val="15"/>
              </w:rPr>
              <w:t xml:space="preserve">Material</w:t>
            </w:r>
          </w:p>
        </w:tc>
        <w:tc>
          <w:tcPr>
            <w:tcW w:type="dxa" w:w="4024"/>
            <w:tcMar>
              <w:top w:type="dxa" w:w="50"/>
              <w:left w:type="dxa" w:w="80"/>
              <w:bottom w:type="dxa" w:w="50"/>
              <w:right w:type="dxa" w:w="80"/>
            </w:tcMar>
          </w:tcPr>
          <w:p>
            <w:r>
              <w:rPr>
                <w:rFonts w:ascii="Arial" w:cs="Arial" w:eastAsia="Arial" w:hAnsi="Arial"/>
                <w:sz w:val="15"/>
                <w:szCs w:val="15"/>
              </w:rPr>
              <w:t xml:space="preserve">Limited record set altered and detected.</w:t>
            </w:r>
          </w:p>
        </w:tc>
        <w:tc>
          <w:tcPr>
            <w:tcW w:type="dxa" w:w="842"/>
            <w:tcMar>
              <w:top w:type="dxa" w:w="50"/>
              <w:left w:type="dxa" w:w="80"/>
              <w:bottom w:type="dxa" w:w="50"/>
              <w:right w:type="dxa" w:w="80"/>
            </w:tcMar>
          </w:tcPr>
          <w:p>
            <w:r>
              <w:rPr>
                <w:rFonts w:ascii="Arial" w:cs="Arial" w:eastAsia="Arial" w:hAnsi="Arial"/>
                <w:sz w:val="15"/>
                <w:szCs w:val="15"/>
              </w:rPr>
              <w:t xml:space="preserve">E1</w:t>
            </w:r>
          </w:p>
        </w:tc>
        <w:tc>
          <w:tcPr>
            <w:tcW w:type="dxa" w:w="1032"/>
            <w:tcMar>
              <w:top w:type="dxa" w:w="50"/>
              <w:left w:type="dxa" w:w="80"/>
              <w:bottom w:type="dxa" w:w="50"/>
              <w:right w:type="dxa" w:w="80"/>
            </w:tcMar>
          </w:tcPr>
          <w:p>
            <w:r>
              <w:rPr>
                <w:rFonts w:ascii="Arial" w:cs="Arial" w:eastAsia="Arial" w:hAnsi="Arial"/>
                <w:sz w:val="15"/>
                <w:szCs w:val="15"/>
              </w:rPr>
              <w:t xml:space="preserve">Medium</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dm maximum damage</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Extreme</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Patient harm from undetected alteration.</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E5</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Medium</w:t>
            </w:r>
          </w:p>
        </w:tc>
      </w:tr>
      <w:tr>
        <w:tc>
          <w:tcPr>
            <w:tcW w:type="dxa" w:w="1684"/>
            <w:tcMar>
              <w:top w:type="dxa" w:w="50"/>
              <w:left w:type="dxa" w:w="80"/>
              <w:bottom w:type="dxa" w:w="50"/>
              <w:right w:type="dxa" w:w="80"/>
            </w:tcMar>
          </w:tcPr>
          <w:p>
            <w:r>
              <w:rPr>
                <w:rFonts w:ascii="Arial" w:cs="Arial" w:eastAsia="Arial" w:hAnsi="Arial"/>
                <w:sz w:val="15"/>
                <w:szCs w:val="15"/>
              </w:rPr>
              <w:t xml:space="preserve">theta resilience</w:t>
            </w:r>
          </w:p>
        </w:tc>
        <w:tc>
          <w:tcPr>
            <w:tcW w:type="dxa" w:w="655"/>
            <w:tcMar>
              <w:top w:type="dxa" w:w="50"/>
              <w:left w:type="dxa" w:w="80"/>
              <w:bottom w:type="dxa" w:w="50"/>
              <w:right w:type="dxa" w:w="80"/>
            </w:tcMar>
          </w:tcPr>
          <w:p>
            <w:r>
              <w:rPr>
                <w:rFonts w:ascii="Arial" w:cs="Arial" w:eastAsia="Arial" w:hAnsi="Arial"/>
                <w:sz w:val="15"/>
                <w:szCs w:val="15"/>
              </w:rPr>
              <w:t xml:space="preserve">0.40</w:t>
            </w:r>
          </w:p>
        </w:tc>
        <w:tc>
          <w:tcPr>
            <w:tcW w:type="dxa" w:w="1123"/>
            <w:tcMar>
              <w:top w:type="dxa" w:w="50"/>
              <w:left w:type="dxa" w:w="80"/>
              <w:bottom w:type="dxa" w:w="50"/>
              <w:right w:type="dxa" w:w="80"/>
            </w:tcMar>
          </w:tcPr>
          <w:p>
            <w:r>
              <w:rPr>
                <w:rFonts w:ascii="Arial" w:cs="Arial" w:eastAsia="Arial" w:hAnsi="Arial"/>
                <w:sz w:val="15"/>
                <w:szCs w:val="15"/>
              </w:rPr>
              <w:t xml:space="preserve">Limited</w:t>
            </w:r>
          </w:p>
        </w:tc>
        <w:tc>
          <w:tcPr>
            <w:tcW w:type="dxa" w:w="4024"/>
            <w:tcMar>
              <w:top w:type="dxa" w:w="50"/>
              <w:left w:type="dxa" w:w="80"/>
              <w:bottom w:type="dxa" w:w="50"/>
              <w:right w:type="dxa" w:w="80"/>
            </w:tcMar>
          </w:tcPr>
          <w:p>
            <w:r>
              <w:rPr>
                <w:rFonts w:ascii="Arial" w:cs="Arial" w:eastAsia="Arial" w:hAnsi="Arial"/>
                <w:sz w:val="15"/>
                <w:szCs w:val="15"/>
              </w:rPr>
              <w:t xml:space="preserve">Backups exist but integrity verification absent.</w:t>
            </w:r>
          </w:p>
        </w:tc>
        <w:tc>
          <w:tcPr>
            <w:tcW w:type="dxa" w:w="842"/>
            <w:tcMar>
              <w:top w:type="dxa" w:w="50"/>
              <w:left w:type="dxa" w:w="80"/>
              <w:bottom w:type="dxa" w:w="50"/>
              <w:right w:type="dxa" w:w="80"/>
            </w:tcMar>
          </w:tcPr>
          <w:p>
            <w:r>
              <w:rPr>
                <w:rFonts w:ascii="Arial" w:cs="Arial" w:eastAsia="Arial" w:hAnsi="Arial"/>
                <w:sz w:val="15"/>
                <w:szCs w:val="15"/>
              </w:rPr>
              <w:t xml:space="preserve">E2</w:t>
            </w:r>
          </w:p>
        </w:tc>
        <w:tc>
          <w:tcPr>
            <w:tcW w:type="dxa" w:w="1032"/>
            <w:tcMar>
              <w:top w:type="dxa" w:w="50"/>
              <w:left w:type="dxa" w:w="80"/>
              <w:bottom w:type="dxa" w:w="50"/>
              <w:right w:type="dxa" w:w="80"/>
            </w:tcMar>
          </w:tcPr>
          <w:p>
            <w:r>
              <w:rPr>
                <w:rFonts w:ascii="Arial" w:cs="Arial" w:eastAsia="Arial" w:hAnsi="Arial"/>
                <w:sz w:val="15"/>
                <w:szCs w:val="15"/>
              </w:rPr>
              <w:t xml:space="preserve">Low</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mu(E) criticality</w:t>
            </w:r>
          </w:p>
        </w:tc>
        <w:tc>
          <w:tcPr>
            <w:tcW w:type="dxa" w:w="655"/>
            <w:shd w:fill="F2F2F2" w:color="auto" w:val="clear"/>
            <w:tcMar>
              <w:top w:type="dxa" w:w="50"/>
              <w:left w:type="dxa" w:w="80"/>
              <w:bottom w:type="dxa" w:w="50"/>
              <w:right w:type="dxa" w:w="80"/>
            </w:tcMar>
          </w:tcPr>
          <w:p>
            <w:r>
              <w:rPr>
                <w:rFonts w:ascii="Arial" w:cs="Arial" w:eastAsia="Arial" w:hAnsi="Arial"/>
                <w:sz w:val="15"/>
                <w:szCs w:val="15"/>
              </w:rPr>
              <w:t xml:space="preserve">0.95</w:t>
            </w:r>
          </w:p>
        </w:tc>
        <w:tc>
          <w:tcPr>
            <w:tcW w:type="dxa" w:w="1123"/>
            <w:shd w:fill="F2F2F2" w:color="auto" w:val="clear"/>
            <w:tcMar>
              <w:top w:type="dxa" w:w="50"/>
              <w:left w:type="dxa" w:w="80"/>
              <w:bottom w:type="dxa" w:w="50"/>
              <w:right w:type="dxa" w:w="80"/>
            </w:tcMar>
          </w:tcPr>
          <w:p>
            <w:r>
              <w:rPr>
                <w:rFonts w:ascii="Arial" w:cs="Arial" w:eastAsia="Arial" w:hAnsi="Arial"/>
                <w:sz w:val="15"/>
                <w:szCs w:val="15"/>
              </w:rPr>
              <w:t xml:space="preserve">Mission-critical</w:t>
            </w:r>
          </w:p>
        </w:tc>
        <w:tc>
          <w:tcPr>
            <w:tcW w:type="dxa" w:w="4024"/>
            <w:shd w:fill="F2F2F2" w:color="auto" w:val="clear"/>
            <w:tcMar>
              <w:top w:type="dxa" w:w="50"/>
              <w:left w:type="dxa" w:w="80"/>
              <w:bottom w:type="dxa" w:w="50"/>
              <w:right w:type="dxa" w:w="80"/>
            </w:tcMar>
          </w:tcPr>
          <w:p>
            <w:r>
              <w:rPr>
                <w:rFonts w:ascii="Arial" w:cs="Arial" w:eastAsia="Arial" w:hAnsi="Arial"/>
                <w:sz w:val="15"/>
                <w:szCs w:val="15"/>
              </w:rPr>
              <w:t xml:space="preserve">Clinical record integrity underpins safe care.</w:t>
            </w:r>
          </w:p>
        </w:tc>
        <w:tc>
          <w:tcPr>
            <w:tcW w:type="dxa" w:w="842"/>
            <w:shd w:fill="F2F2F2" w:color="auto" w:val="clear"/>
            <w:tcMar>
              <w:top w:type="dxa" w:w="50"/>
              <w:left w:type="dxa" w:w="80"/>
              <w:bottom w:type="dxa" w:w="50"/>
              <w:right w:type="dxa" w:w="80"/>
            </w:tcMar>
          </w:tcPr>
          <w:p>
            <w:r>
              <w:rPr>
                <w:rFonts w:ascii="Arial" w:cs="Arial" w:eastAsia="Arial" w:hAnsi="Arial"/>
                <w:sz w:val="15"/>
                <w:szCs w:val="15"/>
              </w:rPr>
              <w:t xml:space="preserve">E1</w:t>
            </w:r>
          </w:p>
        </w:tc>
        <w:tc>
          <w:tcPr>
            <w:tcW w:type="dxa" w:w="1032"/>
            <w:shd w:fill="F2F2F2" w:color="auto" w:val="clear"/>
            <w:tcMar>
              <w:top w:type="dxa" w:w="50"/>
              <w:left w:type="dxa" w:w="80"/>
              <w:bottom w:type="dxa" w:w="50"/>
              <w:right w:type="dxa" w:w="80"/>
            </w:tcMar>
          </w:tcPr>
          <w:p>
            <w:r>
              <w:rPr>
                <w:rFonts w:ascii="Arial" w:cs="Arial" w:eastAsia="Arial" w:hAnsi="Arial"/>
                <w:sz w:val="15"/>
                <w:szCs w:val="15"/>
              </w:rPr>
              <w:t xml:space="preserve">High</w:t>
            </w:r>
          </w:p>
        </w:tc>
      </w:tr>
    </w:tbl>
    <w:p>
      <w:pPr>
        <w:spacing w:after="80"/>
      </w:pPr>
    </w:p>
    <w:p>
      <w:pPr>
        <w:spacing w:after="120"/>
      </w:pPr>
      <w:r>
        <w:rPr>
          <w:rFonts w:ascii="Arial" w:cs="Arial" w:eastAsia="Arial" w:hAnsi="Arial"/>
          <w:sz w:val="18"/>
          <w:szCs w:val="18"/>
        </w:rPr>
        <w:t xml:space="preserve">All values: </w:t>
      </w:r>
      <w:r>
        <w:rPr>
          <w:rFonts w:ascii="Arial" w:cs="Arial" w:eastAsia="Arial" w:hAnsi="Arial"/>
          <w:b/>
          <w:bCs/>
          <w:sz w:val="18"/>
          <w:szCs w:val="18"/>
        </w:rPr>
        <w:t xml:space="preserve">Analyst estimate - validation required.</w:t>
      </w:r>
    </w:p>
    <w:p>
      <w:pPr>
        <w:pStyle w:val="Heading3"/>
      </w:pPr>
      <w:r>
        <w:rPr>
          <w:rFonts w:ascii="Arial" w:cs="Arial" w:eastAsia="Arial" w:hAnsi="Arial"/>
        </w:rPr>
        <w:t xml:space="preserve">CVSS v4.0</w:t>
      </w:r>
    </w:p>
    <w:p>
      <w:pPr>
        <w:spacing w:after="120"/>
      </w:pPr>
      <w:r>
        <w:rPr>
          <w:rFonts w:ascii="Arial" w:cs="Arial" w:eastAsia="Arial" w:hAnsi="Arial"/>
          <w:b/>
          <w:bCs/>
        </w:rPr>
        <w:t xml:space="preserve">Vector:</w:t>
      </w:r>
      <w:r>
        <w:rPr>
          <w:rFonts w:ascii="Arial" w:cs="Arial" w:eastAsia="Arial" w:hAnsi="Arial"/>
        </w:rPr>
        <w:t xml:space="preserve"> CVSS:4.0/AV:N/AC:L/AT:N/PR:L/UI:N/VC:L/VI:H/VA:N/SC:N/SI:H/SA:N   </w:t>
      </w:r>
      <w:r>
        <w:rPr>
          <w:rFonts w:ascii="Arial" w:cs="Arial" w:eastAsia="Arial" w:hAnsi="Arial"/>
          <w:b/>
          <w:bCs/>
        </w:rPr>
        <w:t xml:space="preserve">CVSS-B:</w:t>
      </w:r>
      <w:r>
        <w:rPr>
          <w:rFonts w:ascii="Arial" w:cs="Arial" w:eastAsia="Arial" w:hAnsi="Arial"/>
        </w:rPr>
        <w:t xml:space="preserve"> 8.3 (High)</w:t>
      </w:r>
    </w:p>
    <w:p>
      <w:pPr>
        <w:spacing w:after="120"/>
      </w:pPr>
      <w:r>
        <w:rPr>
          <w:rFonts w:ascii="Arial" w:cs="Arial" w:eastAsia="Arial" w:hAnsi="Arial"/>
        </w:rPr>
        <w:t xml:space="preserve">Representative weakness: authenticated user able to modify records beyond need (improper authorization, CWE-285). PR:L; VI:H; SI:H because pharmacy/lab downstream systems consume the altered data.</w:t>
      </w:r>
    </w:p>
    <w:p>
      <w:pPr>
        <w:pStyle w:val="Heading3"/>
      </w:pPr>
      <w:r>
        <w:rPr>
          <w:rFonts w:ascii="Arial" w:cs="Arial" w:eastAsia="Arial" w:hAnsi="Arial"/>
        </w:rPr>
        <w:t xml:space="preserv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6271"/>
        <w:gridCol w:w="1405"/>
      </w:tblGrid>
      <w:tr>
        <w:trPr>
          <w:tblHeader/>
        </w:trPr>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Step</w:t>
            </w:r>
          </w:p>
        </w:tc>
        <w:tc>
          <w:tcPr>
            <w:tcW w:type="dxa" w:w="627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Computation</w:t>
            </w:r>
          </w:p>
        </w:tc>
        <w:tc>
          <w:tcPr>
            <w:tcW w:type="dxa" w:w="1405"/>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Result</w:t>
            </w:r>
          </w:p>
        </w:tc>
      </w:tr>
      <w:tr>
        <w:tc>
          <w:tcPr>
            <w:tcW w:type="dxa" w:w="1684"/>
            <w:tcMar>
              <w:top w:type="dxa" w:w="50"/>
              <w:left w:type="dxa" w:w="80"/>
              <w:bottom w:type="dxa" w:w="50"/>
              <w:right w:type="dxa" w:w="80"/>
            </w:tcMar>
          </w:tcPr>
          <w:p>
            <w:r>
              <w:rPr>
                <w:rFonts w:ascii="Arial" w:cs="Arial" w:eastAsia="Arial" w:hAnsi="Arial"/>
                <w:sz w:val="15"/>
                <w:szCs w:val="15"/>
              </w:rPr>
              <w:t xml:space="preserve">Estimated risk</w:t>
            </w:r>
          </w:p>
        </w:tc>
        <w:tc>
          <w:tcPr>
            <w:tcW w:type="dxa" w:w="6271"/>
            <w:tcMar>
              <w:top w:type="dxa" w:w="50"/>
              <w:left w:type="dxa" w:w="80"/>
              <w:bottom w:type="dxa" w:w="50"/>
              <w:right w:type="dxa" w:w="80"/>
            </w:tcMar>
          </w:tcPr>
          <w:p>
            <w:r>
              <w:rPr>
                <w:rFonts w:ascii="Arial" w:cs="Arial" w:eastAsia="Arial" w:hAnsi="Arial"/>
                <w:sz w:val="15"/>
                <w:szCs w:val="15"/>
              </w:rPr>
              <w:t xml:space="preserve">0.30 x 0.40 x 8.3 x ((0.55 + 0.95) / 2) x 0.95 / 0.40 x 1,000</w:t>
            </w:r>
          </w:p>
        </w:tc>
        <w:tc>
          <w:tcPr>
            <w:tcW w:type="dxa" w:w="1405"/>
            <w:tcMar>
              <w:top w:type="dxa" w:w="50"/>
              <w:left w:type="dxa" w:w="80"/>
              <w:bottom w:type="dxa" w:w="50"/>
              <w:right w:type="dxa" w:w="80"/>
            </w:tcMar>
          </w:tcPr>
          <w:p>
            <w:r>
              <w:rPr>
                <w:rFonts w:ascii="Arial" w:cs="Arial" w:eastAsia="Arial" w:hAnsi="Arial"/>
                <w:sz w:val="15"/>
                <w:szCs w:val="15"/>
              </w:rPr>
              <w:t xml:space="preserve">1,774</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Tolerated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0.30 x 0.40 x 8.3 x 0.30 x 0.95 / 0.40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710</w:t>
            </w:r>
          </w:p>
        </w:tc>
      </w:tr>
      <w:tr>
        <w:tc>
          <w:tcPr>
            <w:tcW w:type="dxa" w:w="1684"/>
            <w:tcMar>
              <w:top w:type="dxa" w:w="50"/>
              <w:left w:type="dxa" w:w="80"/>
              <w:bottom w:type="dxa" w:w="50"/>
              <w:right w:type="dxa" w:w="80"/>
            </w:tcMar>
          </w:tcPr>
          <w:p>
            <w:r>
              <w:rPr>
                <w:rFonts w:ascii="Arial" w:cs="Arial" w:eastAsia="Arial" w:hAnsi="Arial"/>
                <w:sz w:val="15"/>
                <w:szCs w:val="15"/>
              </w:rPr>
              <w:t xml:space="preserve">Mitigated</w:t>
            </w:r>
          </w:p>
        </w:tc>
        <w:tc>
          <w:tcPr>
            <w:tcW w:type="dxa" w:w="6271"/>
            <w:tcMar>
              <w:top w:type="dxa" w:w="50"/>
              <w:left w:type="dxa" w:w="80"/>
              <w:bottom w:type="dxa" w:w="50"/>
              <w:right w:type="dxa" w:w="80"/>
            </w:tcMar>
          </w:tcPr>
          <w:p>
            <w:r>
              <w:rPr>
                <w:rFonts w:ascii="Arial" w:cs="Arial" w:eastAsia="Arial" w:hAnsi="Arial"/>
                <w:sz w:val="15"/>
                <w:szCs w:val="15"/>
              </w:rPr>
              <w:t xml:space="preserve">1,774 x 0.70 (probability) x 0.75 (impact)</w:t>
            </w:r>
          </w:p>
        </w:tc>
        <w:tc>
          <w:tcPr>
            <w:tcW w:type="dxa" w:w="1405"/>
            <w:tcMar>
              <w:top w:type="dxa" w:w="50"/>
              <w:left w:type="dxa" w:w="80"/>
              <w:bottom w:type="dxa" w:w="50"/>
              <w:right w:type="dxa" w:w="80"/>
            </w:tcMar>
          </w:tcPr>
          <w:p>
            <w:r>
              <w:rPr>
                <w:rFonts w:ascii="Arial" w:cs="Arial" w:eastAsia="Arial" w:hAnsi="Arial"/>
                <w:sz w:val="15"/>
                <w:szCs w:val="15"/>
              </w:rPr>
              <w:t xml:space="preserve">931</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Residual risk</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1,774 - 931</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843</w:t>
            </w:r>
          </w:p>
        </w:tc>
      </w:tr>
      <w:tr>
        <w:tc>
          <w:tcPr>
            <w:tcW w:type="dxa" w:w="1684"/>
            <w:tcMar>
              <w:top w:type="dxa" w:w="50"/>
              <w:left w:type="dxa" w:w="80"/>
              <w:bottom w:type="dxa" w:w="50"/>
              <w:right w:type="dxa" w:w="80"/>
            </w:tcMar>
          </w:tcPr>
          <w:p>
            <w:r>
              <w:rPr>
                <w:rFonts w:ascii="Arial" w:cs="Arial" w:eastAsia="Arial" w:hAnsi="Arial"/>
                <w:sz w:val="15"/>
                <w:szCs w:val="15"/>
              </w:rPr>
              <w:t xml:space="preserve">Residual / Tolerated</w:t>
            </w:r>
          </w:p>
        </w:tc>
        <w:tc>
          <w:tcPr>
            <w:tcW w:type="dxa" w:w="6271"/>
            <w:tcMar>
              <w:top w:type="dxa" w:w="50"/>
              <w:left w:type="dxa" w:w="80"/>
              <w:bottom w:type="dxa" w:w="50"/>
              <w:right w:type="dxa" w:w="80"/>
            </w:tcMar>
          </w:tcPr>
          <w:p>
            <w:r>
              <w:rPr>
                <w:rFonts w:ascii="Arial" w:cs="Arial" w:eastAsia="Arial" w:hAnsi="Arial"/>
                <w:sz w:val="15"/>
                <w:szCs w:val="15"/>
              </w:rPr>
              <w:t xml:space="preserve">843 / 710  (pre-treatment ratio 2.50)</w:t>
            </w:r>
          </w:p>
        </w:tc>
        <w:tc>
          <w:tcPr>
            <w:tcW w:type="dxa" w:w="1405"/>
            <w:tcMar>
              <w:top w:type="dxa" w:w="50"/>
              <w:left w:type="dxa" w:w="80"/>
              <w:bottom w:type="dxa" w:w="50"/>
              <w:right w:type="dxa" w:w="80"/>
            </w:tcMar>
          </w:tcPr>
          <w:p>
            <w:r>
              <w:rPr>
                <w:rFonts w:ascii="Arial" w:cs="Arial" w:eastAsia="Arial" w:hAnsi="Arial"/>
                <w:sz w:val="15"/>
                <w:szCs w:val="15"/>
              </w:rPr>
              <w:t xml:space="preserve">1.19</w:t>
            </w:r>
          </w:p>
        </w:tc>
      </w:tr>
      <w:tr>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Cost-effectiveness</w:t>
            </w:r>
          </w:p>
        </w:tc>
        <w:tc>
          <w:tcPr>
            <w:tcW w:type="dxa" w:w="6271"/>
            <w:shd w:fill="F2F2F2" w:color="auto" w:val="clear"/>
            <w:tcMar>
              <w:top w:type="dxa" w:w="50"/>
              <w:left w:type="dxa" w:w="80"/>
              <w:bottom w:type="dxa" w:w="50"/>
              <w:right w:type="dxa" w:w="80"/>
            </w:tcMar>
          </w:tcPr>
          <w:p>
            <w:r>
              <w:rPr>
                <w:rFonts w:ascii="Arial" w:cs="Arial" w:eastAsia="Arial" w:hAnsi="Arial"/>
                <w:sz w:val="15"/>
                <w:szCs w:val="15"/>
              </w:rPr>
              <w:t xml:space="preserve">(1,774 - 843) / $590,556 x 1,000</w:t>
            </w:r>
          </w:p>
        </w:tc>
        <w:tc>
          <w:tcPr>
            <w:tcW w:type="dxa" w:w="1405"/>
            <w:shd w:fill="F2F2F2" w:color="auto" w:val="clear"/>
            <w:tcMar>
              <w:top w:type="dxa" w:w="50"/>
              <w:left w:type="dxa" w:w="80"/>
              <w:bottom w:type="dxa" w:w="50"/>
              <w:right w:type="dxa" w:w="80"/>
            </w:tcMar>
          </w:tcPr>
          <w:p>
            <w:r>
              <w:rPr>
                <w:rFonts w:ascii="Arial" w:cs="Arial" w:eastAsia="Arial" w:hAnsi="Arial"/>
                <w:sz w:val="15"/>
                <w:szCs w:val="15"/>
              </w:rPr>
              <w:t xml:space="preserve">1.58</w:t>
            </w:r>
          </w:p>
        </w:tc>
      </w:tr>
    </w:tbl>
    <w:p>
      <w:pPr>
        <w:spacing w:after="80"/>
      </w:pPr>
    </w:p>
    <w:p>
      <w:pPr>
        <w:pStyle w:val="Heading3"/>
      </w:pPr>
      <w:r>
        <w:rPr>
          <w:rFonts w:ascii="Arial" w:cs="Arial" w:eastAsia="Arial" w:hAnsi="Arial"/>
        </w:rPr>
        <w:t xml:space="preserve">Treatment and result</w:t>
      </w:r>
    </w:p>
    <w:p>
      <w:pPr>
        <w:spacing w:after="120"/>
      </w:pPr>
      <w:r>
        <w:rPr>
          <w:rFonts w:ascii="Arial" w:cs="Arial" w:eastAsia="Arial" w:hAnsi="Arial"/>
        </w:rPr>
        <w:t xml:space="preserve">Integrity monitoring and reconciliation (I13), least-privilege write access (I09/I02), strong authentication (I01), backup-based verification (I04), MDR (I03), clinical playbook (I11).</w:t>
      </w:r>
    </w:p>
    <w:p>
      <w:pPr>
        <w:spacing w:after="120"/>
      </w:pPr>
      <w:r>
        <w:rPr>
          <w:rFonts w:ascii="Arial" w:cs="Arial" w:eastAsia="Arial" w:hAnsi="Arial"/>
        </w:rPr>
        <w:t xml:space="preserve">Initiatives: I01 Phishing-resistant MFA and conditional access; I02 Privileged access and service-account management (PAM); I03 24/7 managed detection and response with centralized logging; I04 Immutable and isolated backup with tested recovery; I09 Data access governance and EHR privacy monitoring; I11 Incident response and clinical continuity readiness; I13 Clinical data integrity controls. Allocated Year-1 cost $590,556 (share of shared initiatives). Horizon: 3-15 months.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4CCCC" w:color="auto" w:val="clear"/>
            <w:tcMar>
              <w:top w:type="dxa" w:w="100"/>
              <w:left w:type="dxa" w:w="140"/>
              <w:bottom w:type="dxa" w:w="100"/>
              <w:right w:type="dxa" w:w="140"/>
            </w:tcMar>
          </w:tcPr>
          <w:p>
            <w:r>
              <w:rPr>
                <w:rFonts w:ascii="Arial" w:cs="Arial" w:eastAsia="Arial" w:hAnsi="Arial"/>
                <w:b/>
                <w:bCs/>
                <w:sz w:val="19"/>
                <w:szCs w:val="19"/>
              </w:rPr>
              <w:t xml:space="preserve">Result: Above tolerance (1.19).</w:t>
            </w:r>
            <w:r>
              <w:rPr>
                <w:rFonts w:ascii="Arial" w:cs="Arial" w:eastAsia="Arial" w:hAnsi="Arial"/>
                <w:sz w:val="19"/>
                <w:szCs w:val="19"/>
              </w:rPr>
              <w:t xml:space="preserve"> Residual risk remains above tolerance after treatment. </w:t>
            </w:r>
            <w:r>
              <w:rPr>
                <w:rFonts w:ascii="Arial" w:cs="Arial" w:eastAsia="Arial" w:hAnsi="Arial"/>
                <w:b/>
                <w:bCs/>
                <w:sz w:val="19"/>
                <w:szCs w:val="19"/>
              </w:rPr>
              <w:t xml:space="preserve">Management decision required</w:t>
            </w:r>
            <w:r>
              <w:rPr>
                <w:rFonts w:ascii="Arial" w:cs="Arial" w:eastAsia="Arial" w:hAnsi="Arial"/>
                <w:sz w:val="19"/>
                <w:szCs w:val="19"/>
              </w:rPr>
              <w:t xml:space="preserve">: accept formally at Board / ownership-group level, fund additional treatment, transfer part of the risk, or change the process.</w:t>
            </w:r>
          </w:p>
        </w:tc>
      </w:tr>
    </w:tbl>
    <w:p>
      <w:pPr>
        <w:pStyle w:val="Heading1"/>
        <w:pageBreakBefore/>
      </w:pPr>
      <w:r>
        <w:rPr>
          <w:rFonts w:ascii="Arial" w:cs="Arial" w:eastAsia="Arial" w:hAnsi="Arial"/>
        </w:rPr>
        <w:t xml:space="preserve">8. Cross-scenario analysis</w:t>
      </w:r>
    </w:p>
    <w:p>
      <w:pPr>
        <w:pStyle w:val="Heading2"/>
      </w:pPr>
      <w:r>
        <w:rPr>
          <w:rFonts w:ascii="Arial" w:cs="Arial" w:eastAsia="Arial" w:hAnsi="Arial"/>
        </w:rPr>
        <w:t xml:space="preserve">8.1 Recurring root causes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684"/>
        <w:gridCol w:w="5430"/>
      </w:tblGrid>
      <w:tr>
        <w:trPr>
          <w:tblHeader/>
        </w:trPr>
        <w:tc>
          <w:tcPr>
            <w:tcW w:type="dxa" w:w="224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Root cause</w:t>
            </w:r>
          </w:p>
        </w:tc>
        <w:tc>
          <w:tcPr>
            <w:tcW w:type="dxa" w:w="1684"/>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Scenarios</w:t>
            </w:r>
          </w:p>
        </w:tc>
        <w:tc>
          <w:tcPr>
            <w:tcW w:type="dxa" w:w="5430"/>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Observation</w:t>
            </w:r>
          </w:p>
        </w:tc>
      </w:tr>
      <w:tr>
        <w:tc>
          <w:tcPr>
            <w:tcW w:type="dxa" w:w="2246"/>
            <w:tcMar>
              <w:top w:type="dxa" w:w="50"/>
              <w:left w:type="dxa" w:w="80"/>
              <w:bottom w:type="dxa" w:w="50"/>
              <w:right w:type="dxa" w:w="80"/>
            </w:tcMar>
          </w:tcPr>
          <w:p>
            <w:r>
              <w:rPr>
                <w:rFonts w:ascii="Arial" w:cs="Arial" w:eastAsia="Arial" w:hAnsi="Arial"/>
                <w:sz w:val="16"/>
                <w:szCs w:val="16"/>
              </w:rPr>
              <w:t xml:space="preserve">Identity that can be phished or abused</w:t>
            </w:r>
          </w:p>
        </w:tc>
        <w:tc>
          <w:tcPr>
            <w:tcW w:type="dxa" w:w="1684"/>
            <w:tcMar>
              <w:top w:type="dxa" w:w="50"/>
              <w:left w:type="dxa" w:w="80"/>
              <w:bottom w:type="dxa" w:w="50"/>
              <w:right w:type="dxa" w:w="80"/>
            </w:tcMar>
          </w:tcPr>
          <w:p>
            <w:r>
              <w:rPr>
                <w:rFonts w:ascii="Arial" w:cs="Arial" w:eastAsia="Arial" w:hAnsi="Arial"/>
                <w:sz w:val="16"/>
                <w:szCs w:val="16"/>
              </w:rPr>
              <w:t xml:space="preserve">S1, S2, S5, S8, S9, S10</w:t>
            </w:r>
          </w:p>
        </w:tc>
        <w:tc>
          <w:tcPr>
            <w:tcW w:type="dxa" w:w="5430"/>
            <w:tcMar>
              <w:top w:type="dxa" w:w="50"/>
              <w:left w:type="dxa" w:w="80"/>
              <w:bottom w:type="dxa" w:w="50"/>
              <w:right w:type="dxa" w:w="80"/>
            </w:tcMar>
          </w:tcPr>
          <w:p>
            <w:r>
              <w:rPr>
                <w:rFonts w:ascii="Arial" w:cs="Arial" w:eastAsia="Arial" w:hAnsi="Arial"/>
                <w:sz w:val="16"/>
                <w:szCs w:val="16"/>
              </w:rPr>
              <w:t xml:space="preserve">Push MFA, standing privileges, un-vaulted service accounts and vendor access provide the main entry and escalation paths.</w:t>
            </w:r>
          </w:p>
        </w:tc>
      </w:tr>
      <w:tr>
        <w:tc>
          <w:tcPr>
            <w:tcW w:type="dxa" w:w="2246"/>
            <w:shd w:fill="F2F2F2" w:color="auto" w:val="clear"/>
            <w:tcMar>
              <w:top w:type="dxa" w:w="50"/>
              <w:left w:type="dxa" w:w="80"/>
              <w:bottom w:type="dxa" w:w="50"/>
              <w:right w:type="dxa" w:w="80"/>
            </w:tcMar>
          </w:tcPr>
          <w:p>
            <w:r>
              <w:rPr>
                <w:rFonts w:ascii="Arial" w:cs="Arial" w:eastAsia="Arial" w:hAnsi="Arial"/>
                <w:sz w:val="16"/>
                <w:szCs w:val="16"/>
              </w:rPr>
              <w:t xml:space="preserve">Limited detection and response capacity</w:t>
            </w:r>
          </w:p>
        </w:tc>
        <w:tc>
          <w:tcPr>
            <w:tcW w:type="dxa" w:w="1684"/>
            <w:shd w:fill="F2F2F2" w:color="auto" w:val="clear"/>
            <w:tcMar>
              <w:top w:type="dxa" w:w="50"/>
              <w:left w:type="dxa" w:w="80"/>
              <w:bottom w:type="dxa" w:w="50"/>
              <w:right w:type="dxa" w:w="80"/>
            </w:tcMar>
          </w:tcPr>
          <w:p>
            <w:r>
              <w:rPr>
                <w:rFonts w:ascii="Arial" w:cs="Arial" w:eastAsia="Arial" w:hAnsi="Arial"/>
                <w:sz w:val="16"/>
                <w:szCs w:val="16"/>
              </w:rPr>
              <w:t xml:space="preserve">All (S8 amplifier)</w:t>
            </w:r>
          </w:p>
        </w:tc>
        <w:tc>
          <w:tcPr>
            <w:tcW w:type="dxa" w:w="5430"/>
            <w:shd w:fill="F2F2F2" w:color="auto" w:val="clear"/>
            <w:tcMar>
              <w:top w:type="dxa" w:w="50"/>
              <w:left w:type="dxa" w:w="80"/>
              <w:bottom w:type="dxa" w:w="50"/>
              <w:right w:type="dxa" w:w="80"/>
            </w:tcMar>
          </w:tcPr>
          <w:p>
            <w:r>
              <w:rPr>
                <w:rFonts w:ascii="Arial" w:cs="Arial" w:eastAsia="Arial" w:hAnsi="Arial"/>
                <w:sz w:val="16"/>
                <w:szCs w:val="16"/>
              </w:rPr>
              <w:t xml:space="preserve">Two staff cannot provide 24/7 triage; weak signals in E6 were not correlated. This raises damage in every scenario.</w:t>
            </w:r>
          </w:p>
        </w:tc>
      </w:tr>
      <w:tr>
        <w:tc>
          <w:tcPr>
            <w:tcW w:type="dxa" w:w="2246"/>
            <w:tcMar>
              <w:top w:type="dxa" w:w="50"/>
              <w:left w:type="dxa" w:w="80"/>
              <w:bottom w:type="dxa" w:w="50"/>
              <w:right w:type="dxa" w:w="80"/>
            </w:tcMar>
          </w:tcPr>
          <w:p>
            <w:r>
              <w:rPr>
                <w:rFonts w:ascii="Arial" w:cs="Arial" w:eastAsia="Arial" w:hAnsi="Arial"/>
                <w:sz w:val="16"/>
                <w:szCs w:val="16"/>
              </w:rPr>
              <w:t xml:space="preserve">Unproven recoverability</w:t>
            </w:r>
          </w:p>
        </w:tc>
        <w:tc>
          <w:tcPr>
            <w:tcW w:type="dxa" w:w="1684"/>
            <w:tcMar>
              <w:top w:type="dxa" w:w="50"/>
              <w:left w:type="dxa" w:w="80"/>
              <w:bottom w:type="dxa" w:w="50"/>
              <w:right w:type="dxa" w:w="80"/>
            </w:tcMar>
          </w:tcPr>
          <w:p>
            <w:r>
              <w:rPr>
                <w:rFonts w:ascii="Arial" w:cs="Arial" w:eastAsia="Arial" w:hAnsi="Arial"/>
                <w:sz w:val="16"/>
                <w:szCs w:val="16"/>
              </w:rPr>
              <w:t xml:space="preserve">S2, S3, S10</w:t>
            </w:r>
          </w:p>
        </w:tc>
        <w:tc>
          <w:tcPr>
            <w:tcW w:type="dxa" w:w="5430"/>
            <w:tcMar>
              <w:top w:type="dxa" w:w="50"/>
              <w:left w:type="dxa" w:w="80"/>
              <w:bottom w:type="dxa" w:w="50"/>
              <w:right w:type="dxa" w:w="80"/>
            </w:tcMar>
          </w:tcPr>
          <w:p>
            <w:r>
              <w:rPr>
                <w:rFonts w:ascii="Arial" w:cs="Arial" w:eastAsia="Arial" w:hAnsi="Arial"/>
                <w:sz w:val="16"/>
                <w:szCs w:val="16"/>
              </w:rPr>
              <w:t xml:space="preserve">Backups exist but isolation, immutability, restore tests and integrity checks are not evidenced.</w:t>
            </w:r>
          </w:p>
        </w:tc>
      </w:tr>
      <w:tr>
        <w:tc>
          <w:tcPr>
            <w:tcW w:type="dxa" w:w="2246"/>
            <w:shd w:fill="F2F2F2" w:color="auto" w:val="clear"/>
            <w:tcMar>
              <w:top w:type="dxa" w:w="50"/>
              <w:left w:type="dxa" w:w="80"/>
              <w:bottom w:type="dxa" w:w="50"/>
              <w:right w:type="dxa" w:w="80"/>
            </w:tcMar>
          </w:tcPr>
          <w:p>
            <w:r>
              <w:rPr>
                <w:rFonts w:ascii="Arial" w:cs="Arial" w:eastAsia="Arial" w:hAnsi="Arial"/>
                <w:sz w:val="16"/>
                <w:szCs w:val="16"/>
              </w:rPr>
              <w:t xml:space="preserve">Flat, heterogeneous clinic networks</w:t>
            </w:r>
          </w:p>
        </w:tc>
        <w:tc>
          <w:tcPr>
            <w:tcW w:type="dxa" w:w="1684"/>
            <w:shd w:fill="F2F2F2" w:color="auto" w:val="clear"/>
            <w:tcMar>
              <w:top w:type="dxa" w:w="50"/>
              <w:left w:type="dxa" w:w="80"/>
              <w:bottom w:type="dxa" w:w="50"/>
              <w:right w:type="dxa" w:w="80"/>
            </w:tcMar>
          </w:tcPr>
          <w:p>
            <w:r>
              <w:rPr>
                <w:rFonts w:ascii="Arial" w:cs="Arial" w:eastAsia="Arial" w:hAnsi="Arial"/>
                <w:sz w:val="16"/>
                <w:szCs w:val="16"/>
              </w:rPr>
              <w:t xml:space="preserve">S2, S6, S7</w:t>
            </w:r>
          </w:p>
        </w:tc>
        <w:tc>
          <w:tcPr>
            <w:tcW w:type="dxa" w:w="5430"/>
            <w:shd w:fill="F2F2F2" w:color="auto" w:val="clear"/>
            <w:tcMar>
              <w:top w:type="dxa" w:w="50"/>
              <w:left w:type="dxa" w:w="80"/>
              <w:bottom w:type="dxa" w:w="50"/>
              <w:right w:type="dxa" w:w="80"/>
            </w:tcMar>
          </w:tcPr>
          <w:p>
            <w:r>
              <w:rPr>
                <w:rFonts w:ascii="Arial" w:cs="Arial" w:eastAsia="Arial" w:hAnsi="Arial"/>
                <w:sz w:val="16"/>
                <w:szCs w:val="16"/>
              </w:rPr>
              <w:t xml:space="preserve">Workstations, medical devices and Wi-Fi share networks; one foothold reaches clinical systems.</w:t>
            </w:r>
          </w:p>
        </w:tc>
      </w:tr>
      <w:tr>
        <w:tc>
          <w:tcPr>
            <w:tcW w:type="dxa" w:w="2246"/>
            <w:tcMar>
              <w:top w:type="dxa" w:w="50"/>
              <w:left w:type="dxa" w:w="80"/>
              <w:bottom w:type="dxa" w:w="50"/>
              <w:right w:type="dxa" w:w="80"/>
            </w:tcMar>
          </w:tcPr>
          <w:p>
            <w:r>
              <w:rPr>
                <w:rFonts w:ascii="Arial" w:cs="Arial" w:eastAsia="Arial" w:hAnsi="Arial"/>
                <w:sz w:val="16"/>
                <w:szCs w:val="16"/>
              </w:rPr>
              <w:t xml:space="preserve">Limited visibility of data stores and third parties</w:t>
            </w:r>
          </w:p>
        </w:tc>
        <w:tc>
          <w:tcPr>
            <w:tcW w:type="dxa" w:w="1684"/>
            <w:tcMar>
              <w:top w:type="dxa" w:w="50"/>
              <w:left w:type="dxa" w:w="80"/>
              <w:bottom w:type="dxa" w:w="50"/>
              <w:right w:type="dxa" w:w="80"/>
            </w:tcMar>
          </w:tcPr>
          <w:p>
            <w:r>
              <w:rPr>
                <w:rFonts w:ascii="Arial" w:cs="Arial" w:eastAsia="Arial" w:hAnsi="Arial"/>
                <w:sz w:val="16"/>
                <w:szCs w:val="16"/>
              </w:rPr>
              <w:t xml:space="preserve">S4, S5, S9</w:t>
            </w:r>
          </w:p>
        </w:tc>
        <w:tc>
          <w:tcPr>
            <w:tcW w:type="dxa" w:w="5430"/>
            <w:tcMar>
              <w:top w:type="dxa" w:w="50"/>
              <w:left w:type="dxa" w:w="80"/>
              <w:bottom w:type="dxa" w:w="50"/>
              <w:right w:type="dxa" w:w="80"/>
            </w:tcMar>
          </w:tcPr>
          <w:p>
            <w:r>
              <w:rPr>
                <w:rFonts w:ascii="Arial" w:cs="Arial" w:eastAsia="Arial" w:hAnsi="Arial"/>
                <w:sz w:val="16"/>
                <w:szCs w:val="16"/>
              </w:rPr>
              <w:t xml:space="preserve">Cloud storage, EHR access patterns and vendor sessions are not monitored.</w:t>
            </w:r>
          </w:p>
        </w:tc>
      </w:tr>
      <w:tr>
        <w:tc>
          <w:tcPr>
            <w:tcW w:type="dxa" w:w="2246"/>
            <w:shd w:fill="F2F2F2" w:color="auto" w:val="clear"/>
            <w:tcMar>
              <w:top w:type="dxa" w:w="50"/>
              <w:left w:type="dxa" w:w="80"/>
              <w:bottom w:type="dxa" w:w="50"/>
              <w:right w:type="dxa" w:w="80"/>
            </w:tcMar>
          </w:tcPr>
          <w:p>
            <w:r>
              <w:rPr>
                <w:rFonts w:ascii="Arial" w:cs="Arial" w:eastAsia="Arial" w:hAnsi="Arial"/>
                <w:sz w:val="16"/>
                <w:szCs w:val="16"/>
              </w:rPr>
              <w:t xml:space="preserve">Governance operating on paper</w:t>
            </w:r>
          </w:p>
        </w:tc>
        <w:tc>
          <w:tcPr>
            <w:tcW w:type="dxa" w:w="1684"/>
            <w:shd w:fill="F2F2F2" w:color="auto" w:val="clear"/>
            <w:tcMar>
              <w:top w:type="dxa" w:w="50"/>
              <w:left w:type="dxa" w:w="80"/>
              <w:bottom w:type="dxa" w:w="50"/>
              <w:right w:type="dxa" w:w="80"/>
            </w:tcMar>
          </w:tcPr>
          <w:p>
            <w:r>
              <w:rPr>
                <w:rFonts w:ascii="Arial" w:cs="Arial" w:eastAsia="Arial" w:hAnsi="Arial"/>
                <w:sz w:val="16"/>
                <w:szCs w:val="16"/>
              </w:rPr>
              <w:t xml:space="preserve">All</w:t>
            </w:r>
          </w:p>
        </w:tc>
        <w:tc>
          <w:tcPr>
            <w:tcW w:type="dxa" w:w="5430"/>
            <w:shd w:fill="F2F2F2" w:color="auto" w:val="clear"/>
            <w:tcMar>
              <w:top w:type="dxa" w:w="50"/>
              <w:left w:type="dxa" w:w="80"/>
              <w:bottom w:type="dxa" w:w="50"/>
              <w:right w:type="dxa" w:w="80"/>
            </w:tcMar>
          </w:tcPr>
          <w:p>
            <w:r>
              <w:rPr>
                <w:rFonts w:ascii="Arial" w:cs="Arial" w:eastAsia="Arial" w:hAnsi="Arial"/>
                <w:sz w:val="16"/>
                <w:szCs w:val="16"/>
              </w:rPr>
              <w:t xml:space="preserve">Roles are defined, but no KRI reporting, access recertification or tested IR is evidenced.</w:t>
            </w:r>
          </w:p>
        </w:tc>
      </w:tr>
    </w:tbl>
    <w:p>
      <w:pPr>
        <w:pStyle w:val="Heading2"/>
      </w:pPr>
      <w:r>
        <w:rPr>
          <w:rFonts w:ascii="Arial" w:cs="Arial" w:eastAsia="Arial" w:hAnsi="Arial"/>
        </w:rPr>
        <w:t xml:space="preserve">8.2 Concentration and systemic dependencies</w:t>
      </w:r>
    </w:p>
    <w:p>
      <w:pPr>
        <w:pStyle w:val="ListParagraph"/>
        <w:numPr>
          <w:ilvl w:val="0"/>
          <w:numId w:val="2"/>
        </w:numPr>
        <w:spacing w:after="60"/>
      </w:pPr>
      <w:r>
        <w:rPr>
          <w:rFonts w:ascii="Arial" w:cs="Arial" w:eastAsia="Arial" w:hAnsi="Arial"/>
          <w:b/>
          <w:bCs/>
        </w:rPr>
        <w:t xml:space="preserve">Montreal hub</w:t>
      </w:r>
      <w:r>
        <w:rPr>
          <w:rFonts w:ascii="Arial" w:cs="Arial" w:eastAsia="Arial" w:hAnsi="Arial"/>
        </w:rPr>
        <w:t xml:space="preserve"> - EHR, identity, backups and WAN converge on one site; any enterprise-wide compromise affects all 10 clinics simultaneously.</w:t>
      </w:r>
    </w:p>
    <w:p>
      <w:pPr>
        <w:pStyle w:val="ListParagraph"/>
        <w:numPr>
          <w:ilvl w:val="0"/>
          <w:numId w:val="2"/>
        </w:numPr>
        <w:spacing w:after="60"/>
      </w:pPr>
      <w:r>
        <w:rPr>
          <w:rFonts w:ascii="Arial" w:cs="Arial" w:eastAsia="Arial" w:hAnsi="Arial"/>
          <w:b/>
          <w:bCs/>
        </w:rPr>
        <w:t xml:space="preserve">Identity platform</w:t>
      </w:r>
      <w:r>
        <w:rPr>
          <w:rFonts w:ascii="Arial" w:cs="Arial" w:eastAsia="Arial" w:hAnsi="Arial"/>
        </w:rPr>
        <w:t xml:space="preserve"> - a single directory and MFA service gate every crown jewel; its compromise defeats most other controls.</w:t>
      </w:r>
    </w:p>
    <w:p>
      <w:pPr>
        <w:pStyle w:val="ListParagraph"/>
        <w:numPr>
          <w:ilvl w:val="0"/>
          <w:numId w:val="2"/>
        </w:numPr>
        <w:spacing w:after="60"/>
      </w:pPr>
      <w:r>
        <w:rPr>
          <w:rFonts w:ascii="Arial" w:cs="Arial" w:eastAsia="Arial" w:hAnsi="Arial"/>
          <w:b/>
          <w:bCs/>
        </w:rPr>
        <w:t xml:space="preserve">EHR vendor</w:t>
      </w:r>
      <w:r>
        <w:rPr>
          <w:rFonts w:ascii="Arial" w:cs="Arial" w:eastAsia="Arial" w:hAnsi="Arial"/>
        </w:rPr>
        <w:t xml:space="preserve"> - a single integrated EHR supplier represents concentration risk (S9); vendor identity and contract terms are an </w:t>
      </w:r>
      <w:r>
        <w:rPr>
          <w:rFonts w:ascii="Arial" w:cs="Arial" w:eastAsia="Arial" w:hAnsi="Arial"/>
          <w:b/>
          <w:bCs/>
        </w:rPr>
        <w:t xml:space="preserve">Evidence gap</w:t>
      </w:r>
      <w:r>
        <w:rPr>
          <w:rFonts w:ascii="Arial" w:cs="Arial" w:eastAsia="Arial" w:hAnsi="Arial"/>
        </w:rPr>
        <w:t xml:space="preserve">.</w:t>
      </w:r>
    </w:p>
    <w:p>
      <w:pPr>
        <w:pStyle w:val="ListParagraph"/>
        <w:numPr>
          <w:ilvl w:val="0"/>
          <w:numId w:val="2"/>
        </w:numPr>
        <w:spacing w:after="60"/>
      </w:pPr>
      <w:r>
        <w:rPr>
          <w:rFonts w:ascii="Arial" w:cs="Arial" w:eastAsia="Arial" w:hAnsi="Arial"/>
          <w:b/>
          <w:bCs/>
        </w:rPr>
        <w:t xml:space="preserve">Scenario chaining</w:t>
      </w:r>
      <w:r>
        <w:rPr>
          <w:rFonts w:ascii="Arial" w:cs="Arial" w:eastAsia="Arial" w:hAnsi="Arial"/>
        </w:rPr>
        <w:t xml:space="preserve"> - S1 or S6 (entry) + S8 (undetected) + S3 (no recovery) = S2 at maximum damage. Treating the chain's weakest links (I01, I03, I04) reduces several scenarios at once.</w:t>
      </w:r>
    </w:p>
    <w:p>
      <w:pPr>
        <w:pStyle w:val="Heading2"/>
      </w:pPr>
      <w:r>
        <w:rPr>
          <w:rFonts w:ascii="Arial" w:cs="Arial" w:eastAsia="Arial" w:hAnsi="Arial"/>
        </w:rPr>
        <w:t xml:space="preserve">8.3 Shared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684"/>
        <w:gridCol w:w="5243"/>
      </w:tblGrid>
      <w:tr>
        <w:trPr>
          <w:tblHeader/>
        </w:trPr>
        <w:tc>
          <w:tcPr>
            <w:tcW w:type="dxa" w:w="243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Initiative</w:t>
            </w:r>
          </w:p>
        </w:tc>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Scenarios</w:t>
            </w:r>
          </w:p>
        </w:tc>
        <w:tc>
          <w:tcPr>
            <w:tcW w:type="dxa" w:w="524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Why it is shared</w:t>
            </w:r>
          </w:p>
        </w:tc>
      </w:tr>
      <w:tr>
        <w:tc>
          <w:tcPr>
            <w:tcW w:type="dxa" w:w="2433"/>
            <w:tcMar>
              <w:top w:type="dxa" w:w="50"/>
              <w:left w:type="dxa" w:w="80"/>
              <w:bottom w:type="dxa" w:w="50"/>
              <w:right w:type="dxa" w:w="80"/>
            </w:tcMar>
          </w:tcPr>
          <w:p>
            <w:r>
              <w:rPr>
                <w:rFonts w:ascii="Arial" w:cs="Arial" w:eastAsia="Arial" w:hAnsi="Arial"/>
                <w:sz w:val="15"/>
                <w:szCs w:val="15"/>
              </w:rPr>
              <w:t xml:space="preserve">I01 Phishing-resistant MFA and conditional access</w:t>
            </w:r>
          </w:p>
        </w:tc>
        <w:tc>
          <w:tcPr>
            <w:tcW w:type="dxa" w:w="1684"/>
            <w:tcMar>
              <w:top w:type="dxa" w:w="50"/>
              <w:left w:type="dxa" w:w="80"/>
              <w:bottom w:type="dxa" w:w="50"/>
              <w:right w:type="dxa" w:w="80"/>
            </w:tcMar>
          </w:tcPr>
          <w:p>
            <w:r>
              <w:rPr>
                <w:rFonts w:ascii="Arial" w:cs="Arial" w:eastAsia="Arial" w:hAnsi="Arial"/>
                <w:sz w:val="15"/>
                <w:szCs w:val="15"/>
              </w:rPr>
              <w:t xml:space="preserve">S1, S8, S9, S10</w:t>
            </w:r>
          </w:p>
        </w:tc>
        <w:tc>
          <w:tcPr>
            <w:tcW w:type="dxa" w:w="5243"/>
            <w:tcMar>
              <w:top w:type="dxa" w:w="50"/>
              <w:left w:type="dxa" w:w="80"/>
              <w:bottom w:type="dxa" w:w="50"/>
              <w:right w:type="dxa" w:w="80"/>
            </w:tcMar>
          </w:tcPr>
          <w:p>
            <w:r>
              <w:rPr>
                <w:rFonts w:ascii="Arial" w:cs="Arial" w:eastAsia="Arial" w:hAnsi="Arial"/>
                <w:sz w:val="15"/>
                <w:szCs w:val="15"/>
              </w:rPr>
              <w:t xml:space="preserve">FIDO2/passkeys for privileged, remote-access and EHR administrator accounts; number-matching MFA for all other users; conditional access (geo, device health); block internet-sourced Office macros.</w:t>
            </w:r>
          </w:p>
        </w:tc>
      </w:tr>
      <w:tr>
        <w:tc>
          <w:tcPr>
            <w:tcW w:type="dxa" w:w="2433"/>
            <w:shd w:fill="F2F2F2" w:color="auto" w:val="clear"/>
            <w:tcMar>
              <w:top w:type="dxa" w:w="50"/>
              <w:left w:type="dxa" w:w="80"/>
              <w:bottom w:type="dxa" w:w="50"/>
              <w:right w:type="dxa" w:w="80"/>
            </w:tcMar>
          </w:tcPr>
          <w:p>
            <w:r>
              <w:rPr>
                <w:rFonts w:ascii="Arial" w:cs="Arial" w:eastAsia="Arial" w:hAnsi="Arial"/>
                <w:sz w:val="15"/>
                <w:szCs w:val="15"/>
              </w:rPr>
              <w:t xml:space="preserve">I02 Privileged access and service-account management (PAM)</w:t>
            </w:r>
          </w:p>
        </w:tc>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S1, S2, S3, S5, S9, S10</w:t>
            </w:r>
          </w:p>
        </w:tc>
        <w:tc>
          <w:tcPr>
            <w:tcW w:type="dxa" w:w="5243"/>
            <w:shd w:fill="F2F2F2" w:color="auto" w:val="clear"/>
            <w:tcMar>
              <w:top w:type="dxa" w:w="50"/>
              <w:left w:type="dxa" w:w="80"/>
              <w:bottom w:type="dxa" w:w="50"/>
              <w:right w:type="dxa" w:w="80"/>
            </w:tcMar>
          </w:tcPr>
          <w:p>
            <w:r>
              <w:rPr>
                <w:rFonts w:ascii="Arial" w:cs="Arial" w:eastAsia="Arial" w:hAnsi="Arial"/>
                <w:sz w:val="15"/>
                <w:szCs w:val="15"/>
              </w:rPr>
              <w:t xml:space="preserve">Tiered administration, credential vault, just-in-time elevation, rotation and least privilege for service accounts (incl. ehr-sync-svc), vendor sessions brokered and recorded.</w:t>
            </w:r>
          </w:p>
        </w:tc>
      </w:tr>
      <w:tr>
        <w:tc>
          <w:tcPr>
            <w:tcW w:type="dxa" w:w="2433"/>
            <w:tcMar>
              <w:top w:type="dxa" w:w="50"/>
              <w:left w:type="dxa" w:w="80"/>
              <w:bottom w:type="dxa" w:w="50"/>
              <w:right w:type="dxa" w:w="80"/>
            </w:tcMar>
          </w:tcPr>
          <w:p>
            <w:r>
              <w:rPr>
                <w:rFonts w:ascii="Arial" w:cs="Arial" w:eastAsia="Arial" w:hAnsi="Arial"/>
                <w:sz w:val="15"/>
                <w:szCs w:val="15"/>
              </w:rPr>
              <w:t xml:space="preserve">I03 24/7 managed detection and response with centralized logging</w:t>
            </w:r>
          </w:p>
        </w:tc>
        <w:tc>
          <w:tcPr>
            <w:tcW w:type="dxa" w:w="1684"/>
            <w:tcMar>
              <w:top w:type="dxa" w:w="50"/>
              <w:left w:type="dxa" w:w="80"/>
              <w:bottom w:type="dxa" w:w="50"/>
              <w:right w:type="dxa" w:w="80"/>
            </w:tcMar>
          </w:tcPr>
          <w:p>
            <w:r>
              <w:rPr>
                <w:rFonts w:ascii="Arial" w:cs="Arial" w:eastAsia="Arial" w:hAnsi="Arial"/>
                <w:sz w:val="15"/>
                <w:szCs w:val="15"/>
              </w:rPr>
              <w:t xml:space="preserve">S1, S2, S3, S4, S5, S6, S8, S9, S10</w:t>
            </w:r>
          </w:p>
        </w:tc>
        <w:tc>
          <w:tcPr>
            <w:tcW w:type="dxa" w:w="5243"/>
            <w:tcMar>
              <w:top w:type="dxa" w:w="50"/>
              <w:left w:type="dxa" w:w="80"/>
              <w:bottom w:type="dxa" w:w="50"/>
              <w:right w:type="dxa" w:w="80"/>
            </w:tcMar>
          </w:tcPr>
          <w:p>
            <w:r>
              <w:rPr>
                <w:rFonts w:ascii="Arial" w:cs="Arial" w:eastAsia="Arial" w:hAnsi="Arial"/>
                <w:sz w:val="15"/>
                <w:szCs w:val="15"/>
              </w:rPr>
              <w:t xml:space="preserve">MDR provider on full EDR coverage; SIEM ingesting identity, remote access, EHR audit, cloud, backup and firewall logs; defined escalation criteria; 12-month log retention.</w:t>
            </w:r>
          </w:p>
        </w:tc>
      </w:tr>
      <w:tr>
        <w:tc>
          <w:tcPr>
            <w:tcW w:type="dxa" w:w="2433"/>
            <w:shd w:fill="F2F2F2" w:color="auto" w:val="clear"/>
            <w:tcMar>
              <w:top w:type="dxa" w:w="50"/>
              <w:left w:type="dxa" w:w="80"/>
              <w:bottom w:type="dxa" w:w="50"/>
              <w:right w:type="dxa" w:w="80"/>
            </w:tcMar>
          </w:tcPr>
          <w:p>
            <w:r>
              <w:rPr>
                <w:rFonts w:ascii="Arial" w:cs="Arial" w:eastAsia="Arial" w:hAnsi="Arial"/>
                <w:sz w:val="15"/>
                <w:szCs w:val="15"/>
              </w:rPr>
              <w:t xml:space="preserve">I04 Immutable and isolated backup with tested recovery</w:t>
            </w:r>
          </w:p>
        </w:tc>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S2, S3, S10</w:t>
            </w:r>
          </w:p>
        </w:tc>
        <w:tc>
          <w:tcPr>
            <w:tcW w:type="dxa" w:w="5243"/>
            <w:shd w:fill="F2F2F2" w:color="auto" w:val="clear"/>
            <w:tcMar>
              <w:top w:type="dxa" w:w="50"/>
              <w:left w:type="dxa" w:w="80"/>
              <w:bottom w:type="dxa" w:w="50"/>
              <w:right w:type="dxa" w:w="80"/>
            </w:tcMar>
          </w:tcPr>
          <w:p>
            <w:r>
              <w:rPr>
                <w:rFonts w:ascii="Arial" w:cs="Arial" w:eastAsia="Arial" w:hAnsi="Arial"/>
                <w:sz w:val="15"/>
                <w:szCs w:val="15"/>
              </w:rPr>
              <w:t xml:space="preserve">Immutable/offline copies, separate backup identity domain with MFA, backup network isolation, quarterly restore tests incl. clinic storage, documented RTO/RPO per crown jewel.</w:t>
            </w:r>
          </w:p>
        </w:tc>
      </w:tr>
      <w:tr>
        <w:tc>
          <w:tcPr>
            <w:tcW w:type="dxa" w:w="2433"/>
            <w:tcMar>
              <w:top w:type="dxa" w:w="50"/>
              <w:left w:type="dxa" w:w="80"/>
              <w:bottom w:type="dxa" w:w="50"/>
              <w:right w:type="dxa" w:w="80"/>
            </w:tcMar>
          </w:tcPr>
          <w:p>
            <w:r>
              <w:rPr>
                <w:rFonts w:ascii="Arial" w:cs="Arial" w:eastAsia="Arial" w:hAnsi="Arial"/>
                <w:sz w:val="15"/>
                <w:szCs w:val="15"/>
              </w:rPr>
              <w:t xml:space="preserve">I05 Risk-based vulnerability and patch management</w:t>
            </w:r>
          </w:p>
        </w:tc>
        <w:tc>
          <w:tcPr>
            <w:tcW w:type="dxa" w:w="1684"/>
            <w:tcMar>
              <w:top w:type="dxa" w:w="50"/>
              <w:left w:type="dxa" w:w="80"/>
              <w:bottom w:type="dxa" w:w="50"/>
              <w:right w:type="dxa" w:w="80"/>
            </w:tcMar>
          </w:tcPr>
          <w:p>
            <w:r>
              <w:rPr>
                <w:rFonts w:ascii="Arial" w:cs="Arial" w:eastAsia="Arial" w:hAnsi="Arial"/>
                <w:sz w:val="15"/>
                <w:szCs w:val="15"/>
              </w:rPr>
              <w:t xml:space="preserve">S2, S6, S7</w:t>
            </w:r>
          </w:p>
        </w:tc>
        <w:tc>
          <w:tcPr>
            <w:tcW w:type="dxa" w:w="5243"/>
            <w:tcMar>
              <w:top w:type="dxa" w:w="50"/>
              <w:left w:type="dxa" w:w="80"/>
              <w:bottom w:type="dxa" w:w="50"/>
              <w:right w:type="dxa" w:w="80"/>
            </w:tcMar>
          </w:tcPr>
          <w:p>
            <w:r>
              <w:rPr>
                <w:rFonts w:ascii="Arial" w:cs="Arial" w:eastAsia="Arial" w:hAnsi="Arial"/>
                <w:sz w:val="15"/>
                <w:szCs w:val="15"/>
              </w:rPr>
              <w:t xml:space="preserve">Complete asset inventory, authenticated scanning, external attack-surface monitoring, SLAs (known-exploited: 72 h internet-facing / 14 days internal), exception governance, retirement of end-of-life systems; 1 dedicated FTE.</w:t>
            </w:r>
          </w:p>
        </w:tc>
      </w:tr>
      <w:tr>
        <w:tc>
          <w:tcPr>
            <w:tcW w:type="dxa" w:w="2433"/>
            <w:shd w:fill="F2F2F2" w:color="auto" w:val="clear"/>
            <w:tcMar>
              <w:top w:type="dxa" w:w="50"/>
              <w:left w:type="dxa" w:w="80"/>
              <w:bottom w:type="dxa" w:w="50"/>
              <w:right w:type="dxa" w:w="80"/>
            </w:tcMar>
          </w:tcPr>
          <w:p>
            <w:r>
              <w:rPr>
                <w:rFonts w:ascii="Arial" w:cs="Arial" w:eastAsia="Arial" w:hAnsi="Arial"/>
                <w:sz w:val="15"/>
                <w:szCs w:val="15"/>
              </w:rPr>
              <w:t xml:space="preserve">I06 Network segmentation and network access control</w:t>
            </w:r>
          </w:p>
        </w:tc>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S2, S3, S6, S7</w:t>
            </w:r>
          </w:p>
        </w:tc>
        <w:tc>
          <w:tcPr>
            <w:tcW w:type="dxa" w:w="5243"/>
            <w:shd w:fill="F2F2F2" w:color="auto" w:val="clear"/>
            <w:tcMar>
              <w:top w:type="dxa" w:w="50"/>
              <w:left w:type="dxa" w:w="80"/>
              <w:bottom w:type="dxa" w:w="50"/>
              <w:right w:type="dxa" w:w="80"/>
            </w:tcMar>
          </w:tcPr>
          <w:p>
            <w:r>
              <w:rPr>
                <w:rFonts w:ascii="Arial" w:cs="Arial" w:eastAsia="Arial" w:hAnsi="Arial"/>
                <w:sz w:val="15"/>
                <w:szCs w:val="15"/>
              </w:rPr>
              <w:t xml:space="preserve">Zones for clinical systems, medical devices, administration, guest Wi-Fi (WPA3), backups and servers; NAC at clinics; east-west firewall rules.</w:t>
            </w:r>
          </w:p>
        </w:tc>
      </w:tr>
      <w:tr>
        <w:tc>
          <w:tcPr>
            <w:tcW w:type="dxa" w:w="2433"/>
            <w:tcMar>
              <w:top w:type="dxa" w:w="50"/>
              <w:left w:type="dxa" w:w="80"/>
              <w:bottom w:type="dxa" w:w="50"/>
              <w:right w:type="dxa" w:w="80"/>
            </w:tcMar>
          </w:tcPr>
          <w:p>
            <w:r>
              <w:rPr>
                <w:rFonts w:ascii="Arial" w:cs="Arial" w:eastAsia="Arial" w:hAnsi="Arial"/>
                <w:sz w:val="15"/>
                <w:szCs w:val="15"/>
              </w:rPr>
              <w:t xml:space="preserve">I09 Data access governance and EHR privacy monitoring</w:t>
            </w:r>
          </w:p>
        </w:tc>
        <w:tc>
          <w:tcPr>
            <w:tcW w:type="dxa" w:w="1684"/>
            <w:tcMar>
              <w:top w:type="dxa" w:w="50"/>
              <w:left w:type="dxa" w:w="80"/>
              <w:bottom w:type="dxa" w:w="50"/>
              <w:right w:type="dxa" w:w="80"/>
            </w:tcMar>
          </w:tcPr>
          <w:p>
            <w:r>
              <w:rPr>
                <w:rFonts w:ascii="Arial" w:cs="Arial" w:eastAsia="Arial" w:hAnsi="Arial"/>
                <w:sz w:val="15"/>
                <w:szCs w:val="15"/>
              </w:rPr>
              <w:t xml:space="preserve">S4, S5, S10</w:t>
            </w:r>
          </w:p>
        </w:tc>
        <w:tc>
          <w:tcPr>
            <w:tcW w:type="dxa" w:w="5243"/>
            <w:tcMar>
              <w:top w:type="dxa" w:w="50"/>
              <w:left w:type="dxa" w:w="80"/>
              <w:bottom w:type="dxa" w:w="50"/>
              <w:right w:type="dxa" w:w="80"/>
            </w:tcMar>
          </w:tcPr>
          <w:p>
            <w:r>
              <w:rPr>
                <w:rFonts w:ascii="Arial" w:cs="Arial" w:eastAsia="Arial" w:hAnsi="Arial"/>
                <w:sz w:val="15"/>
                <w:szCs w:val="15"/>
              </w:rPr>
              <w:t xml:space="preserve">Role-based access redesign, quarterly access recertification, EHR access analytics (break-the-glass, VIP, bulk queries), endpoint/cloud DLP for health data.</w:t>
            </w:r>
          </w:p>
        </w:tc>
      </w:tr>
      <w:tr>
        <w:tc>
          <w:tcPr>
            <w:tcW w:type="dxa" w:w="2433"/>
            <w:shd w:fill="F2F2F2" w:color="auto" w:val="clear"/>
            <w:tcMar>
              <w:top w:type="dxa" w:w="50"/>
              <w:left w:type="dxa" w:w="80"/>
              <w:bottom w:type="dxa" w:w="50"/>
              <w:right w:type="dxa" w:w="80"/>
            </w:tcMar>
          </w:tcPr>
          <w:p>
            <w:r>
              <w:rPr>
                <w:rFonts w:ascii="Arial" w:cs="Arial" w:eastAsia="Arial" w:hAnsi="Arial"/>
                <w:sz w:val="15"/>
                <w:szCs w:val="15"/>
              </w:rPr>
              <w:t xml:space="preserve">I11 Incident response and clinical continuity readiness</w:t>
            </w:r>
          </w:p>
        </w:tc>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S2, S3, S8, S9, S10</w:t>
            </w:r>
          </w:p>
        </w:tc>
        <w:tc>
          <w:tcPr>
            <w:tcW w:type="dxa" w:w="5243"/>
            <w:shd w:fill="F2F2F2" w:color="auto" w:val="clear"/>
            <w:tcMar>
              <w:top w:type="dxa" w:w="50"/>
              <w:left w:type="dxa" w:w="80"/>
              <w:bottom w:type="dxa" w:w="50"/>
              <w:right w:type="dxa" w:w="80"/>
            </w:tcMar>
          </w:tcPr>
          <w:p>
            <w:r>
              <w:rPr>
                <w:rFonts w:ascii="Arial" w:cs="Arial" w:eastAsia="Arial" w:hAnsi="Arial"/>
                <w:sz w:val="15"/>
                <w:szCs w:val="15"/>
              </w:rPr>
              <w:t xml:space="preserve">Updated IR plan and playbooks (ransomware, privacy breach, device), IR/forensics retainer, semi-annual tabletop including clinics, clinical downtime procedures.</w:t>
            </w:r>
          </w:p>
        </w:tc>
      </w:tr>
      <w:tr>
        <w:tc>
          <w:tcPr>
            <w:tcW w:type="dxa" w:w="2433"/>
            <w:tcMar>
              <w:top w:type="dxa" w:w="50"/>
              <w:left w:type="dxa" w:w="80"/>
              <w:bottom w:type="dxa" w:w="50"/>
              <w:right w:type="dxa" w:w="80"/>
            </w:tcMar>
          </w:tcPr>
          <w:p>
            <w:r>
              <w:rPr>
                <w:rFonts w:ascii="Arial" w:cs="Arial" w:eastAsia="Arial" w:hAnsi="Arial"/>
                <w:sz w:val="15"/>
                <w:szCs w:val="15"/>
              </w:rPr>
              <w:t xml:space="preserve">I12 Governance, awareness and risk reporting</w:t>
            </w:r>
          </w:p>
        </w:tc>
        <w:tc>
          <w:tcPr>
            <w:tcW w:type="dxa" w:w="1684"/>
            <w:tcMar>
              <w:top w:type="dxa" w:w="50"/>
              <w:left w:type="dxa" w:w="80"/>
              <w:bottom w:type="dxa" w:w="50"/>
              <w:right w:type="dxa" w:w="80"/>
            </w:tcMar>
          </w:tcPr>
          <w:p>
            <w:r>
              <w:rPr>
                <w:rFonts w:ascii="Arial" w:cs="Arial" w:eastAsia="Arial" w:hAnsi="Arial"/>
                <w:sz w:val="15"/>
                <w:szCs w:val="15"/>
              </w:rPr>
              <w:t xml:space="preserve">S1, S2, S5, S8</w:t>
            </w:r>
          </w:p>
        </w:tc>
        <w:tc>
          <w:tcPr>
            <w:tcW w:type="dxa" w:w="5243"/>
            <w:tcMar>
              <w:top w:type="dxa" w:w="50"/>
              <w:left w:type="dxa" w:w="80"/>
              <w:bottom w:type="dxa" w:w="50"/>
              <w:right w:type="dxa" w:w="80"/>
            </w:tcMar>
          </w:tcPr>
          <w:p>
            <w:r>
              <w:rPr>
                <w:rFonts w:ascii="Arial" w:cs="Arial" w:eastAsia="Arial" w:hAnsi="Arial"/>
                <w:sz w:val="15"/>
                <w:szCs w:val="15"/>
              </w:rPr>
              <w:t xml:space="preserve">Role-based awareness and phishing simulation, quarterly KRI dashboard to Steering Committee, risk register and acceptance workflow, cyber-insurance coverage review.</w:t>
            </w:r>
          </w:p>
        </w:tc>
      </w:tr>
    </w:tbl>
    <w:p>
      <w:pPr>
        <w:spacing w:after="80"/>
      </w:pPr>
    </w:p>
    <w:p>
      <w:pPr>
        <w:spacing w:after="120"/>
      </w:pPr>
      <w:r>
        <w:rPr>
          <w:rFonts w:ascii="Arial" w:cs="Arial" w:eastAsia="Arial" w:hAnsi="Arial"/>
        </w:rPr>
        <w:t xml:space="preserve">Shared initiatives are costed once in the portfolio and their Year-1 cost is split equally among the scenarios they address (Workbook, Portfolio sheet). Scenario-level cost-effectiveness therefore reflects a fair share, not the full enterprise cost. Key dependencies: I02 (PAM) needs the account inventory from I01; I06 (segmentation) needs the device and asset inventories from I05 and I07; I13 needs the logging platform from I03.</w:t>
      </w:r>
    </w:p>
    <w:p>
      <w:pPr>
        <w:pStyle w:val="Heading1"/>
        <w:pageBreakBefore/>
      </w:pPr>
      <w:r>
        <w:rPr>
          <w:rFonts w:ascii="Arial" w:cs="Arial" w:eastAsia="Arial" w:hAnsi="Arial"/>
        </w:rPr>
        <w:t xml:space="preserve">9. Sensitivity analysis</w:t>
      </w:r>
    </w:p>
    <w:p>
      <w:pPr>
        <w:spacing w:after="120"/>
      </w:pPr>
      <w:r>
        <w:rPr>
          <w:rFonts w:ascii="Arial" w:cs="Arial" w:eastAsia="Arial" w:hAnsi="Arial"/>
        </w:rPr>
        <w:t xml:space="preserve">For five key scenarios, all uncertain parameters were shifted together by 0.10: the lower-risk case lowers threat, exploitation and damage values and raises resilience and treatment effectiveness; the higher-risk case does the reverse. This is a deliberately wide band given Low-to-Medium confidence in most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1404"/>
        <w:gridCol w:w="1404"/>
        <w:gridCol w:w="1404"/>
        <w:gridCol w:w="1872"/>
      </w:tblGrid>
      <w:tr>
        <w:trPr>
          <w:tblHeader/>
        </w:trPr>
        <w:tc>
          <w:tcPr>
            <w:tcW w:type="dxa" w:w="468"/>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ID</w:t>
            </w:r>
          </w:p>
        </w:tc>
        <w:tc>
          <w:tcPr>
            <w:tcW w:type="dxa" w:w="2808"/>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Scenario</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Lower: residual / ratio</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Central: residual / ratio</w:t>
            </w:r>
          </w:p>
        </w:tc>
        <w:tc>
          <w:tcPr>
            <w:tcW w:type="dxa" w:w="140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Higher: residual / ratio</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Recommendation robust?</w:t>
            </w:r>
          </w:p>
        </w:tc>
      </w:tr>
      <w:tr>
        <w:tc>
          <w:tcPr>
            <w:tcW w:type="dxa" w:w="468"/>
            <w:tcMar>
              <w:top w:type="dxa" w:w="50"/>
              <w:left w:type="dxa" w:w="80"/>
              <w:bottom w:type="dxa" w:w="50"/>
              <w:right w:type="dxa" w:w="80"/>
            </w:tcMar>
          </w:tcPr>
          <w:p>
            <w:r>
              <w:rPr>
                <w:rFonts w:ascii="Arial" w:cs="Arial" w:eastAsia="Arial" w:hAnsi="Arial"/>
                <w:sz w:val="15"/>
                <w:szCs w:val="15"/>
              </w:rPr>
              <w:t xml:space="preserve">S2</w:t>
            </w:r>
          </w:p>
        </w:tc>
        <w:tc>
          <w:tcPr>
            <w:tcW w:type="dxa" w:w="2808"/>
            <w:tcMar>
              <w:top w:type="dxa" w:w="50"/>
              <w:left w:type="dxa" w:w="80"/>
              <w:bottom w:type="dxa" w:w="50"/>
              <w:right w:type="dxa" w:w="80"/>
            </w:tcMar>
          </w:tcPr>
          <w:p>
            <w:r>
              <w:rPr>
                <w:rFonts w:ascii="Arial" w:cs="Arial" w:eastAsia="Arial" w:hAnsi="Arial"/>
                <w:sz w:val="15"/>
                <w:szCs w:val="15"/>
              </w:rPr>
              <w:t xml:space="preserve">Ransomware disrupting EHR access and clinic operations across the network</w:t>
            </w:r>
          </w:p>
        </w:tc>
        <w:tc>
          <w:tcPr>
            <w:tcW w:type="dxa" w:w="1404"/>
            <w:tcMar>
              <w:top w:type="dxa" w:w="50"/>
              <w:left w:type="dxa" w:w="80"/>
              <w:bottom w:type="dxa" w:w="50"/>
              <w:right w:type="dxa" w:w="80"/>
            </w:tcMar>
          </w:tcPr>
          <w:p>
            <w:r>
              <w:rPr>
                <w:rFonts w:ascii="Arial" w:cs="Arial" w:eastAsia="Arial" w:hAnsi="Arial"/>
                <w:sz w:val="15"/>
                <w:szCs w:val="15"/>
              </w:rPr>
              <w:t xml:space="preserve">1,038 / 0.67</w:t>
            </w:r>
          </w:p>
        </w:tc>
        <w:tc>
          <w:tcPr>
            <w:tcW w:type="dxa" w:w="1404"/>
            <w:tcMar>
              <w:top w:type="dxa" w:w="50"/>
              <w:left w:type="dxa" w:w="80"/>
              <w:bottom w:type="dxa" w:w="50"/>
              <w:right w:type="dxa" w:w="80"/>
            </w:tcMar>
          </w:tcPr>
          <w:p>
            <w:r>
              <w:rPr>
                <w:rFonts w:ascii="Arial" w:cs="Arial" w:eastAsia="Arial" w:hAnsi="Arial"/>
                <w:sz w:val="15"/>
                <w:szCs w:val="15"/>
              </w:rPr>
              <w:t xml:space="preserve">3,453 / 1.20</w:t>
            </w:r>
          </w:p>
        </w:tc>
        <w:tc>
          <w:tcPr>
            <w:tcW w:type="dxa" w:w="1404"/>
            <w:tcMar>
              <w:top w:type="dxa" w:w="50"/>
              <w:left w:type="dxa" w:w="80"/>
              <w:bottom w:type="dxa" w:w="50"/>
              <w:right w:type="dxa" w:w="80"/>
            </w:tcMar>
          </w:tcPr>
          <w:p>
            <w:r>
              <w:rPr>
                <w:rFonts w:ascii="Arial" w:cs="Arial" w:eastAsia="Arial" w:hAnsi="Arial"/>
                <w:sz w:val="15"/>
                <w:szCs w:val="15"/>
              </w:rPr>
              <w:t xml:space="preserve">9,416 / 1.72</w:t>
            </w:r>
          </w:p>
        </w:tc>
        <w:tc>
          <w:tcPr>
            <w:tcW w:type="dxa" w:w="1872"/>
            <w:tcMar>
              <w:top w:type="dxa" w:w="50"/>
              <w:left w:type="dxa" w:w="80"/>
              <w:bottom w:type="dxa" w:w="50"/>
              <w:right w:type="dxa" w:w="80"/>
            </w:tcMar>
          </w:tcPr>
          <w:p>
            <w:r>
              <w:rPr>
                <w:rFonts w:ascii="Arial" w:cs="Arial" w:eastAsia="Arial" w:hAnsi="Arial"/>
                <w:sz w:val="15"/>
                <w:szCs w:val="15"/>
              </w:rPr>
              <w:t xml:space="preserve">No - below tolerance to above tolerance</w:t>
            </w:r>
          </w:p>
        </w:tc>
      </w:tr>
      <w:tr>
        <w:tc>
          <w:tcPr>
            <w:tcW w:type="dxa" w:w="468"/>
            <w:shd w:fill="F2F2F2" w:color="auto" w:val="clear"/>
            <w:tcMar>
              <w:top w:type="dxa" w:w="50"/>
              <w:left w:type="dxa" w:w="80"/>
              <w:bottom w:type="dxa" w:w="50"/>
              <w:right w:type="dxa" w:w="80"/>
            </w:tcMar>
          </w:tcPr>
          <w:p>
            <w:r>
              <w:rPr>
                <w:rFonts w:ascii="Arial" w:cs="Arial" w:eastAsia="Arial" w:hAnsi="Arial"/>
                <w:sz w:val="15"/>
                <w:szCs w:val="15"/>
              </w:rPr>
              <w:t xml:space="preserve">S7</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Connected medical device used as a foothold to disrupt clinical equipment and reach the EHR network</w:t>
            </w:r>
          </w:p>
        </w:tc>
        <w:tc>
          <w:tcPr>
            <w:tcW w:type="dxa" w:w="1404"/>
            <w:shd w:fill="F2F2F2" w:color="auto" w:val="clear"/>
            <w:tcMar>
              <w:top w:type="dxa" w:w="50"/>
              <w:left w:type="dxa" w:w="80"/>
              <w:bottom w:type="dxa" w:w="50"/>
              <w:right w:type="dxa" w:w="80"/>
            </w:tcMar>
          </w:tcPr>
          <w:p>
            <w:r>
              <w:rPr>
                <w:rFonts w:ascii="Arial" w:cs="Arial" w:eastAsia="Arial" w:hAnsi="Arial"/>
                <w:sz w:val="15"/>
                <w:szCs w:val="15"/>
              </w:rPr>
              <w:t xml:space="preserve">697 / 0.95</w:t>
            </w:r>
          </w:p>
        </w:tc>
        <w:tc>
          <w:tcPr>
            <w:tcW w:type="dxa" w:w="1404"/>
            <w:shd w:fill="F2F2F2" w:color="auto" w:val="clear"/>
            <w:tcMar>
              <w:top w:type="dxa" w:w="50"/>
              <w:left w:type="dxa" w:w="80"/>
              <w:bottom w:type="dxa" w:w="50"/>
              <w:right w:type="dxa" w:w="80"/>
            </w:tcMar>
          </w:tcPr>
          <w:p>
            <w:r>
              <w:rPr>
                <w:rFonts w:ascii="Arial" w:cs="Arial" w:eastAsia="Arial" w:hAnsi="Arial"/>
                <w:sz w:val="15"/>
                <w:szCs w:val="15"/>
              </w:rPr>
              <w:t xml:space="preserve">2,190 / 1.45</w:t>
            </w:r>
          </w:p>
        </w:tc>
        <w:tc>
          <w:tcPr>
            <w:tcW w:type="dxa" w:w="1404"/>
            <w:shd w:fill="F2F2F2" w:color="auto" w:val="clear"/>
            <w:tcMar>
              <w:top w:type="dxa" w:w="50"/>
              <w:left w:type="dxa" w:w="80"/>
              <w:bottom w:type="dxa" w:w="50"/>
              <w:right w:type="dxa" w:w="80"/>
            </w:tcMar>
          </w:tcPr>
          <w:p>
            <w:r>
              <w:rPr>
                <w:rFonts w:ascii="Arial" w:cs="Arial" w:eastAsia="Arial" w:hAnsi="Arial"/>
                <w:sz w:val="15"/>
                <w:szCs w:val="15"/>
              </w:rPr>
              <w:t xml:space="preserve">5,933 / 1.91</w:t>
            </w:r>
          </w:p>
        </w:tc>
        <w:tc>
          <w:tcPr>
            <w:tcW w:type="dxa" w:w="1872"/>
            <w:shd w:fill="F2F2F2" w:color="auto" w:val="clear"/>
            <w:tcMar>
              <w:top w:type="dxa" w:w="50"/>
              <w:left w:type="dxa" w:w="80"/>
              <w:bottom w:type="dxa" w:w="50"/>
              <w:right w:type="dxa" w:w="80"/>
            </w:tcMar>
          </w:tcPr>
          <w:p>
            <w:r>
              <w:rPr>
                <w:rFonts w:ascii="Arial" w:cs="Arial" w:eastAsia="Arial" w:hAnsi="Arial"/>
                <w:sz w:val="15"/>
                <w:szCs w:val="15"/>
              </w:rPr>
              <w:t xml:space="preserve">No - approximately at tolerance to above tolerance</w:t>
            </w:r>
          </w:p>
        </w:tc>
      </w:tr>
      <w:tr>
        <w:tc>
          <w:tcPr>
            <w:tcW w:type="dxa" w:w="468"/>
            <w:tcMar>
              <w:top w:type="dxa" w:w="50"/>
              <w:left w:type="dxa" w:w="80"/>
              <w:bottom w:type="dxa" w:w="50"/>
              <w:right w:type="dxa" w:w="80"/>
            </w:tcMar>
          </w:tcPr>
          <w:p>
            <w:r>
              <w:rPr>
                <w:rFonts w:ascii="Arial" w:cs="Arial" w:eastAsia="Arial" w:hAnsi="Arial"/>
                <w:sz w:val="15"/>
                <w:szCs w:val="15"/>
              </w:rPr>
              <w:t xml:space="preserve">S9</w:t>
            </w:r>
          </w:p>
        </w:tc>
        <w:tc>
          <w:tcPr>
            <w:tcW w:type="dxa" w:w="2808"/>
            <w:tcMar>
              <w:top w:type="dxa" w:w="50"/>
              <w:left w:type="dxa" w:w="80"/>
              <w:bottom w:type="dxa" w:w="50"/>
              <w:right w:type="dxa" w:w="80"/>
            </w:tcMar>
          </w:tcPr>
          <w:p>
            <w:r>
              <w:rPr>
                <w:rFonts w:ascii="Arial" w:cs="Arial" w:eastAsia="Arial" w:hAnsi="Arial"/>
                <w:sz w:val="15"/>
                <w:szCs w:val="15"/>
              </w:rPr>
              <w:t xml:space="preserve">Compromise of a critical vendor with remote access to MediBec systems</w:t>
            </w:r>
          </w:p>
        </w:tc>
        <w:tc>
          <w:tcPr>
            <w:tcW w:type="dxa" w:w="1404"/>
            <w:tcMar>
              <w:top w:type="dxa" w:w="50"/>
              <w:left w:type="dxa" w:w="80"/>
              <w:bottom w:type="dxa" w:w="50"/>
              <w:right w:type="dxa" w:w="80"/>
            </w:tcMar>
          </w:tcPr>
          <w:p>
            <w:r>
              <w:rPr>
                <w:rFonts w:ascii="Arial" w:cs="Arial" w:eastAsia="Arial" w:hAnsi="Arial"/>
                <w:sz w:val="15"/>
                <w:szCs w:val="15"/>
              </w:rPr>
              <w:t xml:space="preserve">835 / 1.04</w:t>
            </w:r>
          </w:p>
        </w:tc>
        <w:tc>
          <w:tcPr>
            <w:tcW w:type="dxa" w:w="1404"/>
            <w:tcMar>
              <w:top w:type="dxa" w:w="50"/>
              <w:left w:type="dxa" w:w="80"/>
              <w:bottom w:type="dxa" w:w="50"/>
              <w:right w:type="dxa" w:w="80"/>
            </w:tcMar>
          </w:tcPr>
          <w:p>
            <w:r>
              <w:rPr>
                <w:rFonts w:ascii="Arial" w:cs="Arial" w:eastAsia="Arial" w:hAnsi="Arial"/>
                <w:sz w:val="15"/>
                <w:szCs w:val="15"/>
              </w:rPr>
              <w:t xml:space="preserve">2,495 / 1.54</w:t>
            </w:r>
          </w:p>
        </w:tc>
        <w:tc>
          <w:tcPr>
            <w:tcW w:type="dxa" w:w="1404"/>
            <w:tcMar>
              <w:top w:type="dxa" w:w="50"/>
              <w:left w:type="dxa" w:w="80"/>
              <w:bottom w:type="dxa" w:w="50"/>
              <w:right w:type="dxa" w:w="80"/>
            </w:tcMar>
          </w:tcPr>
          <w:p>
            <w:r>
              <w:rPr>
                <w:rFonts w:ascii="Arial" w:cs="Arial" w:eastAsia="Arial" w:hAnsi="Arial"/>
                <w:sz w:val="15"/>
                <w:szCs w:val="15"/>
              </w:rPr>
              <w:t xml:space="preserve">6,748 / 2.06</w:t>
            </w:r>
          </w:p>
        </w:tc>
        <w:tc>
          <w:tcPr>
            <w:tcW w:type="dxa" w:w="1872"/>
            <w:tcMar>
              <w:top w:type="dxa" w:w="50"/>
              <w:left w:type="dxa" w:w="80"/>
              <w:bottom w:type="dxa" w:w="50"/>
              <w:right w:type="dxa" w:w="80"/>
            </w:tcMar>
          </w:tcPr>
          <w:p>
            <w:r>
              <w:rPr>
                <w:rFonts w:ascii="Arial" w:cs="Arial" w:eastAsia="Arial" w:hAnsi="Arial"/>
                <w:sz w:val="15"/>
                <w:szCs w:val="15"/>
              </w:rPr>
              <w:t xml:space="preserve">No - approximately at tolerance to above tolerance</w:t>
            </w:r>
          </w:p>
        </w:tc>
      </w:tr>
      <w:tr>
        <w:tc>
          <w:tcPr>
            <w:tcW w:type="dxa" w:w="468"/>
            <w:shd w:fill="F2F2F2" w:color="auto" w:val="clear"/>
            <w:tcMar>
              <w:top w:type="dxa" w:w="50"/>
              <w:left w:type="dxa" w:w="80"/>
              <w:bottom w:type="dxa" w:w="50"/>
              <w:right w:type="dxa" w:w="80"/>
            </w:tcMar>
          </w:tcPr>
          <w:p>
            <w:r>
              <w:rPr>
                <w:rFonts w:ascii="Arial" w:cs="Arial" w:eastAsia="Arial" w:hAnsi="Arial"/>
                <w:sz w:val="15"/>
                <w:szCs w:val="15"/>
              </w:rPr>
              <w:t xml:space="preserve">S1</w:t>
            </w:r>
          </w:p>
        </w:tc>
        <w:tc>
          <w:tcPr>
            <w:tcW w:type="dxa" w:w="2808"/>
            <w:shd w:fill="F2F2F2" w:color="auto" w:val="clear"/>
            <w:tcMar>
              <w:top w:type="dxa" w:w="50"/>
              <w:left w:type="dxa" w:w="80"/>
              <w:bottom w:type="dxa" w:w="50"/>
              <w:right w:type="dxa" w:w="80"/>
            </w:tcMar>
          </w:tcPr>
          <w:p>
            <w:r>
              <w:rPr>
                <w:rFonts w:ascii="Arial" w:cs="Arial" w:eastAsia="Arial" w:hAnsi="Arial"/>
                <w:sz w:val="15"/>
                <w:szCs w:val="15"/>
              </w:rPr>
              <w:t xml:space="preserve">Credential compromise of clinical administrator accounts through phishing and MFA fatigue</w:t>
            </w:r>
          </w:p>
        </w:tc>
        <w:tc>
          <w:tcPr>
            <w:tcW w:type="dxa" w:w="1404"/>
            <w:shd w:fill="F2F2F2" w:color="auto" w:val="clear"/>
            <w:tcMar>
              <w:top w:type="dxa" w:w="50"/>
              <w:left w:type="dxa" w:w="80"/>
              <w:bottom w:type="dxa" w:w="50"/>
              <w:right w:type="dxa" w:w="80"/>
            </w:tcMar>
          </w:tcPr>
          <w:p>
            <w:r>
              <w:rPr>
                <w:rFonts w:ascii="Arial" w:cs="Arial" w:eastAsia="Arial" w:hAnsi="Arial"/>
                <w:sz w:val="15"/>
                <w:szCs w:val="15"/>
              </w:rPr>
              <w:t xml:space="preserve">752 / 0.47</w:t>
            </w:r>
          </w:p>
        </w:tc>
        <w:tc>
          <w:tcPr>
            <w:tcW w:type="dxa" w:w="1404"/>
            <w:shd w:fill="F2F2F2" w:color="auto" w:val="clear"/>
            <w:tcMar>
              <w:top w:type="dxa" w:w="50"/>
              <w:left w:type="dxa" w:w="80"/>
              <w:bottom w:type="dxa" w:w="50"/>
              <w:right w:type="dxa" w:w="80"/>
            </w:tcMar>
          </w:tcPr>
          <w:p>
            <w:r>
              <w:rPr>
                <w:rFonts w:ascii="Arial" w:cs="Arial" w:eastAsia="Arial" w:hAnsi="Arial"/>
                <w:sz w:val="15"/>
                <w:szCs w:val="15"/>
              </w:rPr>
              <w:t xml:space="preserve">2,587 / 0.93</w:t>
            </w:r>
          </w:p>
        </w:tc>
        <w:tc>
          <w:tcPr>
            <w:tcW w:type="dxa" w:w="1404"/>
            <w:shd w:fill="F2F2F2" w:color="auto" w:val="clear"/>
            <w:tcMar>
              <w:top w:type="dxa" w:w="50"/>
              <w:left w:type="dxa" w:w="80"/>
              <w:bottom w:type="dxa" w:w="50"/>
              <w:right w:type="dxa" w:w="80"/>
            </w:tcMar>
          </w:tcPr>
          <w:p>
            <w:r>
              <w:rPr>
                <w:rFonts w:ascii="Arial" w:cs="Arial" w:eastAsia="Arial" w:hAnsi="Arial"/>
                <w:sz w:val="15"/>
                <w:szCs w:val="15"/>
              </w:rPr>
              <w:t xml:space="preserve">7,094 / 1.45</w:t>
            </w:r>
          </w:p>
        </w:tc>
        <w:tc>
          <w:tcPr>
            <w:tcW w:type="dxa" w:w="1872"/>
            <w:shd w:fill="F2F2F2" w:color="auto" w:val="clear"/>
            <w:tcMar>
              <w:top w:type="dxa" w:w="50"/>
              <w:left w:type="dxa" w:w="80"/>
              <w:bottom w:type="dxa" w:w="50"/>
              <w:right w:type="dxa" w:w="80"/>
            </w:tcMar>
          </w:tcPr>
          <w:p>
            <w:r>
              <w:rPr>
                <w:rFonts w:ascii="Arial" w:cs="Arial" w:eastAsia="Arial" w:hAnsi="Arial"/>
                <w:sz w:val="15"/>
                <w:szCs w:val="15"/>
              </w:rPr>
              <w:t xml:space="preserve">No - below tolerance to above tolerance</w:t>
            </w:r>
          </w:p>
        </w:tc>
      </w:tr>
      <w:tr>
        <w:tc>
          <w:tcPr>
            <w:tcW w:type="dxa" w:w="468"/>
            <w:tcMar>
              <w:top w:type="dxa" w:w="50"/>
              <w:left w:type="dxa" w:w="80"/>
              <w:bottom w:type="dxa" w:w="50"/>
              <w:right w:type="dxa" w:w="80"/>
            </w:tcMar>
          </w:tcPr>
          <w:p>
            <w:r>
              <w:rPr>
                <w:rFonts w:ascii="Arial" w:cs="Arial" w:eastAsia="Arial" w:hAnsi="Arial"/>
                <w:sz w:val="15"/>
                <w:szCs w:val="15"/>
              </w:rPr>
              <w:t xml:space="preserve">S8</w:t>
            </w:r>
          </w:p>
        </w:tc>
        <w:tc>
          <w:tcPr>
            <w:tcW w:type="dxa" w:w="2808"/>
            <w:tcMar>
              <w:top w:type="dxa" w:w="50"/>
              <w:left w:type="dxa" w:w="80"/>
              <w:bottom w:type="dxa" w:w="50"/>
              <w:right w:type="dxa" w:w="80"/>
            </w:tcMar>
          </w:tcPr>
          <w:p>
            <w:r>
              <w:rPr>
                <w:rFonts w:ascii="Arial" w:cs="Arial" w:eastAsia="Arial" w:hAnsi="Arial"/>
                <w:sz w:val="15"/>
                <w:szCs w:val="15"/>
              </w:rPr>
              <w:t xml:space="preserve">Detection and response gaps allow an intrusion to persist and escalate</w:t>
            </w:r>
          </w:p>
        </w:tc>
        <w:tc>
          <w:tcPr>
            <w:tcW w:type="dxa" w:w="1404"/>
            <w:tcMar>
              <w:top w:type="dxa" w:w="50"/>
              <w:left w:type="dxa" w:w="80"/>
              <w:bottom w:type="dxa" w:w="50"/>
              <w:right w:type="dxa" w:w="80"/>
            </w:tcMar>
          </w:tcPr>
          <w:p>
            <w:r>
              <w:rPr>
                <w:rFonts w:ascii="Arial" w:cs="Arial" w:eastAsia="Arial" w:hAnsi="Arial"/>
                <w:sz w:val="15"/>
                <w:szCs w:val="15"/>
              </w:rPr>
              <w:t xml:space="preserve">1,259 / 0.61</w:t>
            </w:r>
          </w:p>
        </w:tc>
        <w:tc>
          <w:tcPr>
            <w:tcW w:type="dxa" w:w="1404"/>
            <w:tcMar>
              <w:top w:type="dxa" w:w="50"/>
              <w:left w:type="dxa" w:w="80"/>
              <w:bottom w:type="dxa" w:w="50"/>
              <w:right w:type="dxa" w:w="80"/>
            </w:tcMar>
          </w:tcPr>
          <w:p>
            <w:r>
              <w:rPr>
                <w:rFonts w:ascii="Arial" w:cs="Arial" w:eastAsia="Arial" w:hAnsi="Arial"/>
                <w:sz w:val="15"/>
                <w:szCs w:val="15"/>
              </w:rPr>
              <w:t xml:space="preserve">4,174 / 1.10</w:t>
            </w:r>
          </w:p>
        </w:tc>
        <w:tc>
          <w:tcPr>
            <w:tcW w:type="dxa" w:w="1404"/>
            <w:tcMar>
              <w:top w:type="dxa" w:w="50"/>
              <w:left w:type="dxa" w:w="80"/>
              <w:bottom w:type="dxa" w:w="50"/>
              <w:right w:type="dxa" w:w="80"/>
            </w:tcMar>
          </w:tcPr>
          <w:p>
            <w:r>
              <w:rPr>
                <w:rFonts w:ascii="Arial" w:cs="Arial" w:eastAsia="Arial" w:hAnsi="Arial"/>
                <w:sz w:val="15"/>
                <w:szCs w:val="15"/>
              </w:rPr>
              <w:t xml:space="preserve">12,204 / 1.63</w:t>
            </w:r>
          </w:p>
        </w:tc>
        <w:tc>
          <w:tcPr>
            <w:tcW w:type="dxa" w:w="1872"/>
            <w:tcMar>
              <w:top w:type="dxa" w:w="50"/>
              <w:left w:type="dxa" w:w="80"/>
              <w:bottom w:type="dxa" w:w="50"/>
              <w:right w:type="dxa" w:w="80"/>
            </w:tcMar>
          </w:tcPr>
          <w:p>
            <w:r>
              <w:rPr>
                <w:rFonts w:ascii="Arial" w:cs="Arial" w:eastAsia="Arial" w:hAnsi="Arial"/>
                <w:sz w:val="15"/>
                <w:szCs w:val="15"/>
              </w:rPr>
              <w:t xml:space="preserve">No - below tolerance to above tolerance</w:t>
            </w:r>
          </w:p>
        </w:tc>
      </w:tr>
    </w:tbl>
    <w:p>
      <w:pPr>
        <w:spacing w:after="80"/>
      </w:pPr>
    </w:p>
    <w:p>
      <w:pPr>
        <w:spacing w:after="120"/>
      </w:pPr>
      <w:r>
        <w:rPr>
          <w:rFonts w:ascii="Arial" w:cs="Arial" w:eastAsia="Arial" w:hAnsi="Arial"/>
          <w:b/>
          <w:bCs/>
        </w:rPr>
        <w:t xml:space="preserve">Findings.</w:t>
      </w:r>
    </w:p>
    <w:p>
      <w:pPr>
        <w:pStyle w:val="ListParagraph"/>
        <w:numPr>
          <w:ilvl w:val="0"/>
          <w:numId w:val="2"/>
        </w:numPr>
        <w:spacing w:after="60"/>
      </w:pPr>
      <w:r>
        <w:rPr>
          <w:rFonts w:ascii="Arial" w:cs="Arial" w:eastAsia="Arial" w:hAnsi="Arial"/>
          <w:b/>
          <w:bCs/>
        </w:rPr>
        <w:t xml:space="preserve">S9 (vendors)</w:t>
      </w:r>
      <w:r>
        <w:rPr>
          <w:rFonts w:ascii="Arial" w:cs="Arial" w:eastAsia="Arial" w:hAnsi="Arial"/>
        </w:rPr>
        <w:t xml:space="preserve"> is above tolerance in the central and higher cases and only reaches approximately-at in the lower case (1.04): treatment within MediBec's control is insufficient on its own, so contractual and insurance transfer plus formal acceptance is the robust recommendation.</w:t>
      </w:r>
    </w:p>
    <w:p>
      <w:pPr>
        <w:pStyle w:val="ListParagraph"/>
        <w:numPr>
          <w:ilvl w:val="0"/>
          <w:numId w:val="2"/>
        </w:numPr>
        <w:spacing w:after="60"/>
      </w:pPr>
      <w:r>
        <w:rPr>
          <w:rFonts w:ascii="Arial" w:cs="Arial" w:eastAsia="Arial" w:hAnsi="Arial"/>
          <w:b/>
          <w:bCs/>
        </w:rPr>
        <w:t xml:space="preserve">S7 (medical devices)</w:t>
      </w:r>
      <w:r>
        <w:rPr>
          <w:rFonts w:ascii="Arial" w:cs="Arial" w:eastAsia="Arial" w:hAnsi="Arial"/>
        </w:rPr>
        <w:t xml:space="preserve"> is at tolerance only in the lower case: its outcome depends on manufacturer cooperation and segmentation effectiveness - both need validation before committing to acceptance.</w:t>
      </w:r>
    </w:p>
    <w:p>
      <w:pPr>
        <w:pStyle w:val="ListParagraph"/>
        <w:numPr>
          <w:ilvl w:val="0"/>
          <w:numId w:val="2"/>
        </w:numPr>
        <w:spacing w:after="60"/>
      </w:pPr>
      <w:r>
        <w:rPr>
          <w:rFonts w:ascii="Arial" w:cs="Arial" w:eastAsia="Arial" w:hAnsi="Arial"/>
          <w:b/>
          <w:bCs/>
        </w:rPr>
        <w:t xml:space="preserve">S1, S2 and S8</w:t>
      </w:r>
      <w:r>
        <w:rPr>
          <w:rFonts w:ascii="Arial" w:cs="Arial" w:eastAsia="Arial" w:hAnsi="Arial"/>
        </w:rPr>
        <w:t xml:space="preserve"> flip between below and above tolerance: the decision to invest is robust (estimated risk is high in all cases), but whether residual risk can be accepted depends on the treatment achieving its assumed effectiveness. Track with KRI-01, KRI-05, KRI-06, KRI-07.</w:t>
      </w:r>
    </w:p>
    <w:p>
      <w:pPr>
        <w:pStyle w:val="ListParagraph"/>
        <w:numPr>
          <w:ilvl w:val="0"/>
          <w:numId w:val="2"/>
        </w:numPr>
        <w:spacing w:after="60"/>
      </w:pPr>
      <w:r>
        <w:rPr>
          <w:rFonts w:ascii="Arial" w:cs="Arial" w:eastAsia="Arial" w:hAnsi="Arial"/>
        </w:rPr>
        <w:t xml:space="preserve">Appetite is as influential as any parameter (Section 4): moving from 0.30 to 0.40 changes the classification of eight of the ten scenarios.</w:t>
      </w:r>
    </w:p>
    <w:p>
      <w:pPr>
        <w:pStyle w:val="Heading1"/>
        <w:pageBreakBefore/>
      </w:pPr>
      <w:r>
        <w:rPr>
          <w:rFonts w:ascii="Arial" w:cs="Arial" w:eastAsia="Arial" w:hAnsi="Arial"/>
        </w:rPr>
        <w:t xml:space="preserve">10. Prioritization and treatment portfolio</w:t>
      </w:r>
    </w:p>
    <w:p>
      <w:pPr>
        <w:pStyle w:val="Heading2"/>
      </w:pPr>
      <w:r>
        <w:rPr>
          <w:rFonts w:ascii="Arial" w:cs="Arial" w:eastAsia="Arial" w:hAnsi="Arial"/>
        </w:rPr>
        <w:t xml:space="preserve">10.1 Management attention list</w:t>
      </w:r>
    </w:p>
    <w:p>
      <w:pPr>
        <w:spacing w:after="120"/>
      </w:pPr>
      <w:r>
        <w:rPr>
          <w:rFonts w:ascii="Arial" w:cs="Arial" w:eastAsia="Arial" w:hAnsi="Arial"/>
        </w:rPr>
        <w:t xml:space="preserve">Ranking combines estimated and residual risk, tolerance ratio, maximum consequence, patient-safety and privacy significance, risk velocity, cost-effectiveness, shared benefit and time to benefit. It is a judgement to support discussion, not a mathematical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
        <w:gridCol w:w="468"/>
        <w:gridCol w:w="1497"/>
        <w:gridCol w:w="4212"/>
        <w:gridCol w:w="2809"/>
      </w:tblGrid>
      <w:tr>
        <w:trPr>
          <w:tblHeader/>
        </w:trPr>
        <w:tc>
          <w:tcPr>
            <w:tcW w:type="dxa" w:w="37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w:t>
            </w:r>
          </w:p>
        </w:tc>
        <w:tc>
          <w:tcPr>
            <w:tcW w:type="dxa" w:w="468"/>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ID</w:t>
            </w:r>
          </w:p>
        </w:tc>
        <w:tc>
          <w:tcPr>
            <w:tcW w:type="dxa" w:w="1497"/>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Scenario</w:t>
            </w:r>
          </w:p>
        </w:tc>
        <w:tc>
          <w:tcPr>
            <w:tcW w:type="dxa" w:w="421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Basis</w:t>
            </w:r>
          </w:p>
        </w:tc>
        <w:tc>
          <w:tcPr>
            <w:tcW w:type="dxa" w:w="2809"/>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Action</w:t>
            </w:r>
          </w:p>
        </w:tc>
      </w:tr>
      <w:tr>
        <w:tc>
          <w:tcPr>
            <w:tcW w:type="dxa" w:w="374"/>
            <w:tcMar>
              <w:top w:type="dxa" w:w="50"/>
              <w:left w:type="dxa" w:w="80"/>
              <w:bottom w:type="dxa" w:w="50"/>
              <w:right w:type="dxa" w:w="80"/>
            </w:tcMar>
          </w:tcPr>
          <w:p>
            <w:r>
              <w:rPr>
                <w:rFonts w:ascii="Arial" w:cs="Arial" w:eastAsia="Arial" w:hAnsi="Arial"/>
                <w:sz w:val="15"/>
                <w:szCs w:val="15"/>
              </w:rPr>
              <w:t xml:space="preserve">1</w:t>
            </w:r>
          </w:p>
        </w:tc>
        <w:tc>
          <w:tcPr>
            <w:tcW w:type="dxa" w:w="468"/>
            <w:tcMar>
              <w:top w:type="dxa" w:w="50"/>
              <w:left w:type="dxa" w:w="80"/>
              <w:bottom w:type="dxa" w:w="50"/>
              <w:right w:type="dxa" w:w="80"/>
            </w:tcMar>
          </w:tcPr>
          <w:p>
            <w:r>
              <w:rPr>
                <w:rFonts w:ascii="Arial" w:cs="Arial" w:eastAsia="Arial" w:hAnsi="Arial"/>
                <w:sz w:val="15"/>
                <w:szCs w:val="15"/>
              </w:rPr>
              <w:t xml:space="preserve">S2</w:t>
            </w:r>
          </w:p>
        </w:tc>
        <w:tc>
          <w:tcPr>
            <w:tcW w:type="dxa" w:w="1497"/>
            <w:tcMar>
              <w:top w:type="dxa" w:w="50"/>
              <w:left w:type="dxa" w:w="80"/>
              <w:bottom w:type="dxa" w:w="50"/>
              <w:right w:type="dxa" w:w="80"/>
            </w:tcMar>
          </w:tcPr>
          <w:p>
            <w:r>
              <w:rPr>
                <w:rFonts w:ascii="Arial" w:cs="Arial" w:eastAsia="Arial" w:hAnsi="Arial"/>
                <w:sz w:val="15"/>
                <w:szCs w:val="15"/>
              </w:rPr>
              <w:t xml:space="preserve">Ransomware</w:t>
            </w:r>
          </w:p>
        </w:tc>
        <w:tc>
          <w:tcPr>
            <w:tcW w:type="dxa" w:w="4212"/>
            <w:tcMar>
              <w:top w:type="dxa" w:w="50"/>
              <w:left w:type="dxa" w:w="80"/>
              <w:bottom w:type="dxa" w:w="50"/>
              <w:right w:type="dxa" w:w="80"/>
            </w:tcMar>
          </w:tcPr>
          <w:p>
            <w:r>
              <w:rPr>
                <w:rFonts w:ascii="Arial" w:cs="Arial" w:eastAsia="Arial" w:hAnsi="Arial"/>
                <w:sz w:val="15"/>
                <w:szCs w:val="15"/>
              </w:rPr>
              <w:t xml:space="preserve">Highest combined clinical, privacy and operational consequence (dm 0.95); above tolerance; fast-moving</w:t>
            </w:r>
          </w:p>
        </w:tc>
        <w:tc>
          <w:tcPr>
            <w:tcW w:type="dxa" w:w="2809"/>
            <w:tcMar>
              <w:top w:type="dxa" w:w="50"/>
              <w:left w:type="dxa" w:w="80"/>
              <w:bottom w:type="dxa" w:w="50"/>
              <w:right w:type="dxa" w:w="80"/>
            </w:tcMar>
          </w:tcPr>
          <w:p>
            <w:r>
              <w:rPr>
                <w:rFonts w:ascii="Arial" w:cs="Arial" w:eastAsia="Arial" w:hAnsi="Arial"/>
                <w:sz w:val="15"/>
                <w:szCs w:val="15"/>
              </w:rPr>
              <w:t xml:space="preserve">Fund layered package; Board acceptance of residual; insurance review</w:t>
            </w:r>
          </w:p>
        </w:tc>
      </w:tr>
      <w:tr>
        <w:tc>
          <w:tcPr>
            <w:tcW w:type="dxa" w:w="374"/>
            <w:shd w:fill="F2F2F2" w:color="auto" w:val="clear"/>
            <w:tcMar>
              <w:top w:type="dxa" w:w="50"/>
              <w:left w:type="dxa" w:w="80"/>
              <w:bottom w:type="dxa" w:w="50"/>
              <w:right w:type="dxa" w:w="80"/>
            </w:tcMar>
          </w:tcPr>
          <w:p>
            <w:r>
              <w:rPr>
                <w:rFonts w:ascii="Arial" w:cs="Arial" w:eastAsia="Arial" w:hAnsi="Arial"/>
                <w:sz w:val="15"/>
                <w:szCs w:val="15"/>
              </w:rPr>
              <w:t xml:space="preserve">2</w:t>
            </w:r>
          </w:p>
        </w:tc>
        <w:tc>
          <w:tcPr>
            <w:tcW w:type="dxa" w:w="468"/>
            <w:shd w:fill="F2F2F2" w:color="auto" w:val="clear"/>
            <w:tcMar>
              <w:top w:type="dxa" w:w="50"/>
              <w:left w:type="dxa" w:w="80"/>
              <w:bottom w:type="dxa" w:w="50"/>
              <w:right w:type="dxa" w:w="80"/>
            </w:tcMar>
          </w:tcPr>
          <w:p>
            <w:r>
              <w:rPr>
                <w:rFonts w:ascii="Arial" w:cs="Arial" w:eastAsia="Arial" w:hAnsi="Arial"/>
                <w:sz w:val="15"/>
                <w:szCs w:val="15"/>
              </w:rPr>
              <w:t xml:space="preserve">S8</w:t>
            </w:r>
          </w:p>
        </w:tc>
        <w:tc>
          <w:tcPr>
            <w:tcW w:type="dxa" w:w="1497"/>
            <w:shd w:fill="F2F2F2" w:color="auto" w:val="clear"/>
            <w:tcMar>
              <w:top w:type="dxa" w:w="50"/>
              <w:left w:type="dxa" w:w="80"/>
              <w:bottom w:type="dxa" w:w="50"/>
              <w:right w:type="dxa" w:w="80"/>
            </w:tcMar>
          </w:tcPr>
          <w:p>
            <w:r>
              <w:rPr>
                <w:rFonts w:ascii="Arial" w:cs="Arial" w:eastAsia="Arial" w:hAnsi="Arial"/>
                <w:sz w:val="15"/>
                <w:szCs w:val="15"/>
              </w:rPr>
              <w:t xml:space="preserve">Detection and response</w:t>
            </w:r>
          </w:p>
        </w:tc>
        <w:tc>
          <w:tcPr>
            <w:tcW w:type="dxa" w:w="4212"/>
            <w:shd w:fill="F2F2F2" w:color="auto" w:val="clear"/>
            <w:tcMar>
              <w:top w:type="dxa" w:w="50"/>
              <w:left w:type="dxa" w:w="80"/>
              <w:bottom w:type="dxa" w:w="50"/>
              <w:right w:type="dxa" w:w="80"/>
            </w:tcMar>
          </w:tcPr>
          <w:p>
            <w:r>
              <w:rPr>
                <w:rFonts w:ascii="Arial" w:cs="Arial" w:eastAsia="Arial" w:hAnsi="Arial"/>
                <w:sz w:val="15"/>
                <w:szCs w:val="15"/>
              </w:rPr>
              <w:t xml:space="preserve">Highest estimated risk; best cost-effectiveness (25.4); amplifies every other scenario</w:t>
            </w:r>
          </w:p>
        </w:tc>
        <w:tc>
          <w:tcPr>
            <w:tcW w:type="dxa" w:w="2809"/>
            <w:shd w:fill="F2F2F2" w:color="auto" w:val="clear"/>
            <w:tcMar>
              <w:top w:type="dxa" w:w="50"/>
              <w:left w:type="dxa" w:w="80"/>
              <w:bottom w:type="dxa" w:w="50"/>
              <w:right w:type="dxa" w:w="80"/>
            </w:tcMar>
          </w:tcPr>
          <w:p>
            <w:r>
              <w:rPr>
                <w:rFonts w:ascii="Arial" w:cs="Arial" w:eastAsia="Arial" w:hAnsi="Arial"/>
                <w:sz w:val="15"/>
                <w:szCs w:val="15"/>
              </w:rPr>
              <w:t xml:space="preserve">Immediate MDR and IR readiness</w:t>
            </w:r>
          </w:p>
        </w:tc>
      </w:tr>
      <w:tr>
        <w:tc>
          <w:tcPr>
            <w:tcW w:type="dxa" w:w="374"/>
            <w:tcMar>
              <w:top w:type="dxa" w:w="50"/>
              <w:left w:type="dxa" w:w="80"/>
              <w:bottom w:type="dxa" w:w="50"/>
              <w:right w:type="dxa" w:w="80"/>
            </w:tcMar>
          </w:tcPr>
          <w:p>
            <w:r>
              <w:rPr>
                <w:rFonts w:ascii="Arial" w:cs="Arial" w:eastAsia="Arial" w:hAnsi="Arial"/>
                <w:sz w:val="15"/>
                <w:szCs w:val="15"/>
              </w:rPr>
              <w:t xml:space="preserve">3</w:t>
            </w:r>
          </w:p>
        </w:tc>
        <w:tc>
          <w:tcPr>
            <w:tcW w:type="dxa" w:w="468"/>
            <w:tcMar>
              <w:top w:type="dxa" w:w="50"/>
              <w:left w:type="dxa" w:w="80"/>
              <w:bottom w:type="dxa" w:w="50"/>
              <w:right w:type="dxa" w:w="80"/>
            </w:tcMar>
          </w:tcPr>
          <w:p>
            <w:r>
              <w:rPr>
                <w:rFonts w:ascii="Arial" w:cs="Arial" w:eastAsia="Arial" w:hAnsi="Arial"/>
                <w:sz w:val="15"/>
                <w:szCs w:val="15"/>
              </w:rPr>
              <w:t xml:space="preserve">S1</w:t>
            </w:r>
          </w:p>
        </w:tc>
        <w:tc>
          <w:tcPr>
            <w:tcW w:type="dxa" w:w="1497"/>
            <w:tcMar>
              <w:top w:type="dxa" w:w="50"/>
              <w:left w:type="dxa" w:w="80"/>
              <w:bottom w:type="dxa" w:w="50"/>
              <w:right w:type="dxa" w:w="80"/>
            </w:tcMar>
          </w:tcPr>
          <w:p>
            <w:r>
              <w:rPr>
                <w:rFonts w:ascii="Arial" w:cs="Arial" w:eastAsia="Arial" w:hAnsi="Arial"/>
                <w:sz w:val="15"/>
                <w:szCs w:val="15"/>
              </w:rPr>
              <w:t xml:space="preserve">Credential compromise</w:t>
            </w:r>
          </w:p>
        </w:tc>
        <w:tc>
          <w:tcPr>
            <w:tcW w:type="dxa" w:w="4212"/>
            <w:tcMar>
              <w:top w:type="dxa" w:w="50"/>
              <w:left w:type="dxa" w:w="80"/>
              <w:bottom w:type="dxa" w:w="50"/>
              <w:right w:type="dxa" w:w="80"/>
            </w:tcMar>
          </w:tcPr>
          <w:p>
            <w:r>
              <w:rPr>
                <w:rFonts w:ascii="Arial" w:cs="Arial" w:eastAsia="Arial" w:hAnsi="Arial"/>
                <w:sz w:val="15"/>
                <w:szCs w:val="15"/>
              </w:rPr>
              <w:t xml:space="preserve">Most likely entry path; strong cost-effectiveness (17.3); quick to treat</w:t>
            </w:r>
          </w:p>
        </w:tc>
        <w:tc>
          <w:tcPr>
            <w:tcW w:type="dxa" w:w="2809"/>
            <w:tcMar>
              <w:top w:type="dxa" w:w="50"/>
              <w:left w:type="dxa" w:w="80"/>
              <w:bottom w:type="dxa" w:w="50"/>
              <w:right w:type="dxa" w:w="80"/>
            </w:tcMar>
          </w:tcPr>
          <w:p>
            <w:r>
              <w:rPr>
                <w:rFonts w:ascii="Arial" w:cs="Arial" w:eastAsia="Arial" w:hAnsi="Arial"/>
                <w:sz w:val="15"/>
                <w:szCs w:val="15"/>
              </w:rPr>
              <w:t xml:space="preserve">Phishing-resistant MFA within 90 days for privileged and remote access</w:t>
            </w:r>
          </w:p>
        </w:tc>
      </w:tr>
      <w:tr>
        <w:tc>
          <w:tcPr>
            <w:tcW w:type="dxa" w:w="374"/>
            <w:shd w:fill="F2F2F2" w:color="auto" w:val="clear"/>
            <w:tcMar>
              <w:top w:type="dxa" w:w="50"/>
              <w:left w:type="dxa" w:w="80"/>
              <w:bottom w:type="dxa" w:w="50"/>
              <w:right w:type="dxa" w:w="80"/>
            </w:tcMar>
          </w:tcPr>
          <w:p>
            <w:r>
              <w:rPr>
                <w:rFonts w:ascii="Arial" w:cs="Arial" w:eastAsia="Arial" w:hAnsi="Arial"/>
                <w:sz w:val="15"/>
                <w:szCs w:val="15"/>
              </w:rPr>
              <w:t xml:space="preserve">4</w:t>
            </w:r>
          </w:p>
        </w:tc>
        <w:tc>
          <w:tcPr>
            <w:tcW w:type="dxa" w:w="468"/>
            <w:shd w:fill="F2F2F2" w:color="auto" w:val="clear"/>
            <w:tcMar>
              <w:top w:type="dxa" w:w="50"/>
              <w:left w:type="dxa" w:w="80"/>
              <w:bottom w:type="dxa" w:w="50"/>
              <w:right w:type="dxa" w:w="80"/>
            </w:tcMar>
          </w:tcPr>
          <w:p>
            <w:r>
              <w:rPr>
                <w:rFonts w:ascii="Arial" w:cs="Arial" w:eastAsia="Arial" w:hAnsi="Arial"/>
                <w:sz w:val="15"/>
                <w:szCs w:val="15"/>
              </w:rPr>
              <w:t xml:space="preserve">S7</w:t>
            </w:r>
          </w:p>
        </w:tc>
        <w:tc>
          <w:tcPr>
            <w:tcW w:type="dxa" w:w="1497"/>
            <w:shd w:fill="F2F2F2" w:color="auto" w:val="clear"/>
            <w:tcMar>
              <w:top w:type="dxa" w:w="50"/>
              <w:left w:type="dxa" w:w="80"/>
              <w:bottom w:type="dxa" w:w="50"/>
              <w:right w:type="dxa" w:w="80"/>
            </w:tcMar>
          </w:tcPr>
          <w:p>
            <w:r>
              <w:rPr>
                <w:rFonts w:ascii="Arial" w:cs="Arial" w:eastAsia="Arial" w:hAnsi="Arial"/>
                <w:sz w:val="15"/>
                <w:szCs w:val="15"/>
              </w:rPr>
              <w:t xml:space="preserve">Medical devices</w:t>
            </w:r>
          </w:p>
        </w:tc>
        <w:tc>
          <w:tcPr>
            <w:tcW w:type="dxa" w:w="4212"/>
            <w:shd w:fill="F2F2F2" w:color="auto" w:val="clear"/>
            <w:tcMar>
              <w:top w:type="dxa" w:w="50"/>
              <w:left w:type="dxa" w:w="80"/>
              <w:bottom w:type="dxa" w:w="50"/>
              <w:right w:type="dxa" w:w="80"/>
            </w:tcMar>
          </w:tcPr>
          <w:p>
            <w:r>
              <w:rPr>
                <w:rFonts w:ascii="Arial" w:cs="Arial" w:eastAsia="Arial" w:hAnsi="Arial"/>
                <w:sz w:val="15"/>
                <w:szCs w:val="15"/>
              </w:rPr>
              <w:t xml:space="preserve">Direct patient-safety pathway; ratio 1.45; slow to treat (certification, vendors)</w:t>
            </w:r>
          </w:p>
        </w:tc>
        <w:tc>
          <w:tcPr>
            <w:tcW w:type="dxa" w:w="2809"/>
            <w:shd w:fill="F2F2F2" w:color="auto" w:val="clear"/>
            <w:tcMar>
              <w:top w:type="dxa" w:w="50"/>
              <w:left w:type="dxa" w:w="80"/>
              <w:bottom w:type="dxa" w:w="50"/>
              <w:right w:type="dxa" w:w="80"/>
            </w:tcMar>
          </w:tcPr>
          <w:p>
            <w:r>
              <w:rPr>
                <w:rFonts w:ascii="Arial" w:cs="Arial" w:eastAsia="Arial" w:hAnsi="Arial"/>
                <w:sz w:val="15"/>
                <w:szCs w:val="15"/>
              </w:rPr>
              <w:t xml:space="preserve">Start device programme and segmentation; CMO sign-off on residual</w:t>
            </w:r>
          </w:p>
        </w:tc>
      </w:tr>
      <w:tr>
        <w:tc>
          <w:tcPr>
            <w:tcW w:type="dxa" w:w="374"/>
            <w:tcMar>
              <w:top w:type="dxa" w:w="50"/>
              <w:left w:type="dxa" w:w="80"/>
              <w:bottom w:type="dxa" w:w="50"/>
              <w:right w:type="dxa" w:w="80"/>
            </w:tcMar>
          </w:tcPr>
          <w:p>
            <w:r>
              <w:rPr>
                <w:rFonts w:ascii="Arial" w:cs="Arial" w:eastAsia="Arial" w:hAnsi="Arial"/>
                <w:sz w:val="15"/>
                <w:szCs w:val="15"/>
              </w:rPr>
              <w:t xml:space="preserve">5</w:t>
            </w:r>
          </w:p>
        </w:tc>
        <w:tc>
          <w:tcPr>
            <w:tcW w:type="dxa" w:w="468"/>
            <w:tcMar>
              <w:top w:type="dxa" w:w="50"/>
              <w:left w:type="dxa" w:w="80"/>
              <w:bottom w:type="dxa" w:w="50"/>
              <w:right w:type="dxa" w:w="80"/>
            </w:tcMar>
          </w:tcPr>
          <w:p>
            <w:r>
              <w:rPr>
                <w:rFonts w:ascii="Arial" w:cs="Arial" w:eastAsia="Arial" w:hAnsi="Arial"/>
                <w:sz w:val="15"/>
                <w:szCs w:val="15"/>
              </w:rPr>
              <w:t xml:space="preserve">S3</w:t>
            </w:r>
          </w:p>
        </w:tc>
        <w:tc>
          <w:tcPr>
            <w:tcW w:type="dxa" w:w="1497"/>
            <w:tcMar>
              <w:top w:type="dxa" w:w="50"/>
              <w:left w:type="dxa" w:w="80"/>
              <w:bottom w:type="dxa" w:w="50"/>
              <w:right w:type="dxa" w:w="80"/>
            </w:tcMar>
          </w:tcPr>
          <w:p>
            <w:r>
              <w:rPr>
                <w:rFonts w:ascii="Arial" w:cs="Arial" w:eastAsia="Arial" w:hAnsi="Arial"/>
                <w:sz w:val="15"/>
                <w:szCs w:val="15"/>
              </w:rPr>
              <w:t xml:space="preserve">Backup compromise</w:t>
            </w:r>
          </w:p>
        </w:tc>
        <w:tc>
          <w:tcPr>
            <w:tcW w:type="dxa" w:w="4212"/>
            <w:tcMar>
              <w:top w:type="dxa" w:w="50"/>
              <w:left w:type="dxa" w:w="80"/>
              <w:bottom w:type="dxa" w:w="50"/>
              <w:right w:type="dxa" w:w="80"/>
            </w:tcMar>
          </w:tcPr>
          <w:p>
            <w:r>
              <w:rPr>
                <w:rFonts w:ascii="Arial" w:cs="Arial" w:eastAsia="Arial" w:hAnsi="Arial"/>
                <w:sz w:val="15"/>
                <w:szCs w:val="15"/>
              </w:rPr>
              <w:t xml:space="preserve">Determines whether S2 is recoverable; falls below tolerance once treated</w:t>
            </w:r>
          </w:p>
        </w:tc>
        <w:tc>
          <w:tcPr>
            <w:tcW w:type="dxa" w:w="2809"/>
            <w:tcMar>
              <w:top w:type="dxa" w:w="50"/>
              <w:left w:type="dxa" w:w="80"/>
              <w:bottom w:type="dxa" w:w="50"/>
              <w:right w:type="dxa" w:w="80"/>
            </w:tcMar>
          </w:tcPr>
          <w:p>
            <w:r>
              <w:rPr>
                <w:rFonts w:ascii="Arial" w:cs="Arial" w:eastAsia="Arial" w:hAnsi="Arial"/>
                <w:sz w:val="15"/>
                <w:szCs w:val="15"/>
              </w:rPr>
              <w:t xml:space="preserve">Immediate backup isolation and restore test</w:t>
            </w:r>
          </w:p>
        </w:tc>
      </w:tr>
      <w:tr>
        <w:tc>
          <w:tcPr>
            <w:tcW w:type="dxa" w:w="374"/>
            <w:shd w:fill="F2F2F2" w:color="auto" w:val="clear"/>
            <w:tcMar>
              <w:top w:type="dxa" w:w="50"/>
              <w:left w:type="dxa" w:w="80"/>
              <w:bottom w:type="dxa" w:w="50"/>
              <w:right w:type="dxa" w:w="80"/>
            </w:tcMar>
          </w:tcPr>
          <w:p>
            <w:r>
              <w:rPr>
                <w:rFonts w:ascii="Arial" w:cs="Arial" w:eastAsia="Arial" w:hAnsi="Arial"/>
                <w:sz w:val="15"/>
                <w:szCs w:val="15"/>
              </w:rPr>
              <w:t xml:space="preserve">6</w:t>
            </w:r>
          </w:p>
        </w:tc>
        <w:tc>
          <w:tcPr>
            <w:tcW w:type="dxa" w:w="468"/>
            <w:shd w:fill="F2F2F2" w:color="auto" w:val="clear"/>
            <w:tcMar>
              <w:top w:type="dxa" w:w="50"/>
              <w:left w:type="dxa" w:w="80"/>
              <w:bottom w:type="dxa" w:w="50"/>
              <w:right w:type="dxa" w:w="80"/>
            </w:tcMar>
          </w:tcPr>
          <w:p>
            <w:r>
              <w:rPr>
                <w:rFonts w:ascii="Arial" w:cs="Arial" w:eastAsia="Arial" w:hAnsi="Arial"/>
                <w:sz w:val="15"/>
                <w:szCs w:val="15"/>
              </w:rPr>
              <w:t xml:space="preserve">S6</w:t>
            </w:r>
          </w:p>
        </w:tc>
        <w:tc>
          <w:tcPr>
            <w:tcW w:type="dxa" w:w="1497"/>
            <w:shd w:fill="F2F2F2" w:color="auto" w:val="clear"/>
            <w:tcMar>
              <w:top w:type="dxa" w:w="50"/>
              <w:left w:type="dxa" w:w="80"/>
              <w:bottom w:type="dxa" w:w="50"/>
              <w:right w:type="dxa" w:w="80"/>
            </w:tcMar>
          </w:tcPr>
          <w:p>
            <w:r>
              <w:rPr>
                <w:rFonts w:ascii="Arial" w:cs="Arial" w:eastAsia="Arial" w:hAnsi="Arial"/>
                <w:sz w:val="15"/>
                <w:szCs w:val="15"/>
              </w:rPr>
              <w:t xml:space="preserve">Unpatched systems</w:t>
            </w:r>
          </w:p>
        </w:tc>
        <w:tc>
          <w:tcPr>
            <w:tcW w:type="dxa" w:w="4212"/>
            <w:shd w:fill="F2F2F2" w:color="auto" w:val="clear"/>
            <w:tcMar>
              <w:top w:type="dxa" w:w="50"/>
              <w:left w:type="dxa" w:w="80"/>
              <w:bottom w:type="dxa" w:w="50"/>
              <w:right w:type="dxa" w:w="80"/>
            </w:tcMar>
          </w:tcPr>
          <w:p>
            <w:r>
              <w:rPr>
                <w:rFonts w:ascii="Arial" w:cs="Arial" w:eastAsia="Arial" w:hAnsi="Arial"/>
                <w:sz w:val="15"/>
                <w:szCs w:val="15"/>
              </w:rPr>
              <w:t xml:space="preserve">High estimated risk; frequent real-world vector; good cost-effectiveness (11.8)</w:t>
            </w:r>
          </w:p>
        </w:tc>
        <w:tc>
          <w:tcPr>
            <w:tcW w:type="dxa" w:w="2809"/>
            <w:shd w:fill="F2F2F2" w:color="auto" w:val="clear"/>
            <w:tcMar>
              <w:top w:type="dxa" w:w="50"/>
              <w:left w:type="dxa" w:w="80"/>
              <w:bottom w:type="dxa" w:w="50"/>
              <w:right w:type="dxa" w:w="80"/>
            </w:tcMar>
          </w:tcPr>
          <w:p>
            <w:r>
              <w:rPr>
                <w:rFonts w:ascii="Arial" w:cs="Arial" w:eastAsia="Arial" w:hAnsi="Arial"/>
                <w:sz w:val="15"/>
                <w:szCs w:val="15"/>
              </w:rPr>
              <w:t xml:space="preserve">Vulnerability programme with SLAs</w:t>
            </w:r>
          </w:p>
        </w:tc>
      </w:tr>
      <w:tr>
        <w:tc>
          <w:tcPr>
            <w:tcW w:type="dxa" w:w="374"/>
            <w:tcMar>
              <w:top w:type="dxa" w:w="50"/>
              <w:left w:type="dxa" w:w="80"/>
              <w:bottom w:type="dxa" w:w="50"/>
              <w:right w:type="dxa" w:w="80"/>
            </w:tcMar>
          </w:tcPr>
          <w:p>
            <w:r>
              <w:rPr>
                <w:rFonts w:ascii="Arial" w:cs="Arial" w:eastAsia="Arial" w:hAnsi="Arial"/>
                <w:sz w:val="15"/>
                <w:szCs w:val="15"/>
              </w:rPr>
              <w:t xml:space="preserve">7</w:t>
            </w:r>
          </w:p>
        </w:tc>
        <w:tc>
          <w:tcPr>
            <w:tcW w:type="dxa" w:w="468"/>
            <w:tcMar>
              <w:top w:type="dxa" w:w="50"/>
              <w:left w:type="dxa" w:w="80"/>
              <w:bottom w:type="dxa" w:w="50"/>
              <w:right w:type="dxa" w:w="80"/>
            </w:tcMar>
          </w:tcPr>
          <w:p>
            <w:r>
              <w:rPr>
                <w:rFonts w:ascii="Arial" w:cs="Arial" w:eastAsia="Arial" w:hAnsi="Arial"/>
                <w:sz w:val="15"/>
                <w:szCs w:val="15"/>
              </w:rPr>
              <w:t xml:space="preserve">S9</w:t>
            </w:r>
          </w:p>
        </w:tc>
        <w:tc>
          <w:tcPr>
            <w:tcW w:type="dxa" w:w="1497"/>
            <w:tcMar>
              <w:top w:type="dxa" w:w="50"/>
              <w:left w:type="dxa" w:w="80"/>
              <w:bottom w:type="dxa" w:w="50"/>
              <w:right w:type="dxa" w:w="80"/>
            </w:tcMar>
          </w:tcPr>
          <w:p>
            <w:r>
              <w:rPr>
                <w:rFonts w:ascii="Arial" w:cs="Arial" w:eastAsia="Arial" w:hAnsi="Arial"/>
                <w:sz w:val="15"/>
                <w:szCs w:val="15"/>
              </w:rPr>
              <w:t xml:space="preserve">Vendor compromise</w:t>
            </w:r>
          </w:p>
        </w:tc>
        <w:tc>
          <w:tcPr>
            <w:tcW w:type="dxa" w:w="4212"/>
            <w:tcMar>
              <w:top w:type="dxa" w:w="50"/>
              <w:left w:type="dxa" w:w="80"/>
              <w:bottom w:type="dxa" w:w="50"/>
              <w:right w:type="dxa" w:w="80"/>
            </w:tcMar>
          </w:tcPr>
          <w:p>
            <w:r>
              <w:rPr>
                <w:rFonts w:ascii="Arial" w:cs="Arial" w:eastAsia="Arial" w:hAnsi="Arial"/>
                <w:sz w:val="15"/>
                <w:szCs w:val="15"/>
              </w:rPr>
              <w:t xml:space="preserve">Highest residual ratio (1.54); largely outside MediBec's control</w:t>
            </w:r>
          </w:p>
        </w:tc>
        <w:tc>
          <w:tcPr>
            <w:tcW w:type="dxa" w:w="2809"/>
            <w:tcMar>
              <w:top w:type="dxa" w:w="50"/>
              <w:left w:type="dxa" w:w="80"/>
              <w:bottom w:type="dxa" w:w="50"/>
              <w:right w:type="dxa" w:w="80"/>
            </w:tcMar>
          </w:tcPr>
          <w:p>
            <w:r>
              <w:rPr>
                <w:rFonts w:ascii="Arial" w:cs="Arial" w:eastAsia="Arial" w:hAnsi="Arial"/>
                <w:sz w:val="15"/>
                <w:szCs w:val="15"/>
              </w:rPr>
              <w:t xml:space="preserve">Contract clauses, brokered vendor access, transfer</w:t>
            </w:r>
          </w:p>
        </w:tc>
      </w:tr>
      <w:tr>
        <w:tc>
          <w:tcPr>
            <w:tcW w:type="dxa" w:w="374"/>
            <w:shd w:fill="F2F2F2" w:color="auto" w:val="clear"/>
            <w:tcMar>
              <w:top w:type="dxa" w:w="50"/>
              <w:left w:type="dxa" w:w="80"/>
              <w:bottom w:type="dxa" w:w="50"/>
              <w:right w:type="dxa" w:w="80"/>
            </w:tcMar>
          </w:tcPr>
          <w:p>
            <w:r>
              <w:rPr>
                <w:rFonts w:ascii="Arial" w:cs="Arial" w:eastAsia="Arial" w:hAnsi="Arial"/>
                <w:sz w:val="15"/>
                <w:szCs w:val="15"/>
              </w:rPr>
              <w:t xml:space="preserve">8</w:t>
            </w:r>
          </w:p>
        </w:tc>
        <w:tc>
          <w:tcPr>
            <w:tcW w:type="dxa" w:w="468"/>
            <w:shd w:fill="F2F2F2" w:color="auto" w:val="clear"/>
            <w:tcMar>
              <w:top w:type="dxa" w:w="50"/>
              <w:left w:type="dxa" w:w="80"/>
              <w:bottom w:type="dxa" w:w="50"/>
              <w:right w:type="dxa" w:w="80"/>
            </w:tcMar>
          </w:tcPr>
          <w:p>
            <w:r>
              <w:rPr>
                <w:rFonts w:ascii="Arial" w:cs="Arial" w:eastAsia="Arial" w:hAnsi="Arial"/>
                <w:sz w:val="15"/>
                <w:szCs w:val="15"/>
              </w:rPr>
              <w:t xml:space="preserve">S5</w:t>
            </w:r>
          </w:p>
        </w:tc>
        <w:tc>
          <w:tcPr>
            <w:tcW w:type="dxa" w:w="1497"/>
            <w:shd w:fill="F2F2F2" w:color="auto" w:val="clear"/>
            <w:tcMar>
              <w:top w:type="dxa" w:w="50"/>
              <w:left w:type="dxa" w:w="80"/>
              <w:bottom w:type="dxa" w:w="50"/>
              <w:right w:type="dxa" w:w="80"/>
            </w:tcMar>
          </w:tcPr>
          <w:p>
            <w:r>
              <w:rPr>
                <w:rFonts w:ascii="Arial" w:cs="Arial" w:eastAsia="Arial" w:hAnsi="Arial"/>
                <w:sz w:val="15"/>
                <w:szCs w:val="15"/>
              </w:rPr>
              <w:t xml:space="preserve">Insider / privileged misuse</w:t>
            </w:r>
          </w:p>
        </w:tc>
        <w:tc>
          <w:tcPr>
            <w:tcW w:type="dxa" w:w="4212"/>
            <w:shd w:fill="F2F2F2" w:color="auto" w:val="clear"/>
            <w:tcMar>
              <w:top w:type="dxa" w:w="50"/>
              <w:left w:type="dxa" w:w="80"/>
              <w:bottom w:type="dxa" w:w="50"/>
              <w:right w:type="dxa" w:w="80"/>
            </w:tcMar>
          </w:tcPr>
          <w:p>
            <w:r>
              <w:rPr>
                <w:rFonts w:ascii="Arial" w:cs="Arial" w:eastAsia="Arial" w:hAnsi="Arial"/>
                <w:sz w:val="15"/>
                <w:szCs w:val="15"/>
              </w:rPr>
              <w:t xml:space="preserve">Above tolerance; high regulatory significance</w:t>
            </w:r>
          </w:p>
        </w:tc>
        <w:tc>
          <w:tcPr>
            <w:tcW w:type="dxa" w:w="2809"/>
            <w:shd w:fill="F2F2F2" w:color="auto" w:val="clear"/>
            <w:tcMar>
              <w:top w:type="dxa" w:w="50"/>
              <w:left w:type="dxa" w:w="80"/>
              <w:bottom w:type="dxa" w:w="50"/>
              <w:right w:type="dxa" w:w="80"/>
            </w:tcMar>
          </w:tcPr>
          <w:p>
            <w:r>
              <w:rPr>
                <w:rFonts w:ascii="Arial" w:cs="Arial" w:eastAsia="Arial" w:hAnsi="Arial"/>
                <w:sz w:val="15"/>
                <w:szCs w:val="15"/>
              </w:rPr>
              <w:t xml:space="preserve">Access governance and EHR monitoring</w:t>
            </w:r>
          </w:p>
        </w:tc>
      </w:tr>
      <w:tr>
        <w:tc>
          <w:tcPr>
            <w:tcW w:type="dxa" w:w="374"/>
            <w:tcMar>
              <w:top w:type="dxa" w:w="50"/>
              <w:left w:type="dxa" w:w="80"/>
              <w:bottom w:type="dxa" w:w="50"/>
              <w:right w:type="dxa" w:w="80"/>
            </w:tcMar>
          </w:tcPr>
          <w:p>
            <w:r>
              <w:rPr>
                <w:rFonts w:ascii="Arial" w:cs="Arial" w:eastAsia="Arial" w:hAnsi="Arial"/>
                <w:sz w:val="15"/>
                <w:szCs w:val="15"/>
              </w:rPr>
              <w:t xml:space="preserve">9</w:t>
            </w:r>
          </w:p>
        </w:tc>
        <w:tc>
          <w:tcPr>
            <w:tcW w:type="dxa" w:w="468"/>
            <w:tcMar>
              <w:top w:type="dxa" w:w="50"/>
              <w:left w:type="dxa" w:w="80"/>
              <w:bottom w:type="dxa" w:w="50"/>
              <w:right w:type="dxa" w:w="80"/>
            </w:tcMar>
          </w:tcPr>
          <w:p>
            <w:r>
              <w:rPr>
                <w:rFonts w:ascii="Arial" w:cs="Arial" w:eastAsia="Arial" w:hAnsi="Arial"/>
                <w:sz w:val="15"/>
                <w:szCs w:val="15"/>
              </w:rPr>
              <w:t xml:space="preserve">S10</w:t>
            </w:r>
          </w:p>
        </w:tc>
        <w:tc>
          <w:tcPr>
            <w:tcW w:type="dxa" w:w="1497"/>
            <w:tcMar>
              <w:top w:type="dxa" w:w="50"/>
              <w:left w:type="dxa" w:w="80"/>
              <w:bottom w:type="dxa" w:w="50"/>
              <w:right w:type="dxa" w:w="80"/>
            </w:tcMar>
          </w:tcPr>
          <w:p>
            <w:r>
              <w:rPr>
                <w:rFonts w:ascii="Arial" w:cs="Arial" w:eastAsia="Arial" w:hAnsi="Arial"/>
                <w:sz w:val="15"/>
                <w:szCs w:val="15"/>
              </w:rPr>
              <w:t xml:space="preserve">Record integrity</w:t>
            </w:r>
          </w:p>
        </w:tc>
        <w:tc>
          <w:tcPr>
            <w:tcW w:type="dxa" w:w="4212"/>
            <w:tcMar>
              <w:top w:type="dxa" w:w="50"/>
              <w:left w:type="dxa" w:w="80"/>
              <w:bottom w:type="dxa" w:w="50"/>
              <w:right w:type="dxa" w:w="80"/>
            </w:tcMar>
          </w:tcPr>
          <w:p>
            <w:r>
              <w:rPr>
                <w:rFonts w:ascii="Arial" w:cs="Arial" w:eastAsia="Arial" w:hAnsi="Arial"/>
                <w:sz w:val="15"/>
                <w:szCs w:val="15"/>
              </w:rPr>
              <w:t xml:space="preserve">Lowest likelihood but patient-safety consequence; above tolerance</w:t>
            </w:r>
          </w:p>
        </w:tc>
        <w:tc>
          <w:tcPr>
            <w:tcW w:type="dxa" w:w="2809"/>
            <w:tcMar>
              <w:top w:type="dxa" w:w="50"/>
              <w:left w:type="dxa" w:w="80"/>
              <w:bottom w:type="dxa" w:w="50"/>
              <w:right w:type="dxa" w:w="80"/>
            </w:tcMar>
          </w:tcPr>
          <w:p>
            <w:r>
              <w:rPr>
                <w:rFonts w:ascii="Arial" w:cs="Arial" w:eastAsia="Arial" w:hAnsi="Arial"/>
                <w:sz w:val="15"/>
                <w:szCs w:val="15"/>
              </w:rPr>
              <w:t xml:space="preserve">Integrity controls; clinical sign-off</w:t>
            </w:r>
          </w:p>
        </w:tc>
      </w:tr>
      <w:tr>
        <w:tc>
          <w:tcPr>
            <w:tcW w:type="dxa" w:w="374"/>
            <w:shd w:fill="F2F2F2" w:color="auto" w:val="clear"/>
            <w:tcMar>
              <w:top w:type="dxa" w:w="50"/>
              <w:left w:type="dxa" w:w="80"/>
              <w:bottom w:type="dxa" w:w="50"/>
              <w:right w:type="dxa" w:w="80"/>
            </w:tcMar>
          </w:tcPr>
          <w:p>
            <w:r>
              <w:rPr>
                <w:rFonts w:ascii="Arial" w:cs="Arial" w:eastAsia="Arial" w:hAnsi="Arial"/>
                <w:sz w:val="15"/>
                <w:szCs w:val="15"/>
              </w:rPr>
              <w:t xml:space="preserve">10</w:t>
            </w:r>
          </w:p>
        </w:tc>
        <w:tc>
          <w:tcPr>
            <w:tcW w:type="dxa" w:w="468"/>
            <w:shd w:fill="F2F2F2" w:color="auto" w:val="clear"/>
            <w:tcMar>
              <w:top w:type="dxa" w:w="50"/>
              <w:left w:type="dxa" w:w="80"/>
              <w:bottom w:type="dxa" w:w="50"/>
              <w:right w:type="dxa" w:w="80"/>
            </w:tcMar>
          </w:tcPr>
          <w:p>
            <w:r>
              <w:rPr>
                <w:rFonts w:ascii="Arial" w:cs="Arial" w:eastAsia="Arial" w:hAnsi="Arial"/>
                <w:sz w:val="15"/>
                <w:szCs w:val="15"/>
              </w:rPr>
              <w:t xml:space="preserve">S4</w:t>
            </w:r>
          </w:p>
        </w:tc>
        <w:tc>
          <w:tcPr>
            <w:tcW w:type="dxa" w:w="1497"/>
            <w:shd w:fill="F2F2F2" w:color="auto" w:val="clear"/>
            <w:tcMar>
              <w:top w:type="dxa" w:w="50"/>
              <w:left w:type="dxa" w:w="80"/>
              <w:bottom w:type="dxa" w:w="50"/>
              <w:right w:type="dxa" w:w="80"/>
            </w:tcMar>
          </w:tcPr>
          <w:p>
            <w:r>
              <w:rPr>
                <w:rFonts w:ascii="Arial" w:cs="Arial" w:eastAsia="Arial" w:hAnsi="Arial"/>
                <w:sz w:val="15"/>
                <w:szCs w:val="15"/>
              </w:rPr>
              <w:t xml:space="preserve">Cloud image storage</w:t>
            </w:r>
          </w:p>
        </w:tc>
        <w:tc>
          <w:tcPr>
            <w:tcW w:type="dxa" w:w="4212"/>
            <w:shd w:fill="F2F2F2" w:color="auto" w:val="clear"/>
            <w:tcMar>
              <w:top w:type="dxa" w:w="50"/>
              <w:left w:type="dxa" w:w="80"/>
              <w:bottom w:type="dxa" w:w="50"/>
              <w:right w:type="dxa" w:w="80"/>
            </w:tcMar>
          </w:tcPr>
          <w:p>
            <w:r>
              <w:rPr>
                <w:rFonts w:ascii="Arial" w:cs="Arial" w:eastAsia="Arial" w:hAnsi="Arial"/>
                <w:sz w:val="15"/>
                <w:szCs w:val="15"/>
              </w:rPr>
              <w:t xml:space="preserve">Approximately at tolerance; cheap, fast fix</w:t>
            </w:r>
          </w:p>
        </w:tc>
        <w:tc>
          <w:tcPr>
            <w:tcW w:type="dxa" w:w="2809"/>
            <w:shd w:fill="F2F2F2" w:color="auto" w:val="clear"/>
            <w:tcMar>
              <w:top w:type="dxa" w:w="50"/>
              <w:left w:type="dxa" w:w="80"/>
              <w:bottom w:type="dxa" w:w="50"/>
              <w:right w:type="dxa" w:w="80"/>
            </w:tcMar>
          </w:tcPr>
          <w:p>
            <w:r>
              <w:rPr>
                <w:rFonts w:ascii="Arial" w:cs="Arial" w:eastAsia="Arial" w:hAnsi="Arial"/>
                <w:sz w:val="15"/>
                <w:szCs w:val="15"/>
              </w:rPr>
              <w:t xml:space="preserve">Block public access now</w:t>
            </w:r>
          </w:p>
        </w:tc>
      </w:tr>
    </w:tbl>
    <w:p>
      <w:pPr>
        <w:pStyle w:val="Heading2"/>
      </w:pPr>
      <w:r>
        <w:rPr>
          <w:rFonts w:ascii="Arial" w:cs="Arial" w:eastAsia="Arial" w:hAnsi="Arial"/>
        </w:rPr>
        <w:t xml:space="preserve">10.2 Recommended investment portfolio</w:t>
      </w:r>
    </w:p>
    <w:p>
      <w:pPr>
        <w:spacing w:after="120"/>
      </w:pPr>
      <w:r>
        <w:rPr>
          <w:rFonts w:ascii="Arial" w:cs="Arial" w:eastAsia="Arial" w:hAnsi="Arial"/>
        </w:rPr>
        <w:t xml:space="preserve">Costs are </w:t>
      </w:r>
      <w:r>
        <w:rPr>
          <w:rFonts w:ascii="Arial" w:cs="Arial" w:eastAsia="Arial" w:hAnsi="Arial"/>
          <w:b/>
          <w:bCs/>
        </w:rPr>
        <w:t xml:space="preserve">indicative analyst estimates in CAD</w:t>
      </w:r>
      <w:r>
        <w:rPr>
          <w:rFonts w:ascii="Arial" w:cs="Arial" w:eastAsia="Arial" w:hAnsi="Arial"/>
        </w:rPr>
        <w:t xml:space="preserve">, not quotations or approved budgets. Basis: </w:t>
      </w:r>
      <w:r>
        <w:rPr>
          <w:rFonts w:ascii="Arial" w:cs="Arial" w:eastAsia="Arial" w:hAnsi="Arial"/>
          <w:b/>
          <w:bCs/>
        </w:rPr>
        <w:t xml:space="preserve">initial</w:t>
      </w:r>
      <w:r>
        <w:rPr>
          <w:rFonts w:ascii="Arial" w:cs="Arial" w:eastAsia="Arial" w:hAnsi="Arial"/>
        </w:rPr>
        <w:t xml:space="preserve"> = one-time implementation; </w:t>
      </w:r>
      <w:r>
        <w:rPr>
          <w:rFonts w:ascii="Arial" w:cs="Arial" w:eastAsia="Arial" w:hAnsi="Arial"/>
          <w:b/>
          <w:bCs/>
        </w:rPr>
        <w:t xml:space="preserve">recurring</w:t>
      </w:r>
      <w:r>
        <w:rPr>
          <w:rFonts w:ascii="Arial" w:cs="Arial" w:eastAsia="Arial" w:hAnsi="Arial"/>
        </w:rPr>
        <w:t xml:space="preserve"> = annual operating cost; </w:t>
      </w:r>
      <w:r>
        <w:rPr>
          <w:rFonts w:ascii="Arial" w:cs="Arial" w:eastAsia="Arial" w:hAnsi="Arial"/>
          <w:b/>
          <w:bCs/>
        </w:rPr>
        <w:t xml:space="preserve">Year 1</w:t>
      </w:r>
      <w:r>
        <w:rPr>
          <w:rFonts w:ascii="Arial" w:cs="Arial" w:eastAsia="Arial" w:hAnsi="Arial"/>
        </w:rPr>
        <w:t xml:space="preserve"> = initial + first-year recurring. Cyber-insurance premiums are excluded (</w:t>
      </w:r>
      <w:r>
        <w:rPr>
          <w:rFonts w:ascii="Arial" w:cs="Arial" w:eastAsia="Arial" w:hAnsi="Arial"/>
          <w:b/>
          <w:bCs/>
        </w:rPr>
        <w:t xml:space="preserve">Evidence gap</w:t>
      </w:r>
      <w:r>
        <w:rPr>
          <w:rFonts w:ascii="Arial" w:cs="Arial" w:eastAsia="Arial" w:hAnsi="Arial"/>
        </w:rPr>
        <w:t xml:space="preserve"> - broker quotation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
        <w:gridCol w:w="2808"/>
        <w:gridCol w:w="842"/>
        <w:gridCol w:w="1029"/>
        <w:gridCol w:w="748"/>
        <w:gridCol w:w="655"/>
        <w:gridCol w:w="748"/>
        <w:gridCol w:w="842"/>
        <w:gridCol w:w="1314"/>
      </w:tblGrid>
      <w:tr>
        <w:trPr>
          <w:tblHeader/>
        </w:trPr>
        <w:tc>
          <w:tcPr>
            <w:tcW w:type="dxa" w:w="374"/>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ID</w:t>
            </w:r>
          </w:p>
        </w:tc>
        <w:tc>
          <w:tcPr>
            <w:tcW w:type="dxa" w:w="280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Initiative</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Scenarios</w:t>
            </w:r>
          </w:p>
        </w:tc>
        <w:tc>
          <w:tcPr>
            <w:tcW w:type="dxa" w:w="1029"/>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Owner</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Priority</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Initial</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Recurring / yr</w:t>
            </w:r>
          </w:p>
        </w:tc>
        <w:tc>
          <w:tcPr>
            <w:tcW w:type="dxa" w:w="842"/>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Start - end</w:t>
            </w:r>
          </w:p>
        </w:tc>
        <w:tc>
          <w:tcPr>
            <w:tcW w:type="dxa" w:w="1314"/>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Success indicator</w:t>
            </w:r>
          </w:p>
        </w:tc>
      </w:tr>
      <w:tr>
        <w:tc>
          <w:tcPr>
            <w:tcW w:type="dxa" w:w="374"/>
            <w:tcMar>
              <w:top w:type="dxa" w:w="50"/>
              <w:left w:type="dxa" w:w="80"/>
              <w:bottom w:type="dxa" w:w="50"/>
              <w:right w:type="dxa" w:w="80"/>
            </w:tcMar>
          </w:tcPr>
          <w:p>
            <w:r>
              <w:rPr>
                <w:rFonts w:ascii="Arial" w:cs="Arial" w:eastAsia="Arial" w:hAnsi="Arial"/>
                <w:sz w:val="13"/>
                <w:szCs w:val="13"/>
              </w:rPr>
              <w:t xml:space="preserve">I01</w:t>
            </w:r>
          </w:p>
        </w:tc>
        <w:tc>
          <w:tcPr>
            <w:tcW w:type="dxa" w:w="2808"/>
            <w:tcMar>
              <w:top w:type="dxa" w:w="50"/>
              <w:left w:type="dxa" w:w="80"/>
              <w:bottom w:type="dxa" w:w="50"/>
              <w:right w:type="dxa" w:w="80"/>
            </w:tcMar>
          </w:tcPr>
          <w:p>
            <w:r>
              <w:rPr>
                <w:rFonts w:ascii="Arial" w:cs="Arial" w:eastAsia="Arial" w:hAnsi="Arial"/>
                <w:sz w:val="13"/>
                <w:szCs w:val="13"/>
              </w:rPr>
              <w:t xml:space="preserve">Phishing-resistant MFA and conditional access</w:t>
            </w:r>
          </w:p>
          <w:p>
            <w:r>
              <w:rPr>
                <w:rFonts w:ascii="Arial" w:cs="Arial" w:eastAsia="Arial" w:hAnsi="Arial"/>
                <w:sz w:val="13"/>
                <w:szCs w:val="13"/>
              </w:rPr>
              <w:t xml:space="preserve">FIDO2/passkeys for privileged, remote-access and EHR administrator accounts; number-matching MFA for all other users; conditional access (geo, device health); block internet-sourced Office macros.</w:t>
            </w:r>
          </w:p>
        </w:tc>
        <w:tc>
          <w:tcPr>
            <w:tcW w:type="dxa" w:w="842"/>
            <w:tcMar>
              <w:top w:type="dxa" w:w="50"/>
              <w:left w:type="dxa" w:w="80"/>
              <w:bottom w:type="dxa" w:w="50"/>
              <w:right w:type="dxa" w:w="80"/>
            </w:tcMar>
          </w:tcPr>
          <w:p>
            <w:r>
              <w:rPr>
                <w:rFonts w:ascii="Arial" w:cs="Arial" w:eastAsia="Arial" w:hAnsi="Arial"/>
                <w:sz w:val="13"/>
                <w:szCs w:val="13"/>
              </w:rPr>
              <w:t xml:space="preserve">S1, S8, S9, S10</w:t>
            </w:r>
          </w:p>
        </w:tc>
        <w:tc>
          <w:tcPr>
            <w:tcW w:type="dxa" w:w="1029"/>
            <w:tcMar>
              <w:top w:type="dxa" w:w="50"/>
              <w:left w:type="dxa" w:w="80"/>
              <w:bottom w:type="dxa" w:w="50"/>
              <w:right w:type="dxa" w:w="80"/>
            </w:tcMar>
          </w:tcPr>
          <w:p>
            <w:r>
              <w:rPr>
                <w:rFonts w:ascii="Arial" w:cs="Arial" w:eastAsia="Arial" w:hAnsi="Arial"/>
                <w:sz w:val="13"/>
                <w:szCs w:val="13"/>
              </w:rPr>
              <w:t xml:space="preserve">CIO / Cybersecurity lead</w:t>
            </w:r>
          </w:p>
        </w:tc>
        <w:tc>
          <w:tcPr>
            <w:tcW w:type="dxa" w:w="748"/>
            <w:tcMar>
              <w:top w:type="dxa" w:w="50"/>
              <w:left w:type="dxa" w:w="80"/>
              <w:bottom w:type="dxa" w:w="50"/>
              <w:right w:type="dxa" w:w="80"/>
            </w:tcMar>
          </w:tcPr>
          <w:p>
            <w:r>
              <w:rPr>
                <w:rFonts w:ascii="Arial" w:cs="Arial" w:eastAsia="Arial" w:hAnsi="Arial"/>
                <w:sz w:val="13"/>
                <w:szCs w:val="13"/>
              </w:rPr>
              <w:t xml:space="preserve">Immediate</w:t>
            </w:r>
          </w:p>
        </w:tc>
        <w:tc>
          <w:tcPr>
            <w:tcW w:type="dxa" w:w="655"/>
            <w:tcMar>
              <w:top w:type="dxa" w:w="50"/>
              <w:left w:type="dxa" w:w="80"/>
              <w:bottom w:type="dxa" w:w="50"/>
              <w:right w:type="dxa" w:w="80"/>
            </w:tcMar>
          </w:tcPr>
          <w:p>
            <w:r>
              <w:rPr>
                <w:rFonts w:ascii="Arial" w:cs="Arial" w:eastAsia="Arial" w:hAnsi="Arial"/>
                <w:sz w:val="13"/>
                <w:szCs w:val="13"/>
              </w:rPr>
              <w:t xml:space="preserve">$180k</w:t>
            </w:r>
          </w:p>
        </w:tc>
        <w:tc>
          <w:tcPr>
            <w:tcW w:type="dxa" w:w="748"/>
            <w:tcMar>
              <w:top w:type="dxa" w:w="50"/>
              <w:left w:type="dxa" w:w="80"/>
              <w:bottom w:type="dxa" w:w="50"/>
              <w:right w:type="dxa" w:w="80"/>
            </w:tcMar>
          </w:tcPr>
          <w:p>
            <w:r>
              <w:rPr>
                <w:rFonts w:ascii="Arial" w:cs="Arial" w:eastAsia="Arial" w:hAnsi="Arial"/>
                <w:sz w:val="13"/>
                <w:szCs w:val="13"/>
              </w:rPr>
              <w:t xml:space="preserve">$60k</w:t>
            </w:r>
          </w:p>
        </w:tc>
        <w:tc>
          <w:tcPr>
            <w:tcW w:type="dxa" w:w="842"/>
            <w:tcMar>
              <w:top w:type="dxa" w:w="50"/>
              <w:left w:type="dxa" w:w="80"/>
              <w:bottom w:type="dxa" w:w="50"/>
              <w:right w:type="dxa" w:w="80"/>
            </w:tcMar>
          </w:tcPr>
          <w:p>
            <w:r>
              <w:rPr>
                <w:rFonts w:ascii="Arial" w:cs="Arial" w:eastAsia="Arial" w:hAnsi="Arial"/>
                <w:sz w:val="13"/>
                <w:szCs w:val="13"/>
              </w:rPr>
              <w:t xml:space="preserve">Month 0 - Month 6</w:t>
            </w:r>
          </w:p>
        </w:tc>
        <w:tc>
          <w:tcPr>
            <w:tcW w:type="dxa" w:w="1314"/>
            <w:tcMar>
              <w:top w:type="dxa" w:w="50"/>
              <w:left w:type="dxa" w:w="80"/>
              <w:bottom w:type="dxa" w:w="50"/>
              <w:right w:type="dxa" w:w="80"/>
            </w:tcMar>
          </w:tcPr>
          <w:p>
            <w:r>
              <w:rPr>
                <w:rFonts w:ascii="Arial" w:cs="Arial" w:eastAsia="Arial" w:hAnsi="Arial"/>
                <w:sz w:val="13"/>
                <w:szCs w:val="13"/>
              </w:rPr>
              <w:t xml:space="preserve">100% privileged and remote-access accounts on phishing-resistant MFA</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I02</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Privileged access and service-account management (PAM)</w:t>
            </w:r>
          </w:p>
          <w:p>
            <w:r>
              <w:rPr>
                <w:rFonts w:ascii="Arial" w:cs="Arial" w:eastAsia="Arial" w:hAnsi="Arial"/>
                <w:sz w:val="13"/>
                <w:szCs w:val="13"/>
              </w:rPr>
              <w:t xml:space="preserve">Tiered administration, credential vault, just-in-time elevation, rotation and least privilege for service accounts (incl. ehr-sync-svc), vendor sessions brokered and recorded.</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S1, S2, S3, S5, S9, S10</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Near-term</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$250k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$80k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2 - Month 12</w:t>
            </w:r>
          </w:p>
        </w:tc>
        <w:tc>
          <w:tcPr>
            <w:tcW w:type="dxa" w:w="1314"/>
            <w:shd w:fill="F2F2F2" w:color="auto" w:val="clear"/>
            <w:tcMar>
              <w:top w:type="dxa" w:w="50"/>
              <w:left w:type="dxa" w:w="80"/>
              <w:bottom w:type="dxa" w:w="50"/>
              <w:right w:type="dxa" w:w="80"/>
            </w:tcMar>
          </w:tcPr>
          <w:p>
            <w:r>
              <w:rPr>
                <w:rFonts w:ascii="Arial" w:cs="Arial" w:eastAsia="Arial" w:hAnsi="Arial"/>
                <w:sz w:val="13"/>
                <w:szCs w:val="13"/>
              </w:rPr>
              <w:t xml:space="preserve">0 standing domain-admin accounts; 100% service accounts vaulted</w:t>
            </w:r>
          </w:p>
        </w:tc>
      </w:tr>
      <w:tr>
        <w:tc>
          <w:tcPr>
            <w:tcW w:type="dxa" w:w="374"/>
            <w:tcMar>
              <w:top w:type="dxa" w:w="50"/>
              <w:left w:type="dxa" w:w="80"/>
              <w:bottom w:type="dxa" w:w="50"/>
              <w:right w:type="dxa" w:w="80"/>
            </w:tcMar>
          </w:tcPr>
          <w:p>
            <w:r>
              <w:rPr>
                <w:rFonts w:ascii="Arial" w:cs="Arial" w:eastAsia="Arial" w:hAnsi="Arial"/>
                <w:sz w:val="13"/>
                <w:szCs w:val="13"/>
              </w:rPr>
              <w:t xml:space="preserve">I03</w:t>
            </w:r>
          </w:p>
        </w:tc>
        <w:tc>
          <w:tcPr>
            <w:tcW w:type="dxa" w:w="2808"/>
            <w:tcMar>
              <w:top w:type="dxa" w:w="50"/>
              <w:left w:type="dxa" w:w="80"/>
              <w:bottom w:type="dxa" w:w="50"/>
              <w:right w:type="dxa" w:w="80"/>
            </w:tcMar>
          </w:tcPr>
          <w:p>
            <w:r>
              <w:rPr>
                <w:rFonts w:ascii="Arial" w:cs="Arial" w:eastAsia="Arial" w:hAnsi="Arial"/>
                <w:sz w:val="13"/>
                <w:szCs w:val="13"/>
              </w:rPr>
              <w:t xml:space="preserve">24/7 managed detection and response with centralized logging</w:t>
            </w:r>
          </w:p>
          <w:p>
            <w:r>
              <w:rPr>
                <w:rFonts w:ascii="Arial" w:cs="Arial" w:eastAsia="Arial" w:hAnsi="Arial"/>
                <w:sz w:val="13"/>
                <w:szCs w:val="13"/>
              </w:rPr>
              <w:t xml:space="preserve">MDR provider on full EDR coverage; SIEM ingesting identity, remote access, EHR audit, cloud, backup and firewall logs; defined escalation criteria; 12-month log retention.</w:t>
            </w:r>
          </w:p>
        </w:tc>
        <w:tc>
          <w:tcPr>
            <w:tcW w:type="dxa" w:w="842"/>
            <w:tcMar>
              <w:top w:type="dxa" w:w="50"/>
              <w:left w:type="dxa" w:w="80"/>
              <w:bottom w:type="dxa" w:w="50"/>
              <w:right w:type="dxa" w:w="80"/>
            </w:tcMar>
          </w:tcPr>
          <w:p>
            <w:r>
              <w:rPr>
                <w:rFonts w:ascii="Arial" w:cs="Arial" w:eastAsia="Arial" w:hAnsi="Arial"/>
                <w:sz w:val="13"/>
                <w:szCs w:val="13"/>
              </w:rPr>
              <w:t xml:space="preserve">S1, S2, S3, S4, S5, S6, S8, S9, S10</w:t>
            </w:r>
          </w:p>
        </w:tc>
        <w:tc>
          <w:tcPr>
            <w:tcW w:type="dxa" w:w="1029"/>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tcMar>
              <w:top w:type="dxa" w:w="50"/>
              <w:left w:type="dxa" w:w="80"/>
              <w:bottom w:type="dxa" w:w="50"/>
              <w:right w:type="dxa" w:w="80"/>
            </w:tcMar>
          </w:tcPr>
          <w:p>
            <w:r>
              <w:rPr>
                <w:rFonts w:ascii="Arial" w:cs="Arial" w:eastAsia="Arial" w:hAnsi="Arial"/>
                <w:sz w:val="13"/>
                <w:szCs w:val="13"/>
              </w:rPr>
              <w:t xml:space="preserve">Immediate</w:t>
            </w:r>
          </w:p>
        </w:tc>
        <w:tc>
          <w:tcPr>
            <w:tcW w:type="dxa" w:w="655"/>
            <w:tcMar>
              <w:top w:type="dxa" w:w="50"/>
              <w:left w:type="dxa" w:w="80"/>
              <w:bottom w:type="dxa" w:w="50"/>
              <w:right w:type="dxa" w:w="80"/>
            </w:tcMar>
          </w:tcPr>
          <w:p>
            <w:r>
              <w:rPr>
                <w:rFonts w:ascii="Arial" w:cs="Arial" w:eastAsia="Arial" w:hAnsi="Arial"/>
                <w:sz w:val="13"/>
                <w:szCs w:val="13"/>
              </w:rPr>
              <w:t xml:space="preserve">$200k</w:t>
            </w:r>
          </w:p>
        </w:tc>
        <w:tc>
          <w:tcPr>
            <w:tcW w:type="dxa" w:w="748"/>
            <w:tcMar>
              <w:top w:type="dxa" w:w="50"/>
              <w:left w:type="dxa" w:w="80"/>
              <w:bottom w:type="dxa" w:w="50"/>
              <w:right w:type="dxa" w:w="80"/>
            </w:tcMar>
          </w:tcPr>
          <w:p>
            <w:r>
              <w:rPr>
                <w:rFonts w:ascii="Arial" w:cs="Arial" w:eastAsia="Arial" w:hAnsi="Arial"/>
                <w:sz w:val="13"/>
                <w:szCs w:val="13"/>
              </w:rPr>
              <w:t xml:space="preserve">$420k</w:t>
            </w:r>
          </w:p>
        </w:tc>
        <w:tc>
          <w:tcPr>
            <w:tcW w:type="dxa" w:w="842"/>
            <w:tcMar>
              <w:top w:type="dxa" w:w="50"/>
              <w:left w:type="dxa" w:w="80"/>
              <w:bottom w:type="dxa" w:w="50"/>
              <w:right w:type="dxa" w:w="80"/>
            </w:tcMar>
          </w:tcPr>
          <w:p>
            <w:r>
              <w:rPr>
                <w:rFonts w:ascii="Arial" w:cs="Arial" w:eastAsia="Arial" w:hAnsi="Arial"/>
                <w:sz w:val="13"/>
                <w:szCs w:val="13"/>
              </w:rPr>
              <w:t xml:space="preserve">Month 0 - Month 6</w:t>
            </w:r>
          </w:p>
        </w:tc>
        <w:tc>
          <w:tcPr>
            <w:tcW w:type="dxa" w:w="1314"/>
            <w:tcMar>
              <w:top w:type="dxa" w:w="50"/>
              <w:left w:type="dxa" w:w="80"/>
              <w:bottom w:type="dxa" w:w="50"/>
              <w:right w:type="dxa" w:w="80"/>
            </w:tcMar>
          </w:tcPr>
          <w:p>
            <w:r>
              <w:rPr>
                <w:rFonts w:ascii="Arial" w:cs="Arial" w:eastAsia="Arial" w:hAnsi="Arial"/>
                <w:sz w:val="13"/>
                <w:szCs w:val="13"/>
              </w:rPr>
              <w:t xml:space="preserve">MTTD &lt; 1 h, MTTC &lt; 4 h for high-severity alerts; &gt;95% critical log sources</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I04</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Immutable and isolated backup with tested recovery</w:t>
            </w:r>
          </w:p>
          <w:p>
            <w:r>
              <w:rPr>
                <w:rFonts w:ascii="Arial" w:cs="Arial" w:eastAsia="Arial" w:hAnsi="Arial"/>
                <w:sz w:val="13"/>
                <w:szCs w:val="13"/>
              </w:rPr>
              <w:t xml:space="preserve">Immutable/offline copies, separate backup identity domain with MFA, backup network isolation, quarterly restore tests incl. clinic storage, documented RTO/RPO per crown jewel.</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S2, S3, S10</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CIO (Infrastructure)</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Immediate</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$300k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$90k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0 - Month 9</w:t>
            </w:r>
          </w:p>
        </w:tc>
        <w:tc>
          <w:tcPr>
            <w:tcW w:type="dxa" w:w="1314"/>
            <w:shd w:fill="F2F2F2" w:color="auto" w:val="clear"/>
            <w:tcMar>
              <w:top w:type="dxa" w:w="50"/>
              <w:left w:type="dxa" w:w="80"/>
              <w:bottom w:type="dxa" w:w="50"/>
              <w:right w:type="dxa" w:w="80"/>
            </w:tcMar>
          </w:tcPr>
          <w:p>
            <w:r>
              <w:rPr>
                <w:rFonts w:ascii="Arial" w:cs="Arial" w:eastAsia="Arial" w:hAnsi="Arial"/>
                <w:sz w:val="13"/>
                <w:szCs w:val="13"/>
              </w:rPr>
              <w:t xml:space="preserve">100% crown-jewel restore tests pass within RTO</w:t>
            </w:r>
          </w:p>
        </w:tc>
      </w:tr>
      <w:tr>
        <w:tc>
          <w:tcPr>
            <w:tcW w:type="dxa" w:w="374"/>
            <w:tcMar>
              <w:top w:type="dxa" w:w="50"/>
              <w:left w:type="dxa" w:w="80"/>
              <w:bottom w:type="dxa" w:w="50"/>
              <w:right w:type="dxa" w:w="80"/>
            </w:tcMar>
          </w:tcPr>
          <w:p>
            <w:r>
              <w:rPr>
                <w:rFonts w:ascii="Arial" w:cs="Arial" w:eastAsia="Arial" w:hAnsi="Arial"/>
                <w:sz w:val="13"/>
                <w:szCs w:val="13"/>
              </w:rPr>
              <w:t xml:space="preserve">I05</w:t>
            </w:r>
          </w:p>
        </w:tc>
        <w:tc>
          <w:tcPr>
            <w:tcW w:type="dxa" w:w="2808"/>
            <w:tcMar>
              <w:top w:type="dxa" w:w="50"/>
              <w:left w:type="dxa" w:w="80"/>
              <w:bottom w:type="dxa" w:w="50"/>
              <w:right w:type="dxa" w:w="80"/>
            </w:tcMar>
          </w:tcPr>
          <w:p>
            <w:r>
              <w:rPr>
                <w:rFonts w:ascii="Arial" w:cs="Arial" w:eastAsia="Arial" w:hAnsi="Arial"/>
                <w:sz w:val="13"/>
                <w:szCs w:val="13"/>
              </w:rPr>
              <w:t xml:space="preserve">Risk-based vulnerability and patch management</w:t>
            </w:r>
          </w:p>
          <w:p>
            <w:r>
              <w:rPr>
                <w:rFonts w:ascii="Arial" w:cs="Arial" w:eastAsia="Arial" w:hAnsi="Arial"/>
                <w:sz w:val="13"/>
                <w:szCs w:val="13"/>
              </w:rPr>
              <w:t xml:space="preserve">Complete asset inventory, authenticated scanning, external attack-surface monitoring, SLAs (known-exploited: 72 h internet-facing / 14 days internal), exception governance, retirement of end-of-life systems; 1 dedicated FTE.</w:t>
            </w:r>
          </w:p>
        </w:tc>
        <w:tc>
          <w:tcPr>
            <w:tcW w:type="dxa" w:w="842"/>
            <w:tcMar>
              <w:top w:type="dxa" w:w="50"/>
              <w:left w:type="dxa" w:w="80"/>
              <w:bottom w:type="dxa" w:w="50"/>
              <w:right w:type="dxa" w:w="80"/>
            </w:tcMar>
          </w:tcPr>
          <w:p>
            <w:r>
              <w:rPr>
                <w:rFonts w:ascii="Arial" w:cs="Arial" w:eastAsia="Arial" w:hAnsi="Arial"/>
                <w:sz w:val="13"/>
                <w:szCs w:val="13"/>
              </w:rPr>
              <w:t xml:space="preserve">S2, S6, S7</w:t>
            </w:r>
          </w:p>
        </w:tc>
        <w:tc>
          <w:tcPr>
            <w:tcW w:type="dxa" w:w="1029"/>
            <w:tcMar>
              <w:top w:type="dxa" w:w="50"/>
              <w:left w:type="dxa" w:w="80"/>
              <w:bottom w:type="dxa" w:w="50"/>
              <w:right w:type="dxa" w:w="80"/>
            </w:tcMar>
          </w:tcPr>
          <w:p>
            <w:r>
              <w:rPr>
                <w:rFonts w:ascii="Arial" w:cs="Arial" w:eastAsia="Arial" w:hAnsi="Arial"/>
                <w:sz w:val="13"/>
                <w:szCs w:val="13"/>
              </w:rPr>
              <w:t xml:space="preserve">CIO / Cybersecurity lead</w:t>
            </w:r>
          </w:p>
        </w:tc>
        <w:tc>
          <w:tcPr>
            <w:tcW w:type="dxa" w:w="748"/>
            <w:tcMar>
              <w:top w:type="dxa" w:w="50"/>
              <w:left w:type="dxa" w:w="80"/>
              <w:bottom w:type="dxa" w:w="50"/>
              <w:right w:type="dxa" w:w="80"/>
            </w:tcMar>
          </w:tcPr>
          <w:p>
            <w:r>
              <w:rPr>
                <w:rFonts w:ascii="Arial" w:cs="Arial" w:eastAsia="Arial" w:hAnsi="Arial"/>
                <w:sz w:val="13"/>
                <w:szCs w:val="13"/>
              </w:rPr>
              <w:t xml:space="preserve">Near-term</w:t>
            </w:r>
          </w:p>
        </w:tc>
        <w:tc>
          <w:tcPr>
            <w:tcW w:type="dxa" w:w="655"/>
            <w:tcMar>
              <w:top w:type="dxa" w:w="50"/>
              <w:left w:type="dxa" w:w="80"/>
              <w:bottom w:type="dxa" w:w="50"/>
              <w:right w:type="dxa" w:w="80"/>
            </w:tcMar>
          </w:tcPr>
          <w:p>
            <w:r>
              <w:rPr>
                <w:rFonts w:ascii="Arial" w:cs="Arial" w:eastAsia="Arial" w:hAnsi="Arial"/>
                <w:sz w:val="13"/>
                <w:szCs w:val="13"/>
              </w:rPr>
              <w:t xml:space="preserve">$150k</w:t>
            </w:r>
          </w:p>
        </w:tc>
        <w:tc>
          <w:tcPr>
            <w:tcW w:type="dxa" w:w="748"/>
            <w:tcMar>
              <w:top w:type="dxa" w:w="50"/>
              <w:left w:type="dxa" w:w="80"/>
              <w:bottom w:type="dxa" w:w="50"/>
              <w:right w:type="dxa" w:w="80"/>
            </w:tcMar>
          </w:tcPr>
          <w:p>
            <w:r>
              <w:rPr>
                <w:rFonts w:ascii="Arial" w:cs="Arial" w:eastAsia="Arial" w:hAnsi="Arial"/>
                <w:sz w:val="13"/>
                <w:szCs w:val="13"/>
              </w:rPr>
              <w:t xml:space="preserve">$216k</w:t>
            </w:r>
          </w:p>
        </w:tc>
        <w:tc>
          <w:tcPr>
            <w:tcW w:type="dxa" w:w="842"/>
            <w:tcMar>
              <w:top w:type="dxa" w:w="50"/>
              <w:left w:type="dxa" w:w="80"/>
              <w:bottom w:type="dxa" w:w="50"/>
              <w:right w:type="dxa" w:w="80"/>
            </w:tcMar>
          </w:tcPr>
          <w:p>
            <w:r>
              <w:rPr>
                <w:rFonts w:ascii="Arial" w:cs="Arial" w:eastAsia="Arial" w:hAnsi="Arial"/>
                <w:sz w:val="13"/>
                <w:szCs w:val="13"/>
              </w:rPr>
              <w:t xml:space="preserve">Month 1 - Month 9</w:t>
            </w:r>
          </w:p>
        </w:tc>
        <w:tc>
          <w:tcPr>
            <w:tcW w:type="dxa" w:w="1314"/>
            <w:tcMar>
              <w:top w:type="dxa" w:w="50"/>
              <w:left w:type="dxa" w:w="80"/>
              <w:bottom w:type="dxa" w:w="50"/>
              <w:right w:type="dxa" w:w="80"/>
            </w:tcMar>
          </w:tcPr>
          <w:p>
            <w:r>
              <w:rPr>
                <w:rFonts w:ascii="Arial" w:cs="Arial" w:eastAsia="Arial" w:hAnsi="Arial"/>
                <w:sz w:val="13"/>
                <w:szCs w:val="13"/>
              </w:rPr>
              <w:t xml:space="preserve">&gt;95% critical vulns remediated within SLA; 0 unsupported internet-facing systems</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I06</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Network segmentation and network access control</w:t>
            </w:r>
          </w:p>
          <w:p>
            <w:r>
              <w:rPr>
                <w:rFonts w:ascii="Arial" w:cs="Arial" w:eastAsia="Arial" w:hAnsi="Arial"/>
                <w:sz w:val="13"/>
                <w:szCs w:val="13"/>
              </w:rPr>
              <w:t xml:space="preserve">Zones for clinical systems, medical devices, administration, guest Wi-Fi (WPA3), backups and servers; NAC at clinics; east-west firewall rules.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S2, S3, S6, S7</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CIO (Infrastructure)</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Planned</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$450k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$70k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6 - Month 24</w:t>
            </w:r>
          </w:p>
        </w:tc>
        <w:tc>
          <w:tcPr>
            <w:tcW w:type="dxa" w:w="1314"/>
            <w:shd w:fill="F2F2F2" w:color="auto" w:val="clear"/>
            <w:tcMar>
              <w:top w:type="dxa" w:w="50"/>
              <w:left w:type="dxa" w:w="80"/>
              <w:bottom w:type="dxa" w:w="50"/>
              <w:right w:type="dxa" w:w="80"/>
            </w:tcMar>
          </w:tcPr>
          <w:p>
            <w:r>
              <w:rPr>
                <w:rFonts w:ascii="Arial" w:cs="Arial" w:eastAsia="Arial" w:hAnsi="Arial"/>
                <w:sz w:val="13"/>
                <w:szCs w:val="13"/>
              </w:rPr>
              <w:t xml:space="preserve">100% medical devices and guest Wi-Fi in isolated segments</w:t>
            </w:r>
          </w:p>
        </w:tc>
      </w:tr>
      <w:tr>
        <w:tc>
          <w:tcPr>
            <w:tcW w:type="dxa" w:w="374"/>
            <w:tcMar>
              <w:top w:type="dxa" w:w="50"/>
              <w:left w:type="dxa" w:w="80"/>
              <w:bottom w:type="dxa" w:w="50"/>
              <w:right w:type="dxa" w:w="80"/>
            </w:tcMar>
          </w:tcPr>
          <w:p>
            <w:r>
              <w:rPr>
                <w:rFonts w:ascii="Arial" w:cs="Arial" w:eastAsia="Arial" w:hAnsi="Arial"/>
                <w:sz w:val="13"/>
                <w:szCs w:val="13"/>
              </w:rPr>
              <w:t xml:space="preserve">I07</w:t>
            </w:r>
          </w:p>
        </w:tc>
        <w:tc>
          <w:tcPr>
            <w:tcW w:type="dxa" w:w="2808"/>
            <w:tcMar>
              <w:top w:type="dxa" w:w="50"/>
              <w:left w:type="dxa" w:w="80"/>
              <w:bottom w:type="dxa" w:w="50"/>
              <w:right w:type="dxa" w:w="80"/>
            </w:tcMar>
          </w:tcPr>
          <w:p>
            <w:r>
              <w:rPr>
                <w:rFonts w:ascii="Arial" w:cs="Arial" w:eastAsia="Arial" w:hAnsi="Arial"/>
                <w:sz w:val="13"/>
                <w:szCs w:val="13"/>
              </w:rPr>
              <w:t xml:space="preserve">Medical device security programme</w:t>
            </w:r>
          </w:p>
          <w:p>
            <w:r>
              <w:rPr>
                <w:rFonts w:ascii="Arial" w:cs="Arial" w:eastAsia="Arial" w:hAnsi="Arial"/>
                <w:sz w:val="13"/>
                <w:szCs w:val="13"/>
              </w:rPr>
              <w:t xml:space="preserve">Device inventory and criticality, manufacturer MDS2 collection, passive IoMT network monitoring, compensating controls where patching is restricted, procurement security clauses.</w:t>
            </w:r>
          </w:p>
        </w:tc>
        <w:tc>
          <w:tcPr>
            <w:tcW w:type="dxa" w:w="842"/>
            <w:tcMar>
              <w:top w:type="dxa" w:w="50"/>
              <w:left w:type="dxa" w:w="80"/>
              <w:bottom w:type="dxa" w:w="50"/>
              <w:right w:type="dxa" w:w="80"/>
            </w:tcMar>
          </w:tcPr>
          <w:p>
            <w:r>
              <w:rPr>
                <w:rFonts w:ascii="Arial" w:cs="Arial" w:eastAsia="Arial" w:hAnsi="Arial"/>
                <w:sz w:val="13"/>
                <w:szCs w:val="13"/>
              </w:rPr>
              <w:t xml:space="preserve">S7</w:t>
            </w:r>
          </w:p>
        </w:tc>
        <w:tc>
          <w:tcPr>
            <w:tcW w:type="dxa" w:w="1029"/>
            <w:tcMar>
              <w:top w:type="dxa" w:w="50"/>
              <w:left w:type="dxa" w:w="80"/>
              <w:bottom w:type="dxa" w:w="50"/>
              <w:right w:type="dxa" w:w="80"/>
            </w:tcMar>
          </w:tcPr>
          <w:p>
            <w:r>
              <w:rPr>
                <w:rFonts w:ascii="Arial" w:cs="Arial" w:eastAsia="Arial" w:hAnsi="Arial"/>
                <w:sz w:val="13"/>
                <w:szCs w:val="13"/>
              </w:rPr>
              <w:t xml:space="preserve">Biomedical engineering / Clinical Ops</w:t>
            </w:r>
          </w:p>
        </w:tc>
        <w:tc>
          <w:tcPr>
            <w:tcW w:type="dxa" w:w="748"/>
            <w:tcMar>
              <w:top w:type="dxa" w:w="50"/>
              <w:left w:type="dxa" w:w="80"/>
              <w:bottom w:type="dxa" w:w="50"/>
              <w:right w:type="dxa" w:w="80"/>
            </w:tcMar>
          </w:tcPr>
          <w:p>
            <w:r>
              <w:rPr>
                <w:rFonts w:ascii="Arial" w:cs="Arial" w:eastAsia="Arial" w:hAnsi="Arial"/>
                <w:sz w:val="13"/>
                <w:szCs w:val="13"/>
              </w:rPr>
              <w:t xml:space="preserve">Near-term</w:t>
            </w:r>
          </w:p>
        </w:tc>
        <w:tc>
          <w:tcPr>
            <w:tcW w:type="dxa" w:w="655"/>
            <w:tcMar>
              <w:top w:type="dxa" w:w="50"/>
              <w:left w:type="dxa" w:w="80"/>
              <w:bottom w:type="dxa" w:w="50"/>
              <w:right w:type="dxa" w:w="80"/>
            </w:tcMar>
          </w:tcPr>
          <w:p>
            <w:r>
              <w:rPr>
                <w:rFonts w:ascii="Arial" w:cs="Arial" w:eastAsia="Arial" w:hAnsi="Arial"/>
                <w:sz w:val="13"/>
                <w:szCs w:val="13"/>
              </w:rPr>
              <w:t xml:space="preserve">$180k</w:t>
            </w:r>
          </w:p>
        </w:tc>
        <w:tc>
          <w:tcPr>
            <w:tcW w:type="dxa" w:w="748"/>
            <w:tcMar>
              <w:top w:type="dxa" w:w="50"/>
              <w:left w:type="dxa" w:w="80"/>
              <w:bottom w:type="dxa" w:w="50"/>
              <w:right w:type="dxa" w:w="80"/>
            </w:tcMar>
          </w:tcPr>
          <w:p>
            <w:r>
              <w:rPr>
                <w:rFonts w:ascii="Arial" w:cs="Arial" w:eastAsia="Arial" w:hAnsi="Arial"/>
                <w:sz w:val="13"/>
                <w:szCs w:val="13"/>
              </w:rPr>
              <w:t xml:space="preserve">$90k</w:t>
            </w:r>
          </w:p>
        </w:tc>
        <w:tc>
          <w:tcPr>
            <w:tcW w:type="dxa" w:w="842"/>
            <w:tcMar>
              <w:top w:type="dxa" w:w="50"/>
              <w:left w:type="dxa" w:w="80"/>
              <w:bottom w:type="dxa" w:w="50"/>
              <w:right w:type="dxa" w:w="80"/>
            </w:tcMar>
          </w:tcPr>
          <w:p>
            <w:r>
              <w:rPr>
                <w:rFonts w:ascii="Arial" w:cs="Arial" w:eastAsia="Arial" w:hAnsi="Arial"/>
                <w:sz w:val="13"/>
                <w:szCs w:val="13"/>
              </w:rPr>
              <w:t xml:space="preserve">Month 3 - Month 12</w:t>
            </w:r>
          </w:p>
        </w:tc>
        <w:tc>
          <w:tcPr>
            <w:tcW w:type="dxa" w:w="1314"/>
            <w:tcMar>
              <w:top w:type="dxa" w:w="50"/>
              <w:left w:type="dxa" w:w="80"/>
              <w:bottom w:type="dxa" w:w="50"/>
              <w:right w:type="dxa" w:w="80"/>
            </w:tcMar>
          </w:tcPr>
          <w:p>
            <w:r>
              <w:rPr>
                <w:rFonts w:ascii="Arial" w:cs="Arial" w:eastAsia="Arial" w:hAnsi="Arial"/>
                <w:sz w:val="13"/>
                <w:szCs w:val="13"/>
              </w:rPr>
              <w:t xml:space="preserve">100% networked devices inventoried and risk-rated</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I08</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Cloud security posture and secure image transfer</w:t>
            </w:r>
          </w:p>
          <w:p>
            <w:r>
              <w:rPr>
                <w:rFonts w:ascii="Arial" w:cs="Arial" w:eastAsia="Arial" w:hAnsi="Arial"/>
                <w:sz w:val="13"/>
                <w:szCs w:val="13"/>
              </w:rPr>
              <w:t xml:space="preserve">Cloud posture management, organization-wide block on public access, expiring authenticated sharing links, object-access logging to SIEM, encryption with customer-managed keys.</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S4</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CIO / Radiology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Immediate</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$120k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$60k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0 - Month 6</w:t>
            </w:r>
          </w:p>
        </w:tc>
        <w:tc>
          <w:tcPr>
            <w:tcW w:type="dxa" w:w="1314"/>
            <w:shd w:fill="F2F2F2" w:color="auto" w:val="clear"/>
            <w:tcMar>
              <w:top w:type="dxa" w:w="50"/>
              <w:left w:type="dxa" w:w="80"/>
              <w:bottom w:type="dxa" w:w="50"/>
              <w:right w:type="dxa" w:w="80"/>
            </w:tcMar>
          </w:tcPr>
          <w:p>
            <w:r>
              <w:rPr>
                <w:rFonts w:ascii="Arial" w:cs="Arial" w:eastAsia="Arial" w:hAnsi="Arial"/>
                <w:sz w:val="13"/>
                <w:szCs w:val="13"/>
              </w:rPr>
              <w:t xml:space="preserve">0 publicly accessible storage objects; 100% object access logged</w:t>
            </w:r>
          </w:p>
        </w:tc>
      </w:tr>
      <w:tr>
        <w:tc>
          <w:tcPr>
            <w:tcW w:type="dxa" w:w="374"/>
            <w:tcMar>
              <w:top w:type="dxa" w:w="50"/>
              <w:left w:type="dxa" w:w="80"/>
              <w:bottom w:type="dxa" w:w="50"/>
              <w:right w:type="dxa" w:w="80"/>
            </w:tcMar>
          </w:tcPr>
          <w:p>
            <w:r>
              <w:rPr>
                <w:rFonts w:ascii="Arial" w:cs="Arial" w:eastAsia="Arial" w:hAnsi="Arial"/>
                <w:sz w:val="13"/>
                <w:szCs w:val="13"/>
              </w:rPr>
              <w:t xml:space="preserve">I09</w:t>
            </w:r>
          </w:p>
        </w:tc>
        <w:tc>
          <w:tcPr>
            <w:tcW w:type="dxa" w:w="2808"/>
            <w:tcMar>
              <w:top w:type="dxa" w:w="50"/>
              <w:left w:type="dxa" w:w="80"/>
              <w:bottom w:type="dxa" w:w="50"/>
              <w:right w:type="dxa" w:w="80"/>
            </w:tcMar>
          </w:tcPr>
          <w:p>
            <w:r>
              <w:rPr>
                <w:rFonts w:ascii="Arial" w:cs="Arial" w:eastAsia="Arial" w:hAnsi="Arial"/>
                <w:sz w:val="13"/>
                <w:szCs w:val="13"/>
              </w:rPr>
              <w:t xml:space="preserve">Data access governance and EHR privacy monitoring</w:t>
            </w:r>
          </w:p>
          <w:p>
            <w:r>
              <w:rPr>
                <w:rFonts w:ascii="Arial" w:cs="Arial" w:eastAsia="Arial" w:hAnsi="Arial"/>
                <w:sz w:val="13"/>
                <w:szCs w:val="13"/>
              </w:rPr>
              <w:t xml:space="preserve">Role-based access redesign, quarterly access recertification, EHR access analytics (break-the-glass, VIP, bulk queries), endpoint/cloud DLP for health data.</w:t>
            </w:r>
          </w:p>
        </w:tc>
        <w:tc>
          <w:tcPr>
            <w:tcW w:type="dxa" w:w="842"/>
            <w:tcMar>
              <w:top w:type="dxa" w:w="50"/>
              <w:left w:type="dxa" w:w="80"/>
              <w:bottom w:type="dxa" w:w="50"/>
              <w:right w:type="dxa" w:w="80"/>
            </w:tcMar>
          </w:tcPr>
          <w:p>
            <w:r>
              <w:rPr>
                <w:rFonts w:ascii="Arial" w:cs="Arial" w:eastAsia="Arial" w:hAnsi="Arial"/>
                <w:sz w:val="13"/>
                <w:szCs w:val="13"/>
              </w:rPr>
              <w:t xml:space="preserve">S4, S5, S10</w:t>
            </w:r>
          </w:p>
        </w:tc>
        <w:tc>
          <w:tcPr>
            <w:tcW w:type="dxa" w:w="1029"/>
            <w:tcMar>
              <w:top w:type="dxa" w:w="50"/>
              <w:left w:type="dxa" w:w="80"/>
              <w:bottom w:type="dxa" w:w="50"/>
              <w:right w:type="dxa" w:w="80"/>
            </w:tcMar>
          </w:tcPr>
          <w:p>
            <w:r>
              <w:rPr>
                <w:rFonts w:ascii="Arial" w:cs="Arial" w:eastAsia="Arial" w:hAnsi="Arial"/>
                <w:sz w:val="13"/>
                <w:szCs w:val="13"/>
              </w:rPr>
              <w:t xml:space="preserve">Privacy officer / CIO</w:t>
            </w:r>
          </w:p>
        </w:tc>
        <w:tc>
          <w:tcPr>
            <w:tcW w:type="dxa" w:w="748"/>
            <w:tcMar>
              <w:top w:type="dxa" w:w="50"/>
              <w:left w:type="dxa" w:w="80"/>
              <w:bottom w:type="dxa" w:w="50"/>
              <w:right w:type="dxa" w:w="80"/>
            </w:tcMar>
          </w:tcPr>
          <w:p>
            <w:r>
              <w:rPr>
                <w:rFonts w:ascii="Arial" w:cs="Arial" w:eastAsia="Arial" w:hAnsi="Arial"/>
                <w:sz w:val="13"/>
                <w:szCs w:val="13"/>
              </w:rPr>
              <w:t xml:space="preserve">Near-term</w:t>
            </w:r>
          </w:p>
        </w:tc>
        <w:tc>
          <w:tcPr>
            <w:tcW w:type="dxa" w:w="655"/>
            <w:tcMar>
              <w:top w:type="dxa" w:w="50"/>
              <w:left w:type="dxa" w:w="80"/>
              <w:bottom w:type="dxa" w:w="50"/>
              <w:right w:type="dxa" w:w="80"/>
            </w:tcMar>
          </w:tcPr>
          <w:p>
            <w:r>
              <w:rPr>
                <w:rFonts w:ascii="Arial" w:cs="Arial" w:eastAsia="Arial" w:hAnsi="Arial"/>
                <w:sz w:val="13"/>
                <w:szCs w:val="13"/>
              </w:rPr>
              <w:t xml:space="preserve">$200k</w:t>
            </w:r>
          </w:p>
        </w:tc>
        <w:tc>
          <w:tcPr>
            <w:tcW w:type="dxa" w:w="748"/>
            <w:tcMar>
              <w:top w:type="dxa" w:w="50"/>
              <w:left w:type="dxa" w:w="80"/>
              <w:bottom w:type="dxa" w:w="50"/>
              <w:right w:type="dxa" w:w="80"/>
            </w:tcMar>
          </w:tcPr>
          <w:p>
            <w:r>
              <w:rPr>
                <w:rFonts w:ascii="Arial" w:cs="Arial" w:eastAsia="Arial" w:hAnsi="Arial"/>
                <w:sz w:val="13"/>
                <w:szCs w:val="13"/>
              </w:rPr>
              <w:t xml:space="preserve">$90k</w:t>
            </w:r>
          </w:p>
        </w:tc>
        <w:tc>
          <w:tcPr>
            <w:tcW w:type="dxa" w:w="842"/>
            <w:tcMar>
              <w:top w:type="dxa" w:w="50"/>
              <w:left w:type="dxa" w:w="80"/>
              <w:bottom w:type="dxa" w:w="50"/>
              <w:right w:type="dxa" w:w="80"/>
            </w:tcMar>
          </w:tcPr>
          <w:p>
            <w:r>
              <w:rPr>
                <w:rFonts w:ascii="Arial" w:cs="Arial" w:eastAsia="Arial" w:hAnsi="Arial"/>
                <w:sz w:val="13"/>
                <w:szCs w:val="13"/>
              </w:rPr>
              <w:t xml:space="preserve">Month 3 - Month 12</w:t>
            </w:r>
          </w:p>
        </w:tc>
        <w:tc>
          <w:tcPr>
            <w:tcW w:type="dxa" w:w="1314"/>
            <w:tcMar>
              <w:top w:type="dxa" w:w="50"/>
              <w:left w:type="dxa" w:w="80"/>
              <w:bottom w:type="dxa" w:w="50"/>
              <w:right w:type="dxa" w:w="80"/>
            </w:tcMar>
          </w:tcPr>
          <w:p>
            <w:r>
              <w:rPr>
                <w:rFonts w:ascii="Arial" w:cs="Arial" w:eastAsia="Arial" w:hAnsi="Arial"/>
                <w:sz w:val="13"/>
                <w:szCs w:val="13"/>
              </w:rPr>
              <w:t xml:space="preserve">100% EHR roles recertified quarterly; bulk-access alerts reviewed within 24 h</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I10</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Third-party cyber risk management</w:t>
            </w:r>
          </w:p>
          <w:p>
            <w:r>
              <w:rPr>
                <w:rFonts w:ascii="Arial" w:cs="Arial" w:eastAsia="Arial" w:hAnsi="Arial"/>
                <w:sz w:val="13"/>
                <w:szCs w:val="13"/>
              </w:rPr>
              <w:t xml:space="preserve">Vendor tiering, security assessments of critical vendors, contract clauses (24-72 h incident notification, right to audit, MFA), vendor remote access only via PAM gateway.</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S9</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Procurement / Cybersecurity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Near-term</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$90k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$70k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2 - Month 12</w:t>
            </w:r>
          </w:p>
        </w:tc>
        <w:tc>
          <w:tcPr>
            <w:tcW w:type="dxa" w:w="1314"/>
            <w:shd w:fill="F2F2F2" w:color="auto" w:val="clear"/>
            <w:tcMar>
              <w:top w:type="dxa" w:w="50"/>
              <w:left w:type="dxa" w:w="80"/>
              <w:bottom w:type="dxa" w:w="50"/>
              <w:right w:type="dxa" w:w="80"/>
            </w:tcMar>
          </w:tcPr>
          <w:p>
            <w:r>
              <w:rPr>
                <w:rFonts w:ascii="Arial" w:cs="Arial" w:eastAsia="Arial" w:hAnsi="Arial"/>
                <w:sz w:val="13"/>
                <w:szCs w:val="13"/>
              </w:rPr>
              <w:t xml:space="preserve">100% critical vendors assessed and under revised clauses</w:t>
            </w:r>
          </w:p>
        </w:tc>
      </w:tr>
      <w:tr>
        <w:tc>
          <w:tcPr>
            <w:tcW w:type="dxa" w:w="374"/>
            <w:tcMar>
              <w:top w:type="dxa" w:w="50"/>
              <w:left w:type="dxa" w:w="80"/>
              <w:bottom w:type="dxa" w:w="50"/>
              <w:right w:type="dxa" w:w="80"/>
            </w:tcMar>
          </w:tcPr>
          <w:p>
            <w:r>
              <w:rPr>
                <w:rFonts w:ascii="Arial" w:cs="Arial" w:eastAsia="Arial" w:hAnsi="Arial"/>
                <w:sz w:val="13"/>
                <w:szCs w:val="13"/>
              </w:rPr>
              <w:t xml:space="preserve">I11</w:t>
            </w:r>
          </w:p>
        </w:tc>
        <w:tc>
          <w:tcPr>
            <w:tcW w:type="dxa" w:w="2808"/>
            <w:tcMar>
              <w:top w:type="dxa" w:w="50"/>
              <w:left w:type="dxa" w:w="80"/>
              <w:bottom w:type="dxa" w:w="50"/>
              <w:right w:type="dxa" w:w="80"/>
            </w:tcMar>
          </w:tcPr>
          <w:p>
            <w:r>
              <w:rPr>
                <w:rFonts w:ascii="Arial" w:cs="Arial" w:eastAsia="Arial" w:hAnsi="Arial"/>
                <w:sz w:val="13"/>
                <w:szCs w:val="13"/>
              </w:rPr>
              <w:t xml:space="preserve">Incident response and clinical continuity readiness</w:t>
            </w:r>
          </w:p>
          <w:p>
            <w:r>
              <w:rPr>
                <w:rFonts w:ascii="Arial" w:cs="Arial" w:eastAsia="Arial" w:hAnsi="Arial"/>
                <w:sz w:val="13"/>
                <w:szCs w:val="13"/>
              </w:rPr>
              <w:t xml:space="preserve">Updated IR plan and playbooks (ransomware, privacy breach, device), IR/forensics retainer, semi-annual tabletop including clinics, clinical downtime procedures.</w:t>
            </w:r>
          </w:p>
        </w:tc>
        <w:tc>
          <w:tcPr>
            <w:tcW w:type="dxa" w:w="842"/>
            <w:tcMar>
              <w:top w:type="dxa" w:w="50"/>
              <w:left w:type="dxa" w:w="80"/>
              <w:bottom w:type="dxa" w:w="50"/>
              <w:right w:type="dxa" w:w="80"/>
            </w:tcMar>
          </w:tcPr>
          <w:p>
            <w:r>
              <w:rPr>
                <w:rFonts w:ascii="Arial" w:cs="Arial" w:eastAsia="Arial" w:hAnsi="Arial"/>
                <w:sz w:val="13"/>
                <w:szCs w:val="13"/>
              </w:rPr>
              <w:t xml:space="preserve">S2, S3, S8, S9, S10</w:t>
            </w:r>
          </w:p>
        </w:tc>
        <w:tc>
          <w:tcPr>
            <w:tcW w:type="dxa" w:w="1029"/>
            <w:tcMar>
              <w:top w:type="dxa" w:w="50"/>
              <w:left w:type="dxa" w:w="80"/>
              <w:bottom w:type="dxa" w:w="50"/>
              <w:right w:type="dxa" w:w="80"/>
            </w:tcMar>
          </w:tcPr>
          <w:p>
            <w:r>
              <w:rPr>
                <w:rFonts w:ascii="Arial" w:cs="Arial" w:eastAsia="Arial" w:hAnsi="Arial"/>
                <w:sz w:val="13"/>
                <w:szCs w:val="13"/>
              </w:rPr>
              <w:t xml:space="preserve">Cybersecurity lead / Clinical Ops</w:t>
            </w:r>
          </w:p>
        </w:tc>
        <w:tc>
          <w:tcPr>
            <w:tcW w:type="dxa" w:w="748"/>
            <w:tcMar>
              <w:top w:type="dxa" w:w="50"/>
              <w:left w:type="dxa" w:w="80"/>
              <w:bottom w:type="dxa" w:w="50"/>
              <w:right w:type="dxa" w:w="80"/>
            </w:tcMar>
          </w:tcPr>
          <w:p>
            <w:r>
              <w:rPr>
                <w:rFonts w:ascii="Arial" w:cs="Arial" w:eastAsia="Arial" w:hAnsi="Arial"/>
                <w:sz w:val="13"/>
                <w:szCs w:val="13"/>
              </w:rPr>
              <w:t xml:space="preserve">Immediate</w:t>
            </w:r>
          </w:p>
        </w:tc>
        <w:tc>
          <w:tcPr>
            <w:tcW w:type="dxa" w:w="655"/>
            <w:tcMar>
              <w:top w:type="dxa" w:w="50"/>
              <w:left w:type="dxa" w:w="80"/>
              <w:bottom w:type="dxa" w:w="50"/>
              <w:right w:type="dxa" w:w="80"/>
            </w:tcMar>
          </w:tcPr>
          <w:p>
            <w:r>
              <w:rPr>
                <w:rFonts w:ascii="Arial" w:cs="Arial" w:eastAsia="Arial" w:hAnsi="Arial"/>
                <w:sz w:val="13"/>
                <w:szCs w:val="13"/>
              </w:rPr>
              <w:t xml:space="preserve">$120k</w:t>
            </w:r>
          </w:p>
        </w:tc>
        <w:tc>
          <w:tcPr>
            <w:tcW w:type="dxa" w:w="748"/>
            <w:tcMar>
              <w:top w:type="dxa" w:w="50"/>
              <w:left w:type="dxa" w:w="80"/>
              <w:bottom w:type="dxa" w:w="50"/>
              <w:right w:type="dxa" w:w="80"/>
            </w:tcMar>
          </w:tcPr>
          <w:p>
            <w:r>
              <w:rPr>
                <w:rFonts w:ascii="Arial" w:cs="Arial" w:eastAsia="Arial" w:hAnsi="Arial"/>
                <w:sz w:val="13"/>
                <w:szCs w:val="13"/>
              </w:rPr>
              <w:t xml:space="preserve">$80k</w:t>
            </w:r>
          </w:p>
        </w:tc>
        <w:tc>
          <w:tcPr>
            <w:tcW w:type="dxa" w:w="842"/>
            <w:tcMar>
              <w:top w:type="dxa" w:w="50"/>
              <w:left w:type="dxa" w:w="80"/>
              <w:bottom w:type="dxa" w:w="50"/>
              <w:right w:type="dxa" w:w="80"/>
            </w:tcMar>
          </w:tcPr>
          <w:p>
            <w:r>
              <w:rPr>
                <w:rFonts w:ascii="Arial" w:cs="Arial" w:eastAsia="Arial" w:hAnsi="Arial"/>
                <w:sz w:val="13"/>
                <w:szCs w:val="13"/>
              </w:rPr>
              <w:t xml:space="preserve">Month 0 - Month 6</w:t>
            </w:r>
          </w:p>
        </w:tc>
        <w:tc>
          <w:tcPr>
            <w:tcW w:type="dxa" w:w="1314"/>
            <w:tcMar>
              <w:top w:type="dxa" w:w="50"/>
              <w:left w:type="dxa" w:w="80"/>
              <w:bottom w:type="dxa" w:w="50"/>
              <w:right w:type="dxa" w:w="80"/>
            </w:tcMar>
          </w:tcPr>
          <w:p>
            <w:r>
              <w:rPr>
                <w:rFonts w:ascii="Arial" w:cs="Arial" w:eastAsia="Arial" w:hAnsi="Arial"/>
                <w:sz w:val="13"/>
                <w:szCs w:val="13"/>
              </w:rPr>
              <w:t xml:space="preserve">2 tabletops/year; all 10 clinics with tested downtime procedures</w:t>
            </w:r>
          </w:p>
        </w:tc>
      </w:tr>
      <w:tr>
        <w:tc>
          <w:tcPr>
            <w:tcW w:type="dxa" w:w="374"/>
            <w:shd w:fill="F2F2F2" w:color="auto" w:val="clear"/>
            <w:tcMar>
              <w:top w:type="dxa" w:w="50"/>
              <w:left w:type="dxa" w:w="80"/>
              <w:bottom w:type="dxa" w:w="50"/>
              <w:right w:type="dxa" w:w="80"/>
            </w:tcMar>
          </w:tcPr>
          <w:p>
            <w:r>
              <w:rPr>
                <w:rFonts w:ascii="Arial" w:cs="Arial" w:eastAsia="Arial" w:hAnsi="Arial"/>
                <w:sz w:val="13"/>
                <w:szCs w:val="13"/>
              </w:rPr>
              <w:t xml:space="preserve">I12</w:t>
            </w:r>
          </w:p>
        </w:tc>
        <w:tc>
          <w:tcPr>
            <w:tcW w:type="dxa" w:w="2808"/>
            <w:shd w:fill="F2F2F2" w:color="auto" w:val="clear"/>
            <w:tcMar>
              <w:top w:type="dxa" w:w="50"/>
              <w:left w:type="dxa" w:w="80"/>
              <w:bottom w:type="dxa" w:w="50"/>
              <w:right w:type="dxa" w:w="80"/>
            </w:tcMar>
          </w:tcPr>
          <w:p>
            <w:r>
              <w:rPr>
                <w:rFonts w:ascii="Arial" w:cs="Arial" w:eastAsia="Arial" w:hAnsi="Arial"/>
                <w:sz w:val="13"/>
                <w:szCs w:val="13"/>
              </w:rPr>
              <w:t xml:space="preserve">Governance, awareness and risk reporting</w:t>
            </w:r>
          </w:p>
          <w:p>
            <w:r>
              <w:rPr>
                <w:rFonts w:ascii="Arial" w:cs="Arial" w:eastAsia="Arial" w:hAnsi="Arial"/>
                <w:sz w:val="13"/>
                <w:szCs w:val="13"/>
              </w:rPr>
              <w:t xml:space="preserve">Role-based awareness and phishing simulation, quarterly KRI dashboard to Steering Committee, risk register and acceptance workflow, cyber-insurance coverage review.</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S1, S2, S5, S8</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Cybersecurity lead / Executive sponsor</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Immediate</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$70k</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$90k</w:t>
            </w:r>
          </w:p>
        </w:tc>
        <w:tc>
          <w:tcPr>
            <w:tcW w:type="dxa" w:w="842"/>
            <w:shd w:fill="F2F2F2" w:color="auto" w:val="clear"/>
            <w:tcMar>
              <w:top w:type="dxa" w:w="50"/>
              <w:left w:type="dxa" w:w="80"/>
              <w:bottom w:type="dxa" w:w="50"/>
              <w:right w:type="dxa" w:w="80"/>
            </w:tcMar>
          </w:tcPr>
          <w:p>
            <w:r>
              <w:rPr>
                <w:rFonts w:ascii="Arial" w:cs="Arial" w:eastAsia="Arial" w:hAnsi="Arial"/>
                <w:sz w:val="13"/>
                <w:szCs w:val="13"/>
              </w:rPr>
              <w:t xml:space="preserve">Month 0 - Month 3</w:t>
            </w:r>
          </w:p>
        </w:tc>
        <w:tc>
          <w:tcPr>
            <w:tcW w:type="dxa" w:w="1314"/>
            <w:shd w:fill="F2F2F2" w:color="auto" w:val="clear"/>
            <w:tcMar>
              <w:top w:type="dxa" w:w="50"/>
              <w:left w:type="dxa" w:w="80"/>
              <w:bottom w:type="dxa" w:w="50"/>
              <w:right w:type="dxa" w:w="80"/>
            </w:tcMar>
          </w:tcPr>
          <w:p>
            <w:r>
              <w:rPr>
                <w:rFonts w:ascii="Arial" w:cs="Arial" w:eastAsia="Arial" w:hAnsi="Arial"/>
                <w:sz w:val="13"/>
                <w:szCs w:val="13"/>
              </w:rPr>
              <w:t xml:space="preserve">Quarterly KRI report delivered; phishing report rate &gt; 70%</w:t>
            </w:r>
          </w:p>
        </w:tc>
      </w:tr>
      <w:tr>
        <w:tc>
          <w:tcPr>
            <w:tcW w:type="dxa" w:w="374"/>
            <w:tcMar>
              <w:top w:type="dxa" w:w="50"/>
              <w:left w:type="dxa" w:w="80"/>
              <w:bottom w:type="dxa" w:w="50"/>
              <w:right w:type="dxa" w:w="80"/>
            </w:tcMar>
          </w:tcPr>
          <w:p>
            <w:r>
              <w:rPr>
                <w:rFonts w:ascii="Arial" w:cs="Arial" w:eastAsia="Arial" w:hAnsi="Arial"/>
                <w:sz w:val="13"/>
                <w:szCs w:val="13"/>
              </w:rPr>
              <w:t xml:space="preserve">I13</w:t>
            </w:r>
          </w:p>
        </w:tc>
        <w:tc>
          <w:tcPr>
            <w:tcW w:type="dxa" w:w="2808"/>
            <w:tcMar>
              <w:top w:type="dxa" w:w="50"/>
              <w:left w:type="dxa" w:w="80"/>
              <w:bottom w:type="dxa" w:w="50"/>
              <w:right w:type="dxa" w:w="80"/>
            </w:tcMar>
          </w:tcPr>
          <w:p>
            <w:r>
              <w:rPr>
                <w:rFonts w:ascii="Arial" w:cs="Arial" w:eastAsia="Arial" w:hAnsi="Arial"/>
                <w:sz w:val="13"/>
                <w:szCs w:val="13"/>
              </w:rPr>
              <w:t xml:space="preserve">Clinical data integrity controls</w:t>
            </w:r>
          </w:p>
          <w:p>
            <w:r>
              <w:rPr>
                <w:rFonts w:ascii="Arial" w:cs="Arial" w:eastAsia="Arial" w:hAnsi="Arial"/>
                <w:sz w:val="13"/>
                <w:szCs w:val="13"/>
              </w:rPr>
              <w:t xml:space="preserve">Audit trails and alerting on changes to medication, allergy, lab and billing records; automated reconciliation; integrity verification after restore.</w:t>
            </w:r>
          </w:p>
        </w:tc>
        <w:tc>
          <w:tcPr>
            <w:tcW w:type="dxa" w:w="842"/>
            <w:tcMar>
              <w:top w:type="dxa" w:w="50"/>
              <w:left w:type="dxa" w:w="80"/>
              <w:bottom w:type="dxa" w:w="50"/>
              <w:right w:type="dxa" w:w="80"/>
            </w:tcMar>
          </w:tcPr>
          <w:p>
            <w:r>
              <w:rPr>
                <w:rFonts w:ascii="Arial" w:cs="Arial" w:eastAsia="Arial" w:hAnsi="Arial"/>
                <w:sz w:val="13"/>
                <w:szCs w:val="13"/>
              </w:rPr>
              <w:t xml:space="preserve">S10</w:t>
            </w:r>
          </w:p>
        </w:tc>
        <w:tc>
          <w:tcPr>
            <w:tcW w:type="dxa" w:w="1029"/>
            <w:tcMar>
              <w:top w:type="dxa" w:w="50"/>
              <w:left w:type="dxa" w:w="80"/>
              <w:bottom w:type="dxa" w:w="50"/>
              <w:right w:type="dxa" w:w="80"/>
            </w:tcMar>
          </w:tcPr>
          <w:p>
            <w:r>
              <w:rPr>
                <w:rFonts w:ascii="Arial" w:cs="Arial" w:eastAsia="Arial" w:hAnsi="Arial"/>
                <w:sz w:val="13"/>
                <w:szCs w:val="13"/>
              </w:rPr>
              <w:t xml:space="preserve">CIO / Clinical Ops / Pharmacy lead</w:t>
            </w:r>
          </w:p>
        </w:tc>
        <w:tc>
          <w:tcPr>
            <w:tcW w:type="dxa" w:w="748"/>
            <w:tcMar>
              <w:top w:type="dxa" w:w="50"/>
              <w:left w:type="dxa" w:w="80"/>
              <w:bottom w:type="dxa" w:w="50"/>
              <w:right w:type="dxa" w:w="80"/>
            </w:tcMar>
          </w:tcPr>
          <w:p>
            <w:r>
              <w:rPr>
                <w:rFonts w:ascii="Arial" w:cs="Arial" w:eastAsia="Arial" w:hAnsi="Arial"/>
                <w:sz w:val="13"/>
                <w:szCs w:val="13"/>
              </w:rPr>
              <w:t xml:space="preserve">Planned</w:t>
            </w:r>
          </w:p>
        </w:tc>
        <w:tc>
          <w:tcPr>
            <w:tcW w:type="dxa" w:w="655"/>
            <w:tcMar>
              <w:top w:type="dxa" w:w="50"/>
              <w:left w:type="dxa" w:w="80"/>
              <w:bottom w:type="dxa" w:w="50"/>
              <w:right w:type="dxa" w:w="80"/>
            </w:tcMar>
          </w:tcPr>
          <w:p>
            <w:r>
              <w:rPr>
                <w:rFonts w:ascii="Arial" w:cs="Arial" w:eastAsia="Arial" w:hAnsi="Arial"/>
                <w:sz w:val="13"/>
                <w:szCs w:val="13"/>
              </w:rPr>
              <w:t xml:space="preserve">$100k</w:t>
            </w:r>
          </w:p>
        </w:tc>
        <w:tc>
          <w:tcPr>
            <w:tcW w:type="dxa" w:w="748"/>
            <w:tcMar>
              <w:top w:type="dxa" w:w="50"/>
              <w:left w:type="dxa" w:w="80"/>
              <w:bottom w:type="dxa" w:w="50"/>
              <w:right w:type="dxa" w:w="80"/>
            </w:tcMar>
          </w:tcPr>
          <w:p>
            <w:r>
              <w:rPr>
                <w:rFonts w:ascii="Arial" w:cs="Arial" w:eastAsia="Arial" w:hAnsi="Arial"/>
                <w:sz w:val="13"/>
                <w:szCs w:val="13"/>
              </w:rPr>
              <w:t xml:space="preserve">$40k</w:t>
            </w:r>
          </w:p>
        </w:tc>
        <w:tc>
          <w:tcPr>
            <w:tcW w:type="dxa" w:w="842"/>
            <w:tcMar>
              <w:top w:type="dxa" w:w="50"/>
              <w:left w:type="dxa" w:w="80"/>
              <w:bottom w:type="dxa" w:w="50"/>
              <w:right w:type="dxa" w:w="80"/>
            </w:tcMar>
          </w:tcPr>
          <w:p>
            <w:r>
              <w:rPr>
                <w:rFonts w:ascii="Arial" w:cs="Arial" w:eastAsia="Arial" w:hAnsi="Arial"/>
                <w:sz w:val="13"/>
                <w:szCs w:val="13"/>
              </w:rPr>
              <w:t xml:space="preserve">Month 6 - Month 15</w:t>
            </w:r>
          </w:p>
        </w:tc>
        <w:tc>
          <w:tcPr>
            <w:tcW w:type="dxa" w:w="1314"/>
            <w:tcMar>
              <w:top w:type="dxa" w:w="50"/>
              <w:left w:type="dxa" w:w="80"/>
              <w:bottom w:type="dxa" w:w="50"/>
              <w:right w:type="dxa" w:w="80"/>
            </w:tcMar>
          </w:tcPr>
          <w:p>
            <w:r>
              <w:rPr>
                <w:rFonts w:ascii="Arial" w:cs="Arial" w:eastAsia="Arial" w:hAnsi="Arial"/>
                <w:sz w:val="13"/>
                <w:szCs w:val="13"/>
              </w:rPr>
              <w:t xml:space="preserve">100% critical record changes attributable and reconciled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tblHeader/>
        </w:trPr>
        <w:tc>
          <w:tcPr>
            <w:tcW w:type="dxa" w:w="5616"/>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Portfolio total</w:t>
            </w:r>
          </w:p>
        </w:tc>
        <w:tc>
          <w:tcPr>
            <w:tcW w:type="dxa" w:w="3744"/>
            <w:shd w:fill="1F3864" w:color="auto" w:val="clear"/>
            <w:tcMar>
              <w:top w:type="dxa" w:w="50"/>
              <w:left w:type="dxa" w:w="80"/>
              <w:bottom w:type="dxa" w:w="50"/>
              <w:right w:type="dxa" w:w="80"/>
            </w:tcMar>
          </w:tcPr>
          <w:p>
            <w:r>
              <w:rPr>
                <w:rFonts w:ascii="Arial" w:cs="Arial" w:eastAsia="Arial" w:hAnsi="Arial"/>
                <w:b/>
                <w:bCs/>
                <w:color w:val="FFFFFF"/>
                <w:sz w:val="16"/>
                <w:szCs w:val="16"/>
              </w:rPr>
              <w:t xml:space="preserve">Amount</w:t>
            </w:r>
          </w:p>
        </w:tc>
      </w:tr>
      <w:tr>
        <w:tc>
          <w:tcPr>
            <w:tcW w:type="dxa" w:w="5616"/>
            <w:tcMar>
              <w:top w:type="dxa" w:w="50"/>
              <w:left w:type="dxa" w:w="80"/>
              <w:bottom w:type="dxa" w:w="50"/>
              <w:right w:type="dxa" w:w="80"/>
            </w:tcMar>
          </w:tcPr>
          <w:p>
            <w:r>
              <w:rPr>
                <w:rFonts w:ascii="Arial" w:cs="Arial" w:eastAsia="Arial" w:hAnsi="Arial"/>
                <w:sz w:val="16"/>
                <w:szCs w:val="16"/>
              </w:rPr>
              <w:t xml:space="preserve">Initial implementation</w:t>
            </w:r>
          </w:p>
        </w:tc>
        <w:tc>
          <w:tcPr>
            <w:tcW w:type="dxa" w:w="3744"/>
            <w:tcMar>
              <w:top w:type="dxa" w:w="50"/>
              <w:left w:type="dxa" w:w="80"/>
              <w:bottom w:type="dxa" w:w="50"/>
              <w:right w:type="dxa" w:w="80"/>
            </w:tcMar>
          </w:tcPr>
          <w:p>
            <w:r>
              <w:rPr>
                <w:rFonts w:ascii="Arial" w:cs="Arial" w:eastAsia="Arial" w:hAnsi="Arial"/>
                <w:sz w:val="16"/>
                <w:szCs w:val="16"/>
              </w:rPr>
              <w:t xml:space="preserve">$2,410,000</w:t>
            </w:r>
          </w:p>
        </w:tc>
      </w:tr>
      <w:tr>
        <w:tc>
          <w:tcPr>
            <w:tcW w:type="dxa" w:w="5616"/>
            <w:shd w:fill="F2F2F2" w:color="auto" w:val="clear"/>
            <w:tcMar>
              <w:top w:type="dxa" w:w="50"/>
              <w:left w:type="dxa" w:w="80"/>
              <w:bottom w:type="dxa" w:w="50"/>
              <w:right w:type="dxa" w:w="80"/>
            </w:tcMar>
          </w:tcPr>
          <w:p>
            <w:r>
              <w:rPr>
                <w:rFonts w:ascii="Arial" w:cs="Arial" w:eastAsia="Arial" w:hAnsi="Arial"/>
                <w:sz w:val="16"/>
                <w:szCs w:val="16"/>
              </w:rPr>
              <w:t xml:space="preserve">Annual recurring</w:t>
            </w:r>
          </w:p>
        </w:tc>
        <w:tc>
          <w:tcPr>
            <w:tcW w:type="dxa" w:w="3744"/>
            <w:shd w:fill="F2F2F2" w:color="auto" w:val="clear"/>
            <w:tcMar>
              <w:top w:type="dxa" w:w="50"/>
              <w:left w:type="dxa" w:w="80"/>
              <w:bottom w:type="dxa" w:w="50"/>
              <w:right w:type="dxa" w:w="80"/>
            </w:tcMar>
          </w:tcPr>
          <w:p>
            <w:r>
              <w:rPr>
                <w:rFonts w:ascii="Arial" w:cs="Arial" w:eastAsia="Arial" w:hAnsi="Arial"/>
                <w:sz w:val="16"/>
                <w:szCs w:val="16"/>
              </w:rPr>
              <w:t xml:space="preserve">$1,456,000</w:t>
            </w:r>
          </w:p>
        </w:tc>
      </w:tr>
      <w:tr>
        <w:tc>
          <w:tcPr>
            <w:tcW w:type="dxa" w:w="5616"/>
            <w:tcMar>
              <w:top w:type="dxa" w:w="50"/>
              <w:left w:type="dxa" w:w="80"/>
              <w:bottom w:type="dxa" w:w="50"/>
              <w:right w:type="dxa" w:w="80"/>
            </w:tcMar>
          </w:tcPr>
          <w:p>
            <w:r>
              <w:rPr>
                <w:rFonts w:ascii="Arial" w:cs="Arial" w:eastAsia="Arial" w:hAnsi="Arial"/>
                <w:sz w:val="16"/>
                <w:szCs w:val="16"/>
              </w:rPr>
              <w:t xml:space="preserve">Year-1 cost</w:t>
            </w:r>
          </w:p>
        </w:tc>
        <w:tc>
          <w:tcPr>
            <w:tcW w:type="dxa" w:w="3744"/>
            <w:tcMar>
              <w:top w:type="dxa" w:w="50"/>
              <w:left w:type="dxa" w:w="80"/>
              <w:bottom w:type="dxa" w:w="50"/>
              <w:right w:type="dxa" w:w="80"/>
            </w:tcMar>
          </w:tcPr>
          <w:p>
            <w:r>
              <w:rPr>
                <w:rFonts w:ascii="Arial" w:cs="Arial" w:eastAsia="Arial" w:hAnsi="Arial"/>
                <w:sz w:val="16"/>
                <w:szCs w:val="16"/>
              </w:rPr>
              <w:t xml:space="preserve">$3,866,000</w:t>
            </w:r>
          </w:p>
        </w:tc>
      </w:tr>
      <w:tr>
        <w:tc>
          <w:tcPr>
            <w:tcW w:type="dxa" w:w="5616"/>
            <w:shd w:fill="F2F2F2" w:color="auto" w:val="clear"/>
            <w:tcMar>
              <w:top w:type="dxa" w:w="50"/>
              <w:left w:type="dxa" w:w="80"/>
              <w:bottom w:type="dxa" w:w="50"/>
              <w:right w:type="dxa" w:w="80"/>
            </w:tcMar>
          </w:tcPr>
          <w:p>
            <w:r>
              <w:rPr>
                <w:rFonts w:ascii="Arial" w:cs="Arial" w:eastAsia="Arial" w:hAnsi="Arial"/>
                <w:sz w:val="16"/>
                <w:szCs w:val="16"/>
              </w:rPr>
              <w:t xml:space="preserve">Indicative 3-year total cost of ownership</w:t>
            </w:r>
          </w:p>
        </w:tc>
        <w:tc>
          <w:tcPr>
            <w:tcW w:type="dxa" w:w="3744"/>
            <w:shd w:fill="F2F2F2" w:color="auto" w:val="clear"/>
            <w:tcMar>
              <w:top w:type="dxa" w:w="50"/>
              <w:left w:type="dxa" w:w="80"/>
              <w:bottom w:type="dxa" w:w="50"/>
              <w:right w:type="dxa" w:w="80"/>
            </w:tcMar>
          </w:tcPr>
          <w:p>
            <w:r>
              <w:rPr>
                <w:rFonts w:ascii="Arial" w:cs="Arial" w:eastAsia="Arial" w:hAnsi="Arial"/>
                <w:sz w:val="16"/>
                <w:szCs w:val="16"/>
              </w:rPr>
              <w:t xml:space="preserve">$6,778,000</w:t>
            </w:r>
          </w:p>
        </w:tc>
      </w:tr>
      <w:tr>
        <w:tc>
          <w:tcPr>
            <w:tcW w:type="dxa" w:w="5616"/>
            <w:tcMar>
              <w:top w:type="dxa" w:w="50"/>
              <w:left w:type="dxa" w:w="80"/>
              <w:bottom w:type="dxa" w:w="50"/>
              <w:right w:type="dxa" w:w="80"/>
            </w:tcMar>
          </w:tcPr>
          <w:p>
            <w:r>
              <w:rPr>
                <w:rFonts w:ascii="Arial" w:cs="Arial" w:eastAsia="Arial" w:hAnsi="Arial"/>
                <w:sz w:val="16"/>
                <w:szCs w:val="16"/>
              </w:rPr>
              <w:t xml:space="preserve">Aggregate risk reduction</w:t>
            </w:r>
          </w:p>
        </w:tc>
        <w:tc>
          <w:tcPr>
            <w:tcW w:type="dxa" w:w="3744"/>
            <w:tcMar>
              <w:top w:type="dxa" w:w="50"/>
              <w:left w:type="dxa" w:w="80"/>
              <w:bottom w:type="dxa" w:w="50"/>
              <w:right w:type="dxa" w:w="80"/>
            </w:tcMar>
          </w:tcPr>
          <w:p>
            <w:r>
              <w:rPr>
                <w:rFonts w:ascii="Arial" w:cs="Arial" w:eastAsia="Arial" w:hAnsi="Arial"/>
                <w:sz w:val="16"/>
                <w:szCs w:val="16"/>
              </w:rPr>
              <w:t xml:space="preserve">50,492 -&gt; 22,804 risk units (55%)</w:t>
            </w:r>
          </w:p>
        </w:tc>
      </w:tr>
    </w:tbl>
    <w:p>
      <w:pPr>
        <w:spacing w:after="80"/>
      </w:pPr>
    </w:p>
    <w:p>
      <w:pPr>
        <w:spacing w:after="120"/>
      </w:pPr>
      <w:r>
        <w:rPr>
          <w:rFonts w:ascii="Arial" w:cs="Arial" w:eastAsia="Arial" w:hAnsi="Arial"/>
        </w:rPr>
        <w:t xml:space="preserve">Dependencies and capacity: the two-person team cannot deliver this portfolio alone. MDR (I03) offloads monitoring; the vulnerability FTE in I05 is costed at the workbook convention of 1,950 h x $80; implementation partners are assumed within initial costs. Change windows must be agreed with clinical operations.</w:t>
      </w:r>
    </w:p>
    <w:p>
      <w:pPr>
        <w:pStyle w:val="Heading1"/>
        <w:pageBreakBefore/>
      </w:pPr>
      <w:r>
        <w:rPr>
          <w:rFonts w:ascii="Arial" w:cs="Arial" w:eastAsia="Arial" w:hAnsi="Arial"/>
        </w:rPr>
        <w:t xml:space="preserve">11. Implementation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6364"/>
        <w:gridCol w:w="1499"/>
      </w:tblGrid>
      <w:tr>
        <w:trPr>
          <w:tblHeader/>
        </w:trPr>
        <w:tc>
          <w:tcPr>
            <w:tcW w:type="dxa" w:w="1497"/>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Horizon</w:t>
            </w:r>
          </w:p>
        </w:tc>
        <w:tc>
          <w:tcPr>
            <w:tcW w:type="dxa" w:w="636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Actions</w:t>
            </w:r>
          </w:p>
        </w:tc>
        <w:tc>
          <w:tcPr>
            <w:tcW w:type="dxa" w:w="1499"/>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Scenarios</w:t>
            </w:r>
          </w:p>
        </w:tc>
      </w:tr>
      <w:tr>
        <w:tc>
          <w:tcPr>
            <w:tcW w:type="dxa" w:w="1497"/>
            <w:tcMar>
              <w:top w:type="dxa" w:w="50"/>
              <w:left w:type="dxa" w:w="80"/>
              <w:bottom w:type="dxa" w:w="50"/>
              <w:right w:type="dxa" w:w="80"/>
            </w:tcMar>
          </w:tcPr>
          <w:p>
            <w:r>
              <w:rPr>
                <w:rFonts w:ascii="Arial" w:cs="Arial" w:eastAsia="Arial" w:hAnsi="Arial"/>
                <w:sz w:val="15"/>
                <w:szCs w:val="15"/>
              </w:rPr>
              <w:t xml:space="preserve">0-90 days</w:t>
            </w:r>
          </w:p>
          <w:p>
            <w:r>
              <w:rPr>
                <w:rFonts w:ascii="Arial" w:cs="Arial" w:eastAsia="Arial" w:hAnsi="Arial"/>
                <w:sz w:val="15"/>
                <w:szCs w:val="15"/>
              </w:rPr>
              <w:t xml:space="preserve">Urgent / quick wins</w:t>
            </w:r>
          </w:p>
        </w:tc>
        <w:tc>
          <w:tcPr>
            <w:tcW w:type="dxa" w:w="6364"/>
            <w:tcMar>
              <w:top w:type="dxa" w:w="50"/>
              <w:left w:type="dxa" w:w="80"/>
              <w:bottom w:type="dxa" w:w="50"/>
              <w:right w:type="dxa" w:w="80"/>
            </w:tcMar>
          </w:tcPr>
          <w:p>
            <w:r>
              <w:rPr>
                <w:rFonts w:ascii="Arial" w:cs="Arial" w:eastAsia="Arial" w:hAnsi="Arial"/>
                <w:sz w:val="15"/>
                <w:szCs w:val="15"/>
              </w:rPr>
              <w:t xml:space="preserve">I01 phase 1: FIDO2 for privileged, remote-access and EHR admin accounts; number matching for all; block internet macros</w:t>
            </w:r>
          </w:p>
          <w:p>
            <w:r>
              <w:rPr>
                <w:rFonts w:ascii="Arial" w:cs="Arial" w:eastAsia="Arial" w:hAnsi="Arial"/>
                <w:sz w:val="15"/>
                <w:szCs w:val="15"/>
              </w:rPr>
              <w:t xml:space="preserve">I03: onboard MDR, full EDR coverage, connect identity, remote access, EHR audit, cloud and backup logs</w:t>
            </w:r>
          </w:p>
          <w:p>
            <w:r>
              <w:rPr>
                <w:rFonts w:ascii="Arial" w:cs="Arial" w:eastAsia="Arial" w:hAnsi="Arial"/>
                <w:sz w:val="15"/>
                <w:szCs w:val="15"/>
              </w:rPr>
              <w:t xml:space="preserve">I04 phase 1: separate backup admin credentials, offline copy, first crown-jewel restore test</w:t>
            </w:r>
          </w:p>
          <w:p>
            <w:r>
              <w:rPr>
                <w:rFonts w:ascii="Arial" w:cs="Arial" w:eastAsia="Arial" w:hAnsi="Arial"/>
                <w:sz w:val="15"/>
                <w:szCs w:val="15"/>
              </w:rPr>
              <w:t xml:space="preserve">I08: block public access on all cloud storage; review existing shares and links</w:t>
            </w:r>
          </w:p>
          <w:p>
            <w:r>
              <w:rPr>
                <w:rFonts w:ascii="Arial" w:cs="Arial" w:eastAsia="Arial" w:hAnsi="Arial"/>
                <w:sz w:val="15"/>
                <w:szCs w:val="15"/>
              </w:rPr>
              <w:t xml:space="preserve">I02 quick win: rotate and restrict ehr-sync-svc; inventory privileged accounts</w:t>
            </w:r>
          </w:p>
          <w:p>
            <w:r>
              <w:rPr>
                <w:rFonts w:ascii="Arial" w:cs="Arial" w:eastAsia="Arial" w:hAnsi="Arial"/>
                <w:sz w:val="15"/>
                <w:szCs w:val="15"/>
              </w:rPr>
              <w:t xml:space="preserve">I11: update IR plan, engage IR/forensic retainer, first executive-and-clinic tabletop</w:t>
            </w:r>
          </w:p>
          <w:p>
            <w:r>
              <w:rPr>
                <w:rFonts w:ascii="Arial" w:cs="Arial" w:eastAsia="Arial" w:hAnsi="Arial"/>
                <w:sz w:val="15"/>
                <w:szCs w:val="15"/>
              </w:rPr>
              <w:t xml:space="preserve">I12: approve appetite, launch KRI dashboard and risk register</w:t>
            </w:r>
          </w:p>
          <w:p>
            <w:r>
              <w:rPr>
                <w:rFonts w:ascii="Arial" w:cs="Arial" w:eastAsia="Arial" w:hAnsi="Arial"/>
                <w:sz w:val="15"/>
                <w:szCs w:val="15"/>
              </w:rPr>
              <w:t xml:space="preserve">If any indicator in the case appendices reflects real activity: commission a compromise assessment immediately</w:t>
            </w:r>
          </w:p>
        </w:tc>
        <w:tc>
          <w:tcPr>
            <w:tcW w:type="dxa" w:w="1499"/>
            <w:tcMar>
              <w:top w:type="dxa" w:w="50"/>
              <w:left w:type="dxa" w:w="80"/>
              <w:bottom w:type="dxa" w:w="50"/>
              <w:right w:type="dxa" w:w="80"/>
            </w:tcMar>
          </w:tcPr>
          <w:p>
            <w:r>
              <w:rPr>
                <w:rFonts w:ascii="Arial" w:cs="Arial" w:eastAsia="Arial" w:hAnsi="Arial"/>
                <w:sz w:val="15"/>
                <w:szCs w:val="15"/>
              </w:rPr>
              <w:t xml:space="preserve">S1, S2, S3, S4, S5, S8</w:t>
            </w:r>
          </w:p>
        </w:tc>
      </w:tr>
      <w:tr>
        <w:tc>
          <w:tcPr>
            <w:tcW w:type="dxa" w:w="1497"/>
            <w:shd w:fill="F2F2F2" w:color="auto" w:val="clear"/>
            <w:tcMar>
              <w:top w:type="dxa" w:w="50"/>
              <w:left w:type="dxa" w:w="80"/>
              <w:bottom w:type="dxa" w:w="50"/>
              <w:right w:type="dxa" w:w="80"/>
            </w:tcMar>
          </w:tcPr>
          <w:p>
            <w:r>
              <w:rPr>
                <w:rFonts w:ascii="Arial" w:cs="Arial" w:eastAsia="Arial" w:hAnsi="Arial"/>
                <w:sz w:val="15"/>
                <w:szCs w:val="15"/>
              </w:rPr>
              <w:t xml:space="preserve">3-6 months</w:t>
            </w:r>
          </w:p>
          <w:p>
            <w:r>
              <w:rPr>
                <w:rFonts w:ascii="Arial" w:cs="Arial" w:eastAsia="Arial" w:hAnsi="Arial"/>
                <w:sz w:val="15"/>
                <w:szCs w:val="15"/>
              </w:rPr>
              <w:t xml:space="preserve">Foundations</w:t>
            </w:r>
          </w:p>
        </w:tc>
        <w:tc>
          <w:tcPr>
            <w:tcW w:type="dxa" w:w="6364"/>
            <w:shd w:fill="F2F2F2" w:color="auto" w:val="clear"/>
            <w:tcMar>
              <w:top w:type="dxa" w:w="50"/>
              <w:left w:type="dxa" w:w="80"/>
              <w:bottom w:type="dxa" w:w="50"/>
              <w:right w:type="dxa" w:w="80"/>
            </w:tcMar>
          </w:tcPr>
          <w:p>
            <w:r>
              <w:rPr>
                <w:rFonts w:ascii="Arial" w:cs="Arial" w:eastAsia="Arial" w:hAnsi="Arial"/>
                <w:sz w:val="15"/>
                <w:szCs w:val="15"/>
              </w:rPr>
              <w:t xml:space="preserve">I02: PAM vault, tiered administration, just-in-time elevation</w:t>
            </w:r>
          </w:p>
          <w:p>
            <w:r>
              <w:rPr>
                <w:rFonts w:ascii="Arial" w:cs="Arial" w:eastAsia="Arial" w:hAnsi="Arial"/>
                <w:sz w:val="15"/>
                <w:szCs w:val="15"/>
              </w:rPr>
              <w:t xml:space="preserve">I05: asset inventory, authenticated scanning, SLAs, exception process</w:t>
            </w:r>
          </w:p>
          <w:p>
            <w:r>
              <w:rPr>
                <w:rFonts w:ascii="Arial" w:cs="Arial" w:eastAsia="Arial" w:hAnsi="Arial"/>
                <w:sz w:val="15"/>
                <w:szCs w:val="15"/>
              </w:rPr>
              <w:t xml:space="preserve">I09: EHR role redesign, first access recertification, EHR access analytics</w:t>
            </w:r>
          </w:p>
          <w:p>
            <w:r>
              <w:rPr>
                <w:rFonts w:ascii="Arial" w:cs="Arial" w:eastAsia="Arial" w:hAnsi="Arial"/>
                <w:sz w:val="15"/>
                <w:szCs w:val="15"/>
              </w:rPr>
              <w:t xml:space="preserve">I10: vendor tiering; contract clauses for critical vendors</w:t>
            </w:r>
          </w:p>
          <w:p>
            <w:r>
              <w:rPr>
                <w:rFonts w:ascii="Arial" w:cs="Arial" w:eastAsia="Arial" w:hAnsi="Arial"/>
                <w:sz w:val="15"/>
                <w:szCs w:val="15"/>
              </w:rPr>
              <w:t xml:space="preserve">I01: complete rollout and conditional access</w:t>
            </w:r>
          </w:p>
        </w:tc>
        <w:tc>
          <w:tcPr>
            <w:tcW w:type="dxa" w:w="1499"/>
            <w:shd w:fill="F2F2F2" w:color="auto" w:val="clear"/>
            <w:tcMar>
              <w:top w:type="dxa" w:w="50"/>
              <w:left w:type="dxa" w:w="80"/>
              <w:bottom w:type="dxa" w:w="50"/>
              <w:right w:type="dxa" w:w="80"/>
            </w:tcMar>
          </w:tcPr>
          <w:p>
            <w:r>
              <w:rPr>
                <w:rFonts w:ascii="Arial" w:cs="Arial" w:eastAsia="Arial" w:hAnsi="Arial"/>
                <w:sz w:val="15"/>
                <w:szCs w:val="15"/>
              </w:rPr>
              <w:t xml:space="preserve">S1, S5, S6, S9, S10</w:t>
            </w:r>
          </w:p>
        </w:tc>
      </w:tr>
      <w:tr>
        <w:tc>
          <w:tcPr>
            <w:tcW w:type="dxa" w:w="1497"/>
            <w:tcMar>
              <w:top w:type="dxa" w:w="50"/>
              <w:left w:type="dxa" w:w="80"/>
              <w:bottom w:type="dxa" w:w="50"/>
              <w:right w:type="dxa" w:w="80"/>
            </w:tcMar>
          </w:tcPr>
          <w:p>
            <w:r>
              <w:rPr>
                <w:rFonts w:ascii="Arial" w:cs="Arial" w:eastAsia="Arial" w:hAnsi="Arial"/>
                <w:sz w:val="15"/>
                <w:szCs w:val="15"/>
              </w:rPr>
              <w:t xml:space="preserve">6-12 months</w:t>
            </w:r>
          </w:p>
          <w:p>
            <w:r>
              <w:rPr>
                <w:rFonts w:ascii="Arial" w:cs="Arial" w:eastAsia="Arial" w:hAnsi="Arial"/>
                <w:sz w:val="15"/>
                <w:szCs w:val="15"/>
              </w:rPr>
              <w:t xml:space="preserve">Major capabilities</w:t>
            </w:r>
          </w:p>
        </w:tc>
        <w:tc>
          <w:tcPr>
            <w:tcW w:type="dxa" w:w="6364"/>
            <w:tcMar>
              <w:top w:type="dxa" w:w="50"/>
              <w:left w:type="dxa" w:w="80"/>
              <w:bottom w:type="dxa" w:w="50"/>
              <w:right w:type="dxa" w:w="80"/>
            </w:tcMar>
          </w:tcPr>
          <w:p>
            <w:r>
              <w:rPr>
                <w:rFonts w:ascii="Arial" w:cs="Arial" w:eastAsia="Arial" w:hAnsi="Arial"/>
                <w:sz w:val="15"/>
                <w:szCs w:val="15"/>
              </w:rPr>
              <w:t xml:space="preserve">I04: immutable backup and isolated backup network complete; quarterly restore tests</w:t>
            </w:r>
          </w:p>
          <w:p>
            <w:r>
              <w:rPr>
                <w:rFonts w:ascii="Arial" w:cs="Arial" w:eastAsia="Arial" w:hAnsi="Arial"/>
                <w:sz w:val="15"/>
                <w:szCs w:val="15"/>
              </w:rPr>
              <w:t xml:space="preserve">I06 phase 1: segment medical devices, guest Wi-Fi (WPA3), backup and server zones</w:t>
            </w:r>
          </w:p>
          <w:p>
            <w:r>
              <w:rPr>
                <w:rFonts w:ascii="Arial" w:cs="Arial" w:eastAsia="Arial" w:hAnsi="Arial"/>
                <w:sz w:val="15"/>
                <w:szCs w:val="15"/>
              </w:rPr>
              <w:t xml:space="preserve">I07: medical device inventory, MDS2, passive IoMT monitoring</w:t>
            </w:r>
          </w:p>
          <w:p>
            <w:r>
              <w:rPr>
                <w:rFonts w:ascii="Arial" w:cs="Arial" w:eastAsia="Arial" w:hAnsi="Arial"/>
                <w:sz w:val="15"/>
                <w:szCs w:val="15"/>
              </w:rPr>
              <w:t xml:space="preserve">I13: integrity monitoring and reconciliation for medication, allergy, lab, billing</w:t>
            </w:r>
          </w:p>
          <w:p>
            <w:r>
              <w:rPr>
                <w:rFonts w:ascii="Arial" w:cs="Arial" w:eastAsia="Arial" w:hAnsi="Arial"/>
                <w:sz w:val="15"/>
                <w:szCs w:val="15"/>
              </w:rPr>
              <w:t xml:space="preserve">I09: DLP for health data</w:t>
            </w:r>
          </w:p>
        </w:tc>
        <w:tc>
          <w:tcPr>
            <w:tcW w:type="dxa" w:w="1499"/>
            <w:tcMar>
              <w:top w:type="dxa" w:w="50"/>
              <w:left w:type="dxa" w:w="80"/>
              <w:bottom w:type="dxa" w:w="50"/>
              <w:right w:type="dxa" w:w="80"/>
            </w:tcMar>
          </w:tcPr>
          <w:p>
            <w:r>
              <w:rPr>
                <w:rFonts w:ascii="Arial" w:cs="Arial" w:eastAsia="Arial" w:hAnsi="Arial"/>
                <w:sz w:val="15"/>
                <w:szCs w:val="15"/>
              </w:rPr>
              <w:t xml:space="preserve">S2, S3, S7, S10</w:t>
            </w:r>
          </w:p>
        </w:tc>
      </w:tr>
      <w:tr>
        <w:tc>
          <w:tcPr>
            <w:tcW w:type="dxa" w:w="1497"/>
            <w:shd w:fill="F2F2F2" w:color="auto" w:val="clear"/>
            <w:tcMar>
              <w:top w:type="dxa" w:w="50"/>
              <w:left w:type="dxa" w:w="80"/>
              <w:bottom w:type="dxa" w:w="50"/>
              <w:right w:type="dxa" w:w="80"/>
            </w:tcMar>
          </w:tcPr>
          <w:p>
            <w:r>
              <w:rPr>
                <w:rFonts w:ascii="Arial" w:cs="Arial" w:eastAsia="Arial" w:hAnsi="Arial"/>
                <w:sz w:val="15"/>
                <w:szCs w:val="15"/>
              </w:rPr>
              <w:t xml:space="preserve">12-24 months</w:t>
            </w:r>
          </w:p>
          <w:p>
            <w:r>
              <w:rPr>
                <w:rFonts w:ascii="Arial" w:cs="Arial" w:eastAsia="Arial" w:hAnsi="Arial"/>
                <w:sz w:val="15"/>
                <w:szCs w:val="15"/>
              </w:rPr>
              <w:t xml:space="preserve">Strategic maturity</w:t>
            </w:r>
          </w:p>
        </w:tc>
        <w:tc>
          <w:tcPr>
            <w:tcW w:type="dxa" w:w="6364"/>
            <w:shd w:fill="F2F2F2" w:color="auto" w:val="clear"/>
            <w:tcMar>
              <w:top w:type="dxa" w:w="50"/>
              <w:left w:type="dxa" w:w="80"/>
              <w:bottom w:type="dxa" w:w="50"/>
              <w:right w:type="dxa" w:w="80"/>
            </w:tcMar>
          </w:tcPr>
          <w:p>
            <w:r>
              <w:rPr>
                <w:rFonts w:ascii="Arial" w:cs="Arial" w:eastAsia="Arial" w:hAnsi="Arial"/>
                <w:sz w:val="15"/>
                <w:szCs w:val="15"/>
              </w:rPr>
              <w:t xml:space="preserve">I06 complete: NAC in all clinics, east-west enforcement</w:t>
            </w:r>
          </w:p>
          <w:p>
            <w:r>
              <w:rPr>
                <w:rFonts w:ascii="Arial" w:cs="Arial" w:eastAsia="Arial" w:hAnsi="Arial"/>
                <w:sz w:val="15"/>
                <w:szCs w:val="15"/>
              </w:rPr>
              <w:t xml:space="preserve">Zero-trust remote access replacing network-level VPN</w:t>
            </w:r>
          </w:p>
          <w:p>
            <w:r>
              <w:rPr>
                <w:rFonts w:ascii="Arial" w:cs="Arial" w:eastAsia="Arial" w:hAnsi="Arial"/>
                <w:sz w:val="15"/>
                <w:szCs w:val="15"/>
              </w:rPr>
              <w:t xml:space="preserve">Full disaster-recovery exercise including clinical downtime</w:t>
            </w:r>
          </w:p>
          <w:p>
            <w:r>
              <w:rPr>
                <w:rFonts w:ascii="Arial" w:cs="Arial" w:eastAsia="Arial" w:hAnsi="Arial"/>
                <w:sz w:val="15"/>
                <w:szCs w:val="15"/>
              </w:rPr>
              <w:t xml:space="preserve">Independent reassessment against this baseline; audit of remediation; insurance renewal</w:t>
            </w:r>
          </w:p>
        </w:tc>
        <w:tc>
          <w:tcPr>
            <w:tcW w:type="dxa" w:w="1499"/>
            <w:shd w:fill="F2F2F2" w:color="auto" w:val="clear"/>
            <w:tcMar>
              <w:top w:type="dxa" w:w="50"/>
              <w:left w:type="dxa" w:w="80"/>
              <w:bottom w:type="dxa" w:w="50"/>
              <w:right w:type="dxa" w:w="80"/>
            </w:tcMar>
          </w:tcPr>
          <w:p>
            <w:r>
              <w:rPr>
                <w:rFonts w:ascii="Arial" w:cs="Arial" w:eastAsia="Arial" w:hAnsi="Arial"/>
                <w:sz w:val="15"/>
                <w:szCs w:val="15"/>
              </w:rPr>
              <w:t xml:space="preserve">S2, S6, S7, S9</w:t>
            </w:r>
          </w:p>
        </w:tc>
      </w:tr>
    </w:tbl>
    <w:p>
      <w:pPr>
        <w:pStyle w:val="Heading1"/>
        <w:pageBreakBefore/>
      </w:pPr>
      <w:r>
        <w:rPr>
          <w:rFonts w:ascii="Arial" w:cs="Arial" w:eastAsia="Arial" w:hAnsi="Arial"/>
        </w:rPr>
        <w:t xml:space="preserve">12. Key risk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
        <w:gridCol w:w="1684"/>
        <w:gridCol w:w="655"/>
        <w:gridCol w:w="1310"/>
        <w:gridCol w:w="1029"/>
        <w:gridCol w:w="936"/>
        <w:gridCol w:w="748"/>
        <w:gridCol w:w="748"/>
        <w:gridCol w:w="748"/>
        <w:gridCol w:w="941"/>
      </w:tblGrid>
      <w:tr>
        <w:trPr>
          <w:tblHeader/>
        </w:trPr>
        <w:tc>
          <w:tcPr>
            <w:tcW w:type="dxa" w:w="561"/>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ID</w:t>
            </w:r>
          </w:p>
        </w:tc>
        <w:tc>
          <w:tcPr>
            <w:tcW w:type="dxa" w:w="1684"/>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KRI</w:t>
            </w:r>
          </w:p>
        </w:tc>
        <w:tc>
          <w:tcPr>
            <w:tcW w:type="dxa" w:w="655"/>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Scenarios</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Measurement</w:t>
            </w:r>
          </w:p>
        </w:tc>
        <w:tc>
          <w:tcPr>
            <w:tcW w:type="dxa" w:w="1029"/>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Data source</w:t>
            </w:r>
          </w:p>
        </w:tc>
        <w:tc>
          <w:tcPr>
            <w:tcW w:type="dxa" w:w="936"/>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Owner</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Frequency</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Target</w:t>
            </w:r>
          </w:p>
        </w:tc>
        <w:tc>
          <w:tcPr>
            <w:tcW w:type="dxa" w:w="748"/>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Warning</w:t>
            </w:r>
          </w:p>
        </w:tc>
        <w:tc>
          <w:tcPr>
            <w:tcW w:type="dxa" w:w="941"/>
            <w:shd w:fill="1F3864" w:color="auto" w:val="clear"/>
            <w:tcMar>
              <w:top w:type="dxa" w:w="50"/>
              <w:left w:type="dxa" w:w="80"/>
              <w:bottom w:type="dxa" w:w="50"/>
              <w:right w:type="dxa" w:w="80"/>
            </w:tcMar>
          </w:tcPr>
          <w:p>
            <w:r>
              <w:rPr>
                <w:rFonts w:ascii="Arial" w:cs="Arial" w:eastAsia="Arial" w:hAnsi="Arial"/>
                <w:b/>
                <w:bCs/>
                <w:color w:val="FFFFFF"/>
                <w:sz w:val="13"/>
                <w:szCs w:val="13"/>
              </w:rPr>
              <w:t xml:space="preserve">Critical</w:t>
            </w:r>
          </w:p>
        </w:tc>
      </w:tr>
      <w:tr>
        <w:tc>
          <w:tcPr>
            <w:tcW w:type="dxa" w:w="561"/>
            <w:tcMar>
              <w:top w:type="dxa" w:w="50"/>
              <w:left w:type="dxa" w:w="80"/>
              <w:bottom w:type="dxa" w:w="50"/>
              <w:right w:type="dxa" w:w="80"/>
            </w:tcMar>
          </w:tcPr>
          <w:p>
            <w:r>
              <w:rPr>
                <w:rFonts w:ascii="Arial" w:cs="Arial" w:eastAsia="Arial" w:hAnsi="Arial"/>
                <w:sz w:val="13"/>
                <w:szCs w:val="13"/>
              </w:rPr>
              <w:t xml:space="preserve">KRI-01</w:t>
            </w:r>
          </w:p>
        </w:tc>
        <w:tc>
          <w:tcPr>
            <w:tcW w:type="dxa" w:w="1684"/>
            <w:tcMar>
              <w:top w:type="dxa" w:w="50"/>
              <w:left w:type="dxa" w:w="80"/>
              <w:bottom w:type="dxa" w:w="50"/>
              <w:right w:type="dxa" w:w="80"/>
            </w:tcMar>
          </w:tcPr>
          <w:p>
            <w:r>
              <w:rPr>
                <w:rFonts w:ascii="Arial" w:cs="Arial" w:eastAsia="Arial" w:hAnsi="Arial"/>
                <w:sz w:val="13"/>
                <w:szCs w:val="13"/>
              </w:rPr>
              <w:t xml:space="preserve">% privileged and remote-access accounts on phishing-resistant MFA</w:t>
            </w:r>
          </w:p>
        </w:tc>
        <w:tc>
          <w:tcPr>
            <w:tcW w:type="dxa" w:w="655"/>
            <w:tcMar>
              <w:top w:type="dxa" w:w="50"/>
              <w:left w:type="dxa" w:w="80"/>
              <w:bottom w:type="dxa" w:w="50"/>
              <w:right w:type="dxa" w:w="80"/>
            </w:tcMar>
          </w:tcPr>
          <w:p>
            <w:r>
              <w:rPr>
                <w:rFonts w:ascii="Arial" w:cs="Arial" w:eastAsia="Arial" w:hAnsi="Arial"/>
                <w:sz w:val="13"/>
                <w:szCs w:val="13"/>
              </w:rPr>
              <w:t xml:space="preserve">S1, S8, S9</w:t>
            </w:r>
          </w:p>
        </w:tc>
        <w:tc>
          <w:tcPr>
            <w:tcW w:type="dxa" w:w="1310"/>
            <w:tcMar>
              <w:top w:type="dxa" w:w="50"/>
              <w:left w:type="dxa" w:w="80"/>
              <w:bottom w:type="dxa" w:w="50"/>
              <w:right w:type="dxa" w:w="80"/>
            </w:tcMar>
          </w:tcPr>
          <w:p>
            <w:r>
              <w:rPr>
                <w:rFonts w:ascii="Arial" w:cs="Arial" w:eastAsia="Arial" w:hAnsi="Arial"/>
                <w:sz w:val="13"/>
                <w:szCs w:val="13"/>
              </w:rPr>
              <w:t xml:space="preserve">Accounts with FIDO2 / total in-scope accounts</w:t>
            </w:r>
          </w:p>
        </w:tc>
        <w:tc>
          <w:tcPr>
            <w:tcW w:type="dxa" w:w="1029"/>
            <w:tcMar>
              <w:top w:type="dxa" w:w="50"/>
              <w:left w:type="dxa" w:w="80"/>
              <w:bottom w:type="dxa" w:w="50"/>
              <w:right w:type="dxa" w:w="80"/>
            </w:tcMar>
          </w:tcPr>
          <w:p>
            <w:r>
              <w:rPr>
                <w:rFonts w:ascii="Arial" w:cs="Arial" w:eastAsia="Arial" w:hAnsi="Arial"/>
                <w:sz w:val="13"/>
                <w:szCs w:val="13"/>
              </w:rPr>
              <w:t xml:space="preserve">IdP / directory report</w:t>
            </w:r>
          </w:p>
        </w:tc>
        <w:tc>
          <w:tcPr>
            <w:tcW w:type="dxa" w:w="936"/>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100%</w:t>
            </w:r>
          </w:p>
        </w:tc>
        <w:tc>
          <w:tcPr>
            <w:tcW w:type="dxa" w:w="748"/>
            <w:tcMar>
              <w:top w:type="dxa" w:w="50"/>
              <w:left w:type="dxa" w:w="80"/>
              <w:bottom w:type="dxa" w:w="50"/>
              <w:right w:type="dxa" w:w="80"/>
            </w:tcMar>
          </w:tcPr>
          <w:p>
            <w:r>
              <w:rPr>
                <w:rFonts w:ascii="Arial" w:cs="Arial" w:eastAsia="Arial" w:hAnsi="Arial"/>
                <w:sz w:val="13"/>
                <w:szCs w:val="13"/>
              </w:rPr>
              <w:t xml:space="preserve">&lt; 95%</w:t>
            </w:r>
          </w:p>
        </w:tc>
        <w:tc>
          <w:tcPr>
            <w:tcW w:type="dxa" w:w="941"/>
            <w:tcMar>
              <w:top w:type="dxa" w:w="50"/>
              <w:left w:type="dxa" w:w="80"/>
              <w:bottom w:type="dxa" w:w="50"/>
              <w:right w:type="dxa" w:w="80"/>
            </w:tcMar>
          </w:tcPr>
          <w:p>
            <w:r>
              <w:rPr>
                <w:rFonts w:ascii="Arial" w:cs="Arial" w:eastAsia="Arial" w:hAnsi="Arial"/>
                <w:sz w:val="13"/>
                <w:szCs w:val="13"/>
              </w:rPr>
              <w:t xml:space="preserve">&lt; 85%</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KRI-02</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Phishing simulation report rate / click rate</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S1, S2</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Reported vs clicked in simulations</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Awareness platform</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Quarterly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&gt; 70% / &lt; 5%</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50% / &gt; 8%</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30% / &gt; 15%</w:t>
            </w:r>
          </w:p>
        </w:tc>
      </w:tr>
      <w:tr>
        <w:tc>
          <w:tcPr>
            <w:tcW w:type="dxa" w:w="561"/>
            <w:tcMar>
              <w:top w:type="dxa" w:w="50"/>
              <w:left w:type="dxa" w:w="80"/>
              <w:bottom w:type="dxa" w:w="50"/>
              <w:right w:type="dxa" w:w="80"/>
            </w:tcMar>
          </w:tcPr>
          <w:p>
            <w:r>
              <w:rPr>
                <w:rFonts w:ascii="Arial" w:cs="Arial" w:eastAsia="Arial" w:hAnsi="Arial"/>
                <w:sz w:val="13"/>
                <w:szCs w:val="13"/>
              </w:rPr>
              <w:t xml:space="preserve">KRI-03</w:t>
            </w:r>
          </w:p>
        </w:tc>
        <w:tc>
          <w:tcPr>
            <w:tcW w:type="dxa" w:w="1684"/>
            <w:tcMar>
              <w:top w:type="dxa" w:w="50"/>
              <w:left w:type="dxa" w:w="80"/>
              <w:bottom w:type="dxa" w:w="50"/>
              <w:right w:type="dxa" w:w="80"/>
            </w:tcMar>
          </w:tcPr>
          <w:p>
            <w:r>
              <w:rPr>
                <w:rFonts w:ascii="Arial" w:cs="Arial" w:eastAsia="Arial" w:hAnsi="Arial"/>
                <w:sz w:val="13"/>
                <w:szCs w:val="13"/>
              </w:rPr>
              <w:t xml:space="preserve">% critical/known-exploited vulnerabilities remediated within SLA</w:t>
            </w:r>
          </w:p>
        </w:tc>
        <w:tc>
          <w:tcPr>
            <w:tcW w:type="dxa" w:w="655"/>
            <w:tcMar>
              <w:top w:type="dxa" w:w="50"/>
              <w:left w:type="dxa" w:w="80"/>
              <w:bottom w:type="dxa" w:w="50"/>
              <w:right w:type="dxa" w:w="80"/>
            </w:tcMar>
          </w:tcPr>
          <w:p>
            <w:r>
              <w:rPr>
                <w:rFonts w:ascii="Arial" w:cs="Arial" w:eastAsia="Arial" w:hAnsi="Arial"/>
                <w:sz w:val="13"/>
                <w:szCs w:val="13"/>
              </w:rPr>
              <w:t xml:space="preserve">S6, S2</w:t>
            </w:r>
          </w:p>
        </w:tc>
        <w:tc>
          <w:tcPr>
            <w:tcW w:type="dxa" w:w="1310"/>
            <w:tcMar>
              <w:top w:type="dxa" w:w="50"/>
              <w:left w:type="dxa" w:w="80"/>
              <w:bottom w:type="dxa" w:w="50"/>
              <w:right w:type="dxa" w:w="80"/>
            </w:tcMar>
          </w:tcPr>
          <w:p>
            <w:r>
              <w:rPr>
                <w:rFonts w:ascii="Arial" w:cs="Arial" w:eastAsia="Arial" w:hAnsi="Arial"/>
                <w:sz w:val="13"/>
                <w:szCs w:val="13"/>
              </w:rPr>
              <w:t xml:space="preserve">Closed within SLA / total</w:t>
            </w:r>
          </w:p>
        </w:tc>
        <w:tc>
          <w:tcPr>
            <w:tcW w:type="dxa" w:w="1029"/>
            <w:tcMar>
              <w:top w:type="dxa" w:w="50"/>
              <w:left w:type="dxa" w:w="80"/>
              <w:bottom w:type="dxa" w:w="50"/>
              <w:right w:type="dxa" w:w="80"/>
            </w:tcMar>
          </w:tcPr>
          <w:p>
            <w:r>
              <w:rPr>
                <w:rFonts w:ascii="Arial" w:cs="Arial" w:eastAsia="Arial" w:hAnsi="Arial"/>
                <w:sz w:val="13"/>
                <w:szCs w:val="13"/>
              </w:rPr>
              <w:t xml:space="preserve">Vulnerability scanner</w:t>
            </w:r>
          </w:p>
        </w:tc>
        <w:tc>
          <w:tcPr>
            <w:tcW w:type="dxa" w:w="936"/>
            <w:tcMar>
              <w:top w:type="dxa" w:w="50"/>
              <w:left w:type="dxa" w:w="80"/>
              <w:bottom w:type="dxa" w:w="50"/>
              <w:right w:type="dxa" w:w="80"/>
            </w:tcMar>
          </w:tcPr>
          <w:p>
            <w:r>
              <w:rPr>
                <w:rFonts w:ascii="Arial" w:cs="Arial" w:eastAsia="Arial" w:hAnsi="Arial"/>
                <w:sz w:val="13"/>
                <w:szCs w:val="13"/>
              </w:rPr>
              <w:t xml:space="preserve">CIO</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&gt; 95%</w:t>
            </w:r>
          </w:p>
        </w:tc>
        <w:tc>
          <w:tcPr>
            <w:tcW w:type="dxa" w:w="748"/>
            <w:tcMar>
              <w:top w:type="dxa" w:w="50"/>
              <w:left w:type="dxa" w:w="80"/>
              <w:bottom w:type="dxa" w:w="50"/>
              <w:right w:type="dxa" w:w="80"/>
            </w:tcMar>
          </w:tcPr>
          <w:p>
            <w:r>
              <w:rPr>
                <w:rFonts w:ascii="Arial" w:cs="Arial" w:eastAsia="Arial" w:hAnsi="Arial"/>
                <w:sz w:val="13"/>
                <w:szCs w:val="13"/>
              </w:rPr>
              <w:t xml:space="preserve">&lt; 90%</w:t>
            </w:r>
          </w:p>
        </w:tc>
        <w:tc>
          <w:tcPr>
            <w:tcW w:type="dxa" w:w="941"/>
            <w:tcMar>
              <w:top w:type="dxa" w:w="50"/>
              <w:left w:type="dxa" w:w="80"/>
              <w:bottom w:type="dxa" w:w="50"/>
              <w:right w:type="dxa" w:w="80"/>
            </w:tcMar>
          </w:tcPr>
          <w:p>
            <w:r>
              <w:rPr>
                <w:rFonts w:ascii="Arial" w:cs="Arial" w:eastAsia="Arial" w:hAnsi="Arial"/>
                <w:sz w:val="13"/>
                <w:szCs w:val="13"/>
              </w:rPr>
              <w:t xml:space="preserve">&lt; 75%</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KRI-04</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Number of unsupported (end-of-life) systems on patient-data or internet-facing networks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S6, S7</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Count from inventory</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CMDB / scanner</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CIO</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Monthly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&gt;= 1</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&gt;= 5</w:t>
            </w:r>
          </w:p>
        </w:tc>
      </w:tr>
      <w:tr>
        <w:tc>
          <w:tcPr>
            <w:tcW w:type="dxa" w:w="561"/>
            <w:tcMar>
              <w:top w:type="dxa" w:w="50"/>
              <w:left w:type="dxa" w:w="80"/>
              <w:bottom w:type="dxa" w:w="50"/>
              <w:right w:type="dxa" w:w="80"/>
            </w:tcMar>
          </w:tcPr>
          <w:p>
            <w:r>
              <w:rPr>
                <w:rFonts w:ascii="Arial" w:cs="Arial" w:eastAsia="Arial" w:hAnsi="Arial"/>
                <w:sz w:val="13"/>
                <w:szCs w:val="13"/>
              </w:rPr>
              <w:t xml:space="preserve">KRI-05</w:t>
            </w:r>
          </w:p>
        </w:tc>
        <w:tc>
          <w:tcPr>
            <w:tcW w:type="dxa" w:w="1684"/>
            <w:tcMar>
              <w:top w:type="dxa" w:w="50"/>
              <w:left w:type="dxa" w:w="80"/>
              <w:bottom w:type="dxa" w:w="50"/>
              <w:right w:type="dxa" w:w="80"/>
            </w:tcMar>
          </w:tcPr>
          <w:p>
            <w:r>
              <w:rPr>
                <w:rFonts w:ascii="Arial" w:cs="Arial" w:eastAsia="Arial" w:hAnsi="Arial"/>
                <w:sz w:val="13"/>
                <w:szCs w:val="13"/>
              </w:rPr>
              <w:t xml:space="preserve">Crown-jewel backup restore-test success rate within RTO</w:t>
            </w:r>
          </w:p>
        </w:tc>
        <w:tc>
          <w:tcPr>
            <w:tcW w:type="dxa" w:w="655"/>
            <w:tcMar>
              <w:top w:type="dxa" w:w="50"/>
              <w:left w:type="dxa" w:w="80"/>
              <w:bottom w:type="dxa" w:w="50"/>
              <w:right w:type="dxa" w:w="80"/>
            </w:tcMar>
          </w:tcPr>
          <w:p>
            <w:r>
              <w:rPr>
                <w:rFonts w:ascii="Arial" w:cs="Arial" w:eastAsia="Arial" w:hAnsi="Arial"/>
                <w:sz w:val="13"/>
                <w:szCs w:val="13"/>
              </w:rPr>
              <w:t xml:space="preserve">S2, S3, S10</w:t>
            </w:r>
          </w:p>
        </w:tc>
        <w:tc>
          <w:tcPr>
            <w:tcW w:type="dxa" w:w="1310"/>
            <w:tcMar>
              <w:top w:type="dxa" w:w="50"/>
              <w:left w:type="dxa" w:w="80"/>
              <w:bottom w:type="dxa" w:w="50"/>
              <w:right w:type="dxa" w:w="80"/>
            </w:tcMar>
          </w:tcPr>
          <w:p>
            <w:r>
              <w:rPr>
                <w:rFonts w:ascii="Arial" w:cs="Arial" w:eastAsia="Arial" w:hAnsi="Arial"/>
                <w:sz w:val="13"/>
                <w:szCs w:val="13"/>
              </w:rPr>
              <w:t xml:space="preserve">Successful tests / tests run</w:t>
            </w:r>
          </w:p>
        </w:tc>
        <w:tc>
          <w:tcPr>
            <w:tcW w:type="dxa" w:w="1029"/>
            <w:tcMar>
              <w:top w:type="dxa" w:w="50"/>
              <w:left w:type="dxa" w:w="80"/>
              <w:bottom w:type="dxa" w:w="50"/>
              <w:right w:type="dxa" w:w="80"/>
            </w:tcMar>
          </w:tcPr>
          <w:p>
            <w:r>
              <w:rPr>
                <w:rFonts w:ascii="Arial" w:cs="Arial" w:eastAsia="Arial" w:hAnsi="Arial"/>
                <w:sz w:val="13"/>
                <w:szCs w:val="13"/>
              </w:rPr>
              <w:t xml:space="preserve">Backup platform, DR test records</w:t>
            </w:r>
          </w:p>
        </w:tc>
        <w:tc>
          <w:tcPr>
            <w:tcW w:type="dxa" w:w="936"/>
            <w:tcMar>
              <w:top w:type="dxa" w:w="50"/>
              <w:left w:type="dxa" w:w="80"/>
              <w:bottom w:type="dxa" w:w="50"/>
              <w:right w:type="dxa" w:w="80"/>
            </w:tcMar>
          </w:tcPr>
          <w:p>
            <w:r>
              <w:rPr>
                <w:rFonts w:ascii="Arial" w:cs="Arial" w:eastAsia="Arial" w:hAnsi="Arial"/>
                <w:sz w:val="13"/>
                <w:szCs w:val="13"/>
              </w:rPr>
              <w:t xml:space="preserve">CIO (Infrastructure)</w:t>
            </w:r>
          </w:p>
        </w:tc>
        <w:tc>
          <w:tcPr>
            <w:tcW w:type="dxa" w:w="748"/>
            <w:tcMar>
              <w:top w:type="dxa" w:w="50"/>
              <w:left w:type="dxa" w:w="80"/>
              <w:bottom w:type="dxa" w:w="50"/>
              <w:right w:type="dxa" w:w="80"/>
            </w:tcMar>
          </w:tcPr>
          <w:p>
            <w:r>
              <w:rPr>
                <w:rFonts w:ascii="Arial" w:cs="Arial" w:eastAsia="Arial" w:hAnsi="Arial"/>
                <w:sz w:val="13"/>
                <w:szCs w:val="13"/>
              </w:rPr>
              <w:t xml:space="preserve">Quarterly</w:t>
            </w:r>
          </w:p>
        </w:tc>
        <w:tc>
          <w:tcPr>
            <w:tcW w:type="dxa" w:w="748"/>
            <w:tcMar>
              <w:top w:type="dxa" w:w="50"/>
              <w:left w:type="dxa" w:w="80"/>
              <w:bottom w:type="dxa" w:w="50"/>
              <w:right w:type="dxa" w:w="80"/>
            </w:tcMar>
          </w:tcPr>
          <w:p>
            <w:r>
              <w:rPr>
                <w:rFonts w:ascii="Arial" w:cs="Arial" w:eastAsia="Arial" w:hAnsi="Arial"/>
                <w:sz w:val="13"/>
                <w:szCs w:val="13"/>
              </w:rPr>
              <w:t xml:space="preserve">100%</w:t>
            </w:r>
          </w:p>
        </w:tc>
        <w:tc>
          <w:tcPr>
            <w:tcW w:type="dxa" w:w="748"/>
            <w:tcMar>
              <w:top w:type="dxa" w:w="50"/>
              <w:left w:type="dxa" w:w="80"/>
              <w:bottom w:type="dxa" w:w="50"/>
              <w:right w:type="dxa" w:w="80"/>
            </w:tcMar>
          </w:tcPr>
          <w:p>
            <w:r>
              <w:rPr>
                <w:rFonts w:ascii="Arial" w:cs="Arial" w:eastAsia="Arial" w:hAnsi="Arial"/>
                <w:sz w:val="13"/>
                <w:szCs w:val="13"/>
              </w:rPr>
              <w:t xml:space="preserve">&lt; 95%</w:t>
            </w:r>
          </w:p>
        </w:tc>
        <w:tc>
          <w:tcPr>
            <w:tcW w:type="dxa" w:w="941"/>
            <w:tcMar>
              <w:top w:type="dxa" w:w="50"/>
              <w:left w:type="dxa" w:w="80"/>
              <w:bottom w:type="dxa" w:w="50"/>
              <w:right w:type="dxa" w:w="80"/>
            </w:tcMar>
          </w:tcPr>
          <w:p>
            <w:r>
              <w:rPr>
                <w:rFonts w:ascii="Arial" w:cs="Arial" w:eastAsia="Arial" w:hAnsi="Arial"/>
                <w:sz w:val="13"/>
                <w:szCs w:val="13"/>
              </w:rPr>
              <w:t xml:space="preserve">&lt; 80%</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KRI-06</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EDR and log coverage of critical assets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S2, S8</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Assets reporting / inventory</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EDR console, SIEM</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Monthly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&gt; 98%</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95%</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90%</w:t>
            </w:r>
          </w:p>
        </w:tc>
      </w:tr>
      <w:tr>
        <w:tc>
          <w:tcPr>
            <w:tcW w:type="dxa" w:w="561"/>
            <w:tcMar>
              <w:top w:type="dxa" w:w="50"/>
              <w:left w:type="dxa" w:w="80"/>
              <w:bottom w:type="dxa" w:w="50"/>
              <w:right w:type="dxa" w:w="80"/>
            </w:tcMar>
          </w:tcPr>
          <w:p>
            <w:r>
              <w:rPr>
                <w:rFonts w:ascii="Arial" w:cs="Arial" w:eastAsia="Arial" w:hAnsi="Arial"/>
                <w:sz w:val="13"/>
                <w:szCs w:val="13"/>
              </w:rPr>
              <w:t xml:space="preserve">KRI-07</w:t>
            </w:r>
          </w:p>
        </w:tc>
        <w:tc>
          <w:tcPr>
            <w:tcW w:type="dxa" w:w="1684"/>
            <w:tcMar>
              <w:top w:type="dxa" w:w="50"/>
              <w:left w:type="dxa" w:w="80"/>
              <w:bottom w:type="dxa" w:w="50"/>
              <w:right w:type="dxa" w:w="80"/>
            </w:tcMar>
          </w:tcPr>
          <w:p>
            <w:r>
              <w:rPr>
                <w:rFonts w:ascii="Arial" w:cs="Arial" w:eastAsia="Arial" w:hAnsi="Arial"/>
                <w:sz w:val="13"/>
                <w:szCs w:val="13"/>
              </w:rPr>
              <w:t xml:space="preserve">Mean time to detect / contain high-severity incidents</w:t>
            </w:r>
          </w:p>
        </w:tc>
        <w:tc>
          <w:tcPr>
            <w:tcW w:type="dxa" w:w="655"/>
            <w:tcMar>
              <w:top w:type="dxa" w:w="50"/>
              <w:left w:type="dxa" w:w="80"/>
              <w:bottom w:type="dxa" w:w="50"/>
              <w:right w:type="dxa" w:w="80"/>
            </w:tcMar>
          </w:tcPr>
          <w:p>
            <w:r>
              <w:rPr>
                <w:rFonts w:ascii="Arial" w:cs="Arial" w:eastAsia="Arial" w:hAnsi="Arial"/>
                <w:sz w:val="13"/>
                <w:szCs w:val="13"/>
              </w:rPr>
              <w:t xml:space="preserve">S8, S2</w:t>
            </w:r>
          </w:p>
        </w:tc>
        <w:tc>
          <w:tcPr>
            <w:tcW w:type="dxa" w:w="1310"/>
            <w:tcMar>
              <w:top w:type="dxa" w:w="50"/>
              <w:left w:type="dxa" w:w="80"/>
              <w:bottom w:type="dxa" w:w="50"/>
              <w:right w:type="dxa" w:w="80"/>
            </w:tcMar>
          </w:tcPr>
          <w:p>
            <w:r>
              <w:rPr>
                <w:rFonts w:ascii="Arial" w:cs="Arial" w:eastAsia="Arial" w:hAnsi="Arial"/>
                <w:sz w:val="13"/>
                <w:szCs w:val="13"/>
              </w:rPr>
              <w:t xml:space="preserve">Median hours from first signal to detection / containment</w:t>
            </w:r>
          </w:p>
        </w:tc>
        <w:tc>
          <w:tcPr>
            <w:tcW w:type="dxa" w:w="1029"/>
            <w:tcMar>
              <w:top w:type="dxa" w:w="50"/>
              <w:left w:type="dxa" w:w="80"/>
              <w:bottom w:type="dxa" w:w="50"/>
              <w:right w:type="dxa" w:w="80"/>
            </w:tcMar>
          </w:tcPr>
          <w:p>
            <w:r>
              <w:rPr>
                <w:rFonts w:ascii="Arial" w:cs="Arial" w:eastAsia="Arial" w:hAnsi="Arial"/>
                <w:sz w:val="13"/>
                <w:szCs w:val="13"/>
              </w:rPr>
              <w:t xml:space="preserve">MDR reports</w:t>
            </w:r>
          </w:p>
        </w:tc>
        <w:tc>
          <w:tcPr>
            <w:tcW w:type="dxa" w:w="936"/>
            <w:tcMar>
              <w:top w:type="dxa" w:w="50"/>
              <w:left w:type="dxa" w:w="80"/>
              <w:bottom w:type="dxa" w:w="50"/>
              <w:right w:type="dxa" w:w="80"/>
            </w:tcMar>
          </w:tcPr>
          <w:p>
            <w:r>
              <w:rPr>
                <w:rFonts w:ascii="Arial" w:cs="Arial" w:eastAsia="Arial" w:hAnsi="Arial"/>
                <w:sz w:val="13"/>
                <w:szCs w:val="13"/>
              </w:rPr>
              <w:t xml:space="preserve">Cybersecurity lead</w:t>
            </w:r>
          </w:p>
        </w:tc>
        <w:tc>
          <w:tcPr>
            <w:tcW w:type="dxa" w:w="748"/>
            <w:tcMar>
              <w:top w:type="dxa" w:w="50"/>
              <w:left w:type="dxa" w:w="80"/>
              <w:bottom w:type="dxa" w:w="50"/>
              <w:right w:type="dxa" w:w="80"/>
            </w:tcMar>
          </w:tcPr>
          <w:p>
            <w:r>
              <w:rPr>
                <w:rFonts w:ascii="Arial" w:cs="Arial" w:eastAsia="Arial" w:hAnsi="Arial"/>
                <w:sz w:val="13"/>
                <w:szCs w:val="13"/>
              </w:rPr>
              <w:t xml:space="preserve">Monthly</w:t>
            </w:r>
          </w:p>
        </w:tc>
        <w:tc>
          <w:tcPr>
            <w:tcW w:type="dxa" w:w="748"/>
            <w:tcMar>
              <w:top w:type="dxa" w:w="50"/>
              <w:left w:type="dxa" w:w="80"/>
              <w:bottom w:type="dxa" w:w="50"/>
              <w:right w:type="dxa" w:w="80"/>
            </w:tcMar>
          </w:tcPr>
          <w:p>
            <w:r>
              <w:rPr>
                <w:rFonts w:ascii="Arial" w:cs="Arial" w:eastAsia="Arial" w:hAnsi="Arial"/>
                <w:sz w:val="13"/>
                <w:szCs w:val="13"/>
              </w:rPr>
              <w:t xml:space="preserve">&lt; 1 h / &lt; 4 h</w:t>
            </w:r>
          </w:p>
        </w:tc>
        <w:tc>
          <w:tcPr>
            <w:tcW w:type="dxa" w:w="748"/>
            <w:tcMar>
              <w:top w:type="dxa" w:w="50"/>
              <w:left w:type="dxa" w:w="80"/>
              <w:bottom w:type="dxa" w:w="50"/>
              <w:right w:type="dxa" w:w="80"/>
            </w:tcMar>
          </w:tcPr>
          <w:p>
            <w:r>
              <w:rPr>
                <w:rFonts w:ascii="Arial" w:cs="Arial" w:eastAsia="Arial" w:hAnsi="Arial"/>
                <w:sz w:val="13"/>
                <w:szCs w:val="13"/>
              </w:rPr>
              <w:t xml:space="preserve">&gt; 4 h / &gt; 24 h</w:t>
            </w:r>
          </w:p>
        </w:tc>
        <w:tc>
          <w:tcPr>
            <w:tcW w:type="dxa" w:w="941"/>
            <w:tcMar>
              <w:top w:type="dxa" w:w="50"/>
              <w:left w:type="dxa" w:w="80"/>
              <w:bottom w:type="dxa" w:w="50"/>
              <w:right w:type="dxa" w:w="80"/>
            </w:tcMar>
          </w:tcPr>
          <w:p>
            <w:r>
              <w:rPr>
                <w:rFonts w:ascii="Arial" w:cs="Arial" w:eastAsia="Arial" w:hAnsi="Arial"/>
                <w:sz w:val="13"/>
                <w:szCs w:val="13"/>
              </w:rPr>
              <w:t xml:space="preserve">&gt; 24 h / &gt; 72 h</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KRI-08</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Publicly accessible cloud storage objects containing health data</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S4</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Count from CSPM</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CSPM</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CIO</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Weekly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&gt;= 1</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&gt;= 1 with PHI</w:t>
            </w:r>
          </w:p>
        </w:tc>
      </w:tr>
      <w:tr>
        <w:tc>
          <w:tcPr>
            <w:tcW w:type="dxa" w:w="561"/>
            <w:tcMar>
              <w:top w:type="dxa" w:w="50"/>
              <w:left w:type="dxa" w:w="80"/>
              <w:bottom w:type="dxa" w:w="50"/>
              <w:right w:type="dxa" w:w="80"/>
            </w:tcMar>
          </w:tcPr>
          <w:p>
            <w:r>
              <w:rPr>
                <w:rFonts w:ascii="Arial" w:cs="Arial" w:eastAsia="Arial" w:hAnsi="Arial"/>
                <w:sz w:val="13"/>
                <w:szCs w:val="13"/>
              </w:rPr>
              <w:t xml:space="preserve">KRI-09</w:t>
            </w:r>
          </w:p>
        </w:tc>
        <w:tc>
          <w:tcPr>
            <w:tcW w:type="dxa" w:w="1684"/>
            <w:tcMar>
              <w:top w:type="dxa" w:w="50"/>
              <w:left w:type="dxa" w:w="80"/>
              <w:bottom w:type="dxa" w:w="50"/>
              <w:right w:type="dxa" w:w="80"/>
            </w:tcMar>
          </w:tcPr>
          <w:p>
            <w:r>
              <w:rPr>
                <w:rFonts w:ascii="Arial" w:cs="Arial" w:eastAsia="Arial" w:hAnsi="Arial"/>
                <w:sz w:val="13"/>
                <w:szCs w:val="13"/>
              </w:rPr>
              <w:t xml:space="preserve">% EHR roles recertified and bulk-access alerts reviewed within 24 h</w:t>
            </w:r>
          </w:p>
        </w:tc>
        <w:tc>
          <w:tcPr>
            <w:tcW w:type="dxa" w:w="655"/>
            <w:tcMar>
              <w:top w:type="dxa" w:w="50"/>
              <w:left w:type="dxa" w:w="80"/>
              <w:bottom w:type="dxa" w:w="50"/>
              <w:right w:type="dxa" w:w="80"/>
            </w:tcMar>
          </w:tcPr>
          <w:p>
            <w:r>
              <w:rPr>
                <w:rFonts w:ascii="Arial" w:cs="Arial" w:eastAsia="Arial" w:hAnsi="Arial"/>
                <w:sz w:val="13"/>
                <w:szCs w:val="13"/>
              </w:rPr>
              <w:t xml:space="preserve">S5, S10</w:t>
            </w:r>
          </w:p>
        </w:tc>
        <w:tc>
          <w:tcPr>
            <w:tcW w:type="dxa" w:w="1310"/>
            <w:tcMar>
              <w:top w:type="dxa" w:w="50"/>
              <w:left w:type="dxa" w:w="80"/>
              <w:bottom w:type="dxa" w:w="50"/>
              <w:right w:type="dxa" w:w="80"/>
            </w:tcMar>
          </w:tcPr>
          <w:p>
            <w:r>
              <w:rPr>
                <w:rFonts w:ascii="Arial" w:cs="Arial" w:eastAsia="Arial" w:hAnsi="Arial"/>
                <w:sz w:val="13"/>
                <w:szCs w:val="13"/>
              </w:rPr>
              <w:t xml:space="preserve">Recertified / total; reviewed / raised</w:t>
            </w:r>
          </w:p>
        </w:tc>
        <w:tc>
          <w:tcPr>
            <w:tcW w:type="dxa" w:w="1029"/>
            <w:tcMar>
              <w:top w:type="dxa" w:w="50"/>
              <w:left w:type="dxa" w:w="80"/>
              <w:bottom w:type="dxa" w:w="50"/>
              <w:right w:type="dxa" w:w="80"/>
            </w:tcMar>
          </w:tcPr>
          <w:p>
            <w:r>
              <w:rPr>
                <w:rFonts w:ascii="Arial" w:cs="Arial" w:eastAsia="Arial" w:hAnsi="Arial"/>
                <w:sz w:val="13"/>
                <w:szCs w:val="13"/>
              </w:rPr>
              <w:t xml:space="preserve">EHR access analytics, IAM</w:t>
            </w:r>
          </w:p>
        </w:tc>
        <w:tc>
          <w:tcPr>
            <w:tcW w:type="dxa" w:w="936"/>
            <w:tcMar>
              <w:top w:type="dxa" w:w="50"/>
              <w:left w:type="dxa" w:w="80"/>
              <w:bottom w:type="dxa" w:w="50"/>
              <w:right w:type="dxa" w:w="80"/>
            </w:tcMar>
          </w:tcPr>
          <w:p>
            <w:r>
              <w:rPr>
                <w:rFonts w:ascii="Arial" w:cs="Arial" w:eastAsia="Arial" w:hAnsi="Arial"/>
                <w:sz w:val="13"/>
                <w:szCs w:val="13"/>
              </w:rPr>
              <w:t xml:space="preserve">Privacy officer</w:t>
            </w:r>
          </w:p>
        </w:tc>
        <w:tc>
          <w:tcPr>
            <w:tcW w:type="dxa" w:w="748"/>
            <w:tcMar>
              <w:top w:type="dxa" w:w="50"/>
              <w:left w:type="dxa" w:w="80"/>
              <w:bottom w:type="dxa" w:w="50"/>
              <w:right w:type="dxa" w:w="80"/>
            </w:tcMar>
          </w:tcPr>
          <w:p>
            <w:r>
              <w:rPr>
                <w:rFonts w:ascii="Arial" w:cs="Arial" w:eastAsia="Arial" w:hAnsi="Arial"/>
                <w:sz w:val="13"/>
                <w:szCs w:val="13"/>
              </w:rPr>
              <w:t xml:space="preserve">Quarterly</w:t>
            </w:r>
          </w:p>
        </w:tc>
        <w:tc>
          <w:tcPr>
            <w:tcW w:type="dxa" w:w="748"/>
            <w:tcMar>
              <w:top w:type="dxa" w:w="50"/>
              <w:left w:type="dxa" w:w="80"/>
              <w:bottom w:type="dxa" w:w="50"/>
              <w:right w:type="dxa" w:w="80"/>
            </w:tcMar>
          </w:tcPr>
          <w:p>
            <w:r>
              <w:rPr>
                <w:rFonts w:ascii="Arial" w:cs="Arial" w:eastAsia="Arial" w:hAnsi="Arial"/>
                <w:sz w:val="13"/>
                <w:szCs w:val="13"/>
              </w:rPr>
              <w:t xml:space="preserve">100%</w:t>
            </w:r>
          </w:p>
        </w:tc>
        <w:tc>
          <w:tcPr>
            <w:tcW w:type="dxa" w:w="748"/>
            <w:tcMar>
              <w:top w:type="dxa" w:w="50"/>
              <w:left w:type="dxa" w:w="80"/>
              <w:bottom w:type="dxa" w:w="50"/>
              <w:right w:type="dxa" w:w="80"/>
            </w:tcMar>
          </w:tcPr>
          <w:p>
            <w:r>
              <w:rPr>
                <w:rFonts w:ascii="Arial" w:cs="Arial" w:eastAsia="Arial" w:hAnsi="Arial"/>
                <w:sz w:val="13"/>
                <w:szCs w:val="13"/>
              </w:rPr>
              <w:t xml:space="preserve">&lt; 95%</w:t>
            </w:r>
          </w:p>
        </w:tc>
        <w:tc>
          <w:tcPr>
            <w:tcW w:type="dxa" w:w="941"/>
            <w:tcMar>
              <w:top w:type="dxa" w:w="50"/>
              <w:left w:type="dxa" w:w="80"/>
              <w:bottom w:type="dxa" w:w="50"/>
              <w:right w:type="dxa" w:w="80"/>
            </w:tcMar>
          </w:tcPr>
          <w:p>
            <w:r>
              <w:rPr>
                <w:rFonts w:ascii="Arial" w:cs="Arial" w:eastAsia="Arial" w:hAnsi="Arial"/>
                <w:sz w:val="13"/>
                <w:szCs w:val="13"/>
              </w:rPr>
              <w:t xml:space="preserve">&lt; 85%</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KRI-10</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 networked medical devices inventoried and in isolated segments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S7</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Segmented devices / inventoried</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IoMT monitoring, NAC</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Biomedical engineering</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Quarterly</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90%</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70%</w:t>
            </w:r>
          </w:p>
        </w:tc>
      </w:tr>
      <w:tr>
        <w:tc>
          <w:tcPr>
            <w:tcW w:type="dxa" w:w="561"/>
            <w:tcMar>
              <w:top w:type="dxa" w:w="50"/>
              <w:left w:type="dxa" w:w="80"/>
              <w:bottom w:type="dxa" w:w="50"/>
              <w:right w:type="dxa" w:w="80"/>
            </w:tcMar>
          </w:tcPr>
          <w:p>
            <w:r>
              <w:rPr>
                <w:rFonts w:ascii="Arial" w:cs="Arial" w:eastAsia="Arial" w:hAnsi="Arial"/>
                <w:sz w:val="13"/>
                <w:szCs w:val="13"/>
              </w:rPr>
              <w:t xml:space="preserve">KRI-11</w:t>
            </w:r>
          </w:p>
        </w:tc>
        <w:tc>
          <w:tcPr>
            <w:tcW w:type="dxa" w:w="1684"/>
            <w:tcMar>
              <w:top w:type="dxa" w:w="50"/>
              <w:left w:type="dxa" w:w="80"/>
              <w:bottom w:type="dxa" w:w="50"/>
              <w:right w:type="dxa" w:w="80"/>
            </w:tcMar>
          </w:tcPr>
          <w:p>
            <w:r>
              <w:rPr>
                <w:rFonts w:ascii="Arial" w:cs="Arial" w:eastAsia="Arial" w:hAnsi="Arial"/>
                <w:sz w:val="13"/>
                <w:szCs w:val="13"/>
              </w:rPr>
              <w:t xml:space="preserve">% critical vendors assessed with current notification clauses</w:t>
            </w:r>
          </w:p>
        </w:tc>
        <w:tc>
          <w:tcPr>
            <w:tcW w:type="dxa" w:w="655"/>
            <w:tcMar>
              <w:top w:type="dxa" w:w="50"/>
              <w:left w:type="dxa" w:w="80"/>
              <w:bottom w:type="dxa" w:w="50"/>
              <w:right w:type="dxa" w:w="80"/>
            </w:tcMar>
          </w:tcPr>
          <w:p>
            <w:r>
              <w:rPr>
                <w:rFonts w:ascii="Arial" w:cs="Arial" w:eastAsia="Arial" w:hAnsi="Arial"/>
                <w:sz w:val="13"/>
                <w:szCs w:val="13"/>
              </w:rPr>
              <w:t xml:space="preserve">S9</w:t>
            </w:r>
          </w:p>
        </w:tc>
        <w:tc>
          <w:tcPr>
            <w:tcW w:type="dxa" w:w="1310"/>
            <w:tcMar>
              <w:top w:type="dxa" w:w="50"/>
              <w:left w:type="dxa" w:w="80"/>
              <w:bottom w:type="dxa" w:w="50"/>
              <w:right w:type="dxa" w:w="80"/>
            </w:tcMar>
          </w:tcPr>
          <w:p>
            <w:r>
              <w:rPr>
                <w:rFonts w:ascii="Arial" w:cs="Arial" w:eastAsia="Arial" w:hAnsi="Arial"/>
                <w:sz w:val="13"/>
                <w:szCs w:val="13"/>
              </w:rPr>
              <w:t xml:space="preserve">Assessed / critical vendors</w:t>
            </w:r>
          </w:p>
        </w:tc>
        <w:tc>
          <w:tcPr>
            <w:tcW w:type="dxa" w:w="1029"/>
            <w:tcMar>
              <w:top w:type="dxa" w:w="50"/>
              <w:left w:type="dxa" w:w="80"/>
              <w:bottom w:type="dxa" w:w="50"/>
              <w:right w:type="dxa" w:w="80"/>
            </w:tcMar>
          </w:tcPr>
          <w:p>
            <w:r>
              <w:rPr>
                <w:rFonts w:ascii="Arial" w:cs="Arial" w:eastAsia="Arial" w:hAnsi="Arial"/>
                <w:sz w:val="13"/>
                <w:szCs w:val="13"/>
              </w:rPr>
              <w:t xml:space="preserve">TPRM register</w:t>
            </w:r>
          </w:p>
        </w:tc>
        <w:tc>
          <w:tcPr>
            <w:tcW w:type="dxa" w:w="936"/>
            <w:tcMar>
              <w:top w:type="dxa" w:w="50"/>
              <w:left w:type="dxa" w:w="80"/>
              <w:bottom w:type="dxa" w:w="50"/>
              <w:right w:type="dxa" w:w="80"/>
            </w:tcMar>
          </w:tcPr>
          <w:p>
            <w:r>
              <w:rPr>
                <w:rFonts w:ascii="Arial" w:cs="Arial" w:eastAsia="Arial" w:hAnsi="Arial"/>
                <w:sz w:val="13"/>
                <w:szCs w:val="13"/>
              </w:rPr>
              <w:t xml:space="preserve">Procurement</w:t>
            </w:r>
          </w:p>
        </w:tc>
        <w:tc>
          <w:tcPr>
            <w:tcW w:type="dxa" w:w="748"/>
            <w:tcMar>
              <w:top w:type="dxa" w:w="50"/>
              <w:left w:type="dxa" w:w="80"/>
              <w:bottom w:type="dxa" w:w="50"/>
              <w:right w:type="dxa" w:w="80"/>
            </w:tcMar>
          </w:tcPr>
          <w:p>
            <w:r>
              <w:rPr>
                <w:rFonts w:ascii="Arial" w:cs="Arial" w:eastAsia="Arial" w:hAnsi="Arial"/>
                <w:sz w:val="13"/>
                <w:szCs w:val="13"/>
              </w:rPr>
              <w:t xml:space="preserve">Quarterly</w:t>
            </w:r>
          </w:p>
        </w:tc>
        <w:tc>
          <w:tcPr>
            <w:tcW w:type="dxa" w:w="748"/>
            <w:tcMar>
              <w:top w:type="dxa" w:w="50"/>
              <w:left w:type="dxa" w:w="80"/>
              <w:bottom w:type="dxa" w:w="50"/>
              <w:right w:type="dxa" w:w="80"/>
            </w:tcMar>
          </w:tcPr>
          <w:p>
            <w:r>
              <w:rPr>
                <w:rFonts w:ascii="Arial" w:cs="Arial" w:eastAsia="Arial" w:hAnsi="Arial"/>
                <w:sz w:val="13"/>
                <w:szCs w:val="13"/>
              </w:rPr>
              <w:t xml:space="preserve">100%</w:t>
            </w:r>
          </w:p>
        </w:tc>
        <w:tc>
          <w:tcPr>
            <w:tcW w:type="dxa" w:w="748"/>
            <w:tcMar>
              <w:top w:type="dxa" w:w="50"/>
              <w:left w:type="dxa" w:w="80"/>
              <w:bottom w:type="dxa" w:w="50"/>
              <w:right w:type="dxa" w:w="80"/>
            </w:tcMar>
          </w:tcPr>
          <w:p>
            <w:r>
              <w:rPr>
                <w:rFonts w:ascii="Arial" w:cs="Arial" w:eastAsia="Arial" w:hAnsi="Arial"/>
                <w:sz w:val="13"/>
                <w:szCs w:val="13"/>
              </w:rPr>
              <w:t xml:space="preserve">&lt; 90%</w:t>
            </w:r>
          </w:p>
        </w:tc>
        <w:tc>
          <w:tcPr>
            <w:tcW w:type="dxa" w:w="941"/>
            <w:tcMar>
              <w:top w:type="dxa" w:w="50"/>
              <w:left w:type="dxa" w:w="80"/>
              <w:bottom w:type="dxa" w:w="50"/>
              <w:right w:type="dxa" w:w="80"/>
            </w:tcMar>
          </w:tcPr>
          <w:p>
            <w:r>
              <w:rPr>
                <w:rFonts w:ascii="Arial" w:cs="Arial" w:eastAsia="Arial" w:hAnsi="Arial"/>
                <w:sz w:val="13"/>
                <w:szCs w:val="13"/>
              </w:rPr>
              <w:t xml:space="preserve">&lt; 70%</w:t>
            </w:r>
          </w:p>
        </w:tc>
      </w:tr>
      <w:tr>
        <w:tc>
          <w:tcPr>
            <w:tcW w:type="dxa" w:w="561"/>
            <w:shd w:fill="F2F2F2" w:color="auto" w:val="clear"/>
            <w:tcMar>
              <w:top w:type="dxa" w:w="50"/>
              <w:left w:type="dxa" w:w="80"/>
              <w:bottom w:type="dxa" w:w="50"/>
              <w:right w:type="dxa" w:w="80"/>
            </w:tcMar>
          </w:tcPr>
          <w:p>
            <w:r>
              <w:rPr>
                <w:rFonts w:ascii="Arial" w:cs="Arial" w:eastAsia="Arial" w:hAnsi="Arial"/>
                <w:sz w:val="13"/>
                <w:szCs w:val="13"/>
              </w:rPr>
              <w:t xml:space="preserve">KRI-12</w:t>
            </w:r>
          </w:p>
        </w:tc>
        <w:tc>
          <w:tcPr>
            <w:tcW w:type="dxa" w:w="1684"/>
            <w:shd w:fill="F2F2F2" w:color="auto" w:val="clear"/>
            <w:tcMar>
              <w:top w:type="dxa" w:w="50"/>
              <w:left w:type="dxa" w:w="80"/>
              <w:bottom w:type="dxa" w:w="50"/>
              <w:right w:type="dxa" w:w="80"/>
            </w:tcMar>
          </w:tcPr>
          <w:p>
            <w:r>
              <w:rPr>
                <w:rFonts w:ascii="Arial" w:cs="Arial" w:eastAsia="Arial" w:hAnsi="Arial"/>
                <w:sz w:val="13"/>
                <w:szCs w:val="13"/>
              </w:rPr>
              <w:t xml:space="preserve">Clinics with tested downtime procedures (last 12 months)</w:t>
            </w:r>
          </w:p>
        </w:tc>
        <w:tc>
          <w:tcPr>
            <w:tcW w:type="dxa" w:w="655"/>
            <w:shd w:fill="F2F2F2" w:color="auto" w:val="clear"/>
            <w:tcMar>
              <w:top w:type="dxa" w:w="50"/>
              <w:left w:type="dxa" w:w="80"/>
              <w:bottom w:type="dxa" w:w="50"/>
              <w:right w:type="dxa" w:w="80"/>
            </w:tcMar>
          </w:tcPr>
          <w:p>
            <w:r>
              <w:rPr>
                <w:rFonts w:ascii="Arial" w:cs="Arial" w:eastAsia="Arial" w:hAnsi="Arial"/>
                <w:sz w:val="13"/>
                <w:szCs w:val="13"/>
              </w:rPr>
              <w:t xml:space="preserve">S2, S8</w:t>
            </w:r>
          </w:p>
        </w:tc>
        <w:tc>
          <w:tcPr>
            <w:tcW w:type="dxa" w:w="1310"/>
            <w:shd w:fill="F2F2F2" w:color="auto" w:val="clear"/>
            <w:tcMar>
              <w:top w:type="dxa" w:w="50"/>
              <w:left w:type="dxa" w:w="80"/>
              <w:bottom w:type="dxa" w:w="50"/>
              <w:right w:type="dxa" w:w="80"/>
            </w:tcMar>
          </w:tcPr>
          <w:p>
            <w:r>
              <w:rPr>
                <w:rFonts w:ascii="Arial" w:cs="Arial" w:eastAsia="Arial" w:hAnsi="Arial"/>
                <w:sz w:val="13"/>
                <w:szCs w:val="13"/>
              </w:rPr>
              <w:t xml:space="preserve">Clinics tested / 10</w:t>
            </w:r>
          </w:p>
        </w:tc>
        <w:tc>
          <w:tcPr>
            <w:tcW w:type="dxa" w:w="1029"/>
            <w:shd w:fill="F2F2F2" w:color="auto" w:val="clear"/>
            <w:tcMar>
              <w:top w:type="dxa" w:w="50"/>
              <w:left w:type="dxa" w:w="80"/>
              <w:bottom w:type="dxa" w:w="50"/>
              <w:right w:type="dxa" w:w="80"/>
            </w:tcMar>
          </w:tcPr>
          <w:p>
            <w:r>
              <w:rPr>
                <w:rFonts w:ascii="Arial" w:cs="Arial" w:eastAsia="Arial" w:hAnsi="Arial"/>
                <w:sz w:val="13"/>
                <w:szCs w:val="13"/>
              </w:rPr>
              <w:t xml:space="preserve">Tabletop records</w:t>
            </w:r>
          </w:p>
        </w:tc>
        <w:tc>
          <w:tcPr>
            <w:tcW w:type="dxa" w:w="936"/>
            <w:shd w:fill="F2F2F2" w:color="auto" w:val="clear"/>
            <w:tcMar>
              <w:top w:type="dxa" w:w="50"/>
              <w:left w:type="dxa" w:w="80"/>
              <w:bottom w:type="dxa" w:w="50"/>
              <w:right w:type="dxa" w:w="80"/>
            </w:tcMar>
          </w:tcPr>
          <w:p>
            <w:r>
              <w:rPr>
                <w:rFonts w:ascii="Arial" w:cs="Arial" w:eastAsia="Arial" w:hAnsi="Arial"/>
                <w:sz w:val="13"/>
                <w:szCs w:val="13"/>
              </w:rPr>
              <w:t xml:space="preserve">Clinical Ops</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Semi-annual</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10/10</w:t>
            </w:r>
          </w:p>
        </w:tc>
        <w:tc>
          <w:tcPr>
            <w:tcW w:type="dxa" w:w="748"/>
            <w:shd w:fill="F2F2F2" w:color="auto" w:val="clear"/>
            <w:tcMar>
              <w:top w:type="dxa" w:w="50"/>
              <w:left w:type="dxa" w:w="80"/>
              <w:bottom w:type="dxa" w:w="50"/>
              <w:right w:type="dxa" w:w="80"/>
            </w:tcMar>
          </w:tcPr>
          <w:p>
            <w:r>
              <w:rPr>
                <w:rFonts w:ascii="Arial" w:cs="Arial" w:eastAsia="Arial" w:hAnsi="Arial"/>
                <w:sz w:val="13"/>
                <w:szCs w:val="13"/>
              </w:rPr>
              <w:t xml:space="preserve">&lt; 8</w:t>
            </w:r>
          </w:p>
        </w:tc>
        <w:tc>
          <w:tcPr>
            <w:tcW w:type="dxa" w:w="941"/>
            <w:shd w:fill="F2F2F2" w:color="auto" w:val="clear"/>
            <w:tcMar>
              <w:top w:type="dxa" w:w="50"/>
              <w:left w:type="dxa" w:w="80"/>
              <w:bottom w:type="dxa" w:w="50"/>
              <w:right w:type="dxa" w:w="80"/>
            </w:tcMar>
          </w:tcPr>
          <w:p>
            <w:r>
              <w:rPr>
                <w:rFonts w:ascii="Arial" w:cs="Arial" w:eastAsia="Arial" w:hAnsi="Arial"/>
                <w:sz w:val="13"/>
                <w:szCs w:val="13"/>
              </w:rPr>
              <w:t xml:space="preserve">&lt; 5</w:t>
            </w:r>
          </w:p>
        </w:tc>
      </w:tr>
    </w:tbl>
    <w:p>
      <w:pPr>
        <w:spacing w:after="80"/>
      </w:pPr>
    </w:p>
    <w:p>
      <w:pPr>
        <w:spacing w:after="120"/>
      </w:pPr>
      <w:r>
        <w:rPr>
          <w:rFonts w:ascii="Arial" w:cs="Arial" w:eastAsia="Arial" w:hAnsi="Arial"/>
        </w:rPr>
        <w:t xml:space="preserve">Report quarterly to the Steering Committee; any KRI at critical threshold escalates to executive leadership within one week.</w:t>
      </w:r>
    </w:p>
    <w:p>
      <w:pPr>
        <w:pStyle w:val="Heading1"/>
        <w:pageBreakBefore/>
      </w:pPr>
      <w:r>
        <w:rPr>
          <w:rFonts w:ascii="Arial" w:cs="Arial" w:eastAsia="Arial" w:hAnsi="Arial"/>
        </w:rPr>
        <w:t xml:space="preserve">13. Cross-check with the case escalation method</w:t>
      </w:r>
    </w:p>
    <w:p>
      <w:pPr>
        <w:spacing w:after="120"/>
      </w:pPr>
      <w:r>
        <w:rPr>
          <w:rFonts w:ascii="Arial" w:cs="Arial" w:eastAsia="Arial" w:hAnsi="Arial"/>
        </w:rPr>
        <w:t xml:space="preserve">The case (s.8) defines a simpler normalized score (T x E x I, adjusted for control maturity) with escalation thresholds: executive review above 0.25, Board acceptance above 0.40. Mapping T = Pb(A), E = Pb(psi,A), I = (de + dm)/2 and control maturity C = theta (an analyst mapping - validate) gives: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497"/>
        <w:gridCol w:w="1310"/>
        <w:gridCol w:w="1684"/>
        <w:gridCol w:w="1310"/>
        <w:gridCol w:w="2811"/>
      </w:tblGrid>
      <w:tr>
        <w:trPr>
          <w:tblHeader/>
        </w:trPr>
        <w:tc>
          <w:tcPr>
            <w:tcW w:type="dxa" w:w="748"/>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ID</w:t>
            </w:r>
          </w:p>
        </w:tc>
        <w:tc>
          <w:tcPr>
            <w:tcW w:type="dxa" w:w="1497"/>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Current residual</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Level</w:t>
            </w:r>
          </w:p>
        </w:tc>
        <w:tc>
          <w:tcPr>
            <w:tcW w:type="dxa" w:w="168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Post-treatment residual</w:t>
            </w:r>
          </w:p>
        </w:tc>
        <w:tc>
          <w:tcPr>
            <w:tcW w:type="dxa" w:w="1310"/>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Level</w:t>
            </w:r>
          </w:p>
        </w:tc>
        <w:tc>
          <w:tcPr>
            <w:tcW w:type="dxa" w:w="2811"/>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CRG status (appetite 0.30)</w:t>
            </w:r>
          </w:p>
        </w:tc>
      </w:tr>
      <w:tr>
        <w:tc>
          <w:tcPr>
            <w:tcW w:type="dxa" w:w="748"/>
            <w:tcMar>
              <w:top w:type="dxa" w:w="50"/>
              <w:left w:type="dxa" w:w="80"/>
              <w:bottom w:type="dxa" w:w="50"/>
              <w:right w:type="dxa" w:w="80"/>
            </w:tcMar>
          </w:tcPr>
          <w:p>
            <w:r>
              <w:rPr>
                <w:rFonts w:ascii="Arial" w:cs="Arial" w:eastAsia="Arial" w:hAnsi="Arial"/>
                <w:sz w:val="15"/>
                <w:szCs w:val="15"/>
              </w:rPr>
              <w:t xml:space="preserve">S1</w:t>
            </w:r>
          </w:p>
        </w:tc>
        <w:tc>
          <w:tcPr>
            <w:tcW w:type="dxa" w:w="1497"/>
            <w:tcMar>
              <w:top w:type="dxa" w:w="50"/>
              <w:left w:type="dxa" w:w="80"/>
              <w:bottom w:type="dxa" w:w="50"/>
              <w:right w:type="dxa" w:w="80"/>
            </w:tcMar>
          </w:tcPr>
          <w:p>
            <w:r>
              <w:rPr>
                <w:rFonts w:ascii="Arial" w:cs="Arial" w:eastAsia="Arial" w:hAnsi="Arial"/>
                <w:sz w:val="15"/>
                <w:szCs w:val="15"/>
              </w:rPr>
              <w:t xml:space="preserve">0.196</w:t>
            </w:r>
          </w:p>
        </w:tc>
        <w:tc>
          <w:tcPr>
            <w:tcW w:type="dxa" w:w="1310"/>
            <w:tcMar>
              <w:top w:type="dxa" w:w="50"/>
              <w:left w:type="dxa" w:w="80"/>
              <w:bottom w:type="dxa" w:w="50"/>
              <w:right w:type="dxa" w:w="80"/>
            </w:tcMar>
          </w:tcPr>
          <w:p>
            <w:r>
              <w:rPr>
                <w:rFonts w:ascii="Arial" w:cs="Arial" w:eastAsia="Arial" w:hAnsi="Arial"/>
                <w:sz w:val="15"/>
                <w:szCs w:val="15"/>
              </w:rPr>
              <w:t xml:space="preserve">High</w:t>
            </w:r>
          </w:p>
        </w:tc>
        <w:tc>
          <w:tcPr>
            <w:tcW w:type="dxa" w:w="1684"/>
            <w:tcMar>
              <w:top w:type="dxa" w:w="50"/>
              <w:left w:type="dxa" w:w="80"/>
              <w:bottom w:type="dxa" w:w="50"/>
              <w:right w:type="dxa" w:w="80"/>
            </w:tcMar>
          </w:tcPr>
          <w:p>
            <w:r>
              <w:rPr>
                <w:rFonts w:ascii="Arial" w:cs="Arial" w:eastAsia="Arial" w:hAnsi="Arial"/>
                <w:sz w:val="15"/>
                <w:szCs w:val="15"/>
              </w:rPr>
              <w:t xml:space="preserve">0.079</w:t>
            </w:r>
          </w:p>
        </w:tc>
        <w:tc>
          <w:tcPr>
            <w:tcW w:type="dxa" w:w="1310"/>
            <w:tcMar>
              <w:top w:type="dxa" w:w="50"/>
              <w:left w:type="dxa" w:w="80"/>
              <w:bottom w:type="dxa" w:w="50"/>
              <w:right w:type="dxa" w:w="80"/>
            </w:tcMar>
          </w:tcPr>
          <w:p>
            <w:r>
              <w:rPr>
                <w:rFonts w:ascii="Arial" w:cs="Arial" w:eastAsia="Arial" w:hAnsi="Arial"/>
                <w:sz w:val="15"/>
                <w:szCs w:val="15"/>
              </w:rPr>
              <w:t xml:space="preserve">Moderate</w:t>
            </w:r>
          </w:p>
        </w:tc>
        <w:tc>
          <w:tcPr>
            <w:tcW w:type="dxa" w:w="2811"/>
            <w:tcMar>
              <w:top w:type="dxa" w:w="50"/>
              <w:left w:type="dxa" w:w="80"/>
              <w:bottom w:type="dxa" w:w="50"/>
              <w:right w:type="dxa" w:w="80"/>
            </w:tcMar>
          </w:tcPr>
          <w:p>
            <w:r>
              <w:rPr>
                <w:rFonts w:ascii="Arial" w:cs="Arial" w:eastAsia="Arial" w:hAnsi="Arial"/>
                <w:sz w:val="15"/>
                <w:szCs w:val="15"/>
              </w:rPr>
              <w:t xml:space="preserve">Approximately at tolerance</w:t>
            </w:r>
          </w:p>
        </w:tc>
      </w:tr>
      <w:tr>
        <w:tc>
          <w:tcPr>
            <w:tcW w:type="dxa" w:w="748"/>
            <w:shd w:fill="F2F2F2" w:color="auto" w:val="clear"/>
            <w:tcMar>
              <w:top w:type="dxa" w:w="50"/>
              <w:left w:type="dxa" w:w="80"/>
              <w:bottom w:type="dxa" w:w="50"/>
              <w:right w:type="dxa" w:w="80"/>
            </w:tcMar>
          </w:tcPr>
          <w:p>
            <w:r>
              <w:rPr>
                <w:rFonts w:ascii="Arial" w:cs="Arial" w:eastAsia="Arial" w:hAnsi="Arial"/>
                <w:sz w:val="15"/>
                <w:szCs w:val="15"/>
              </w:rPr>
              <w:t xml:space="preserve">S2</w:t>
            </w:r>
          </w:p>
        </w:tc>
        <w:tc>
          <w:tcPr>
            <w:tcW w:type="dxa" w:w="1497"/>
            <w:shd w:fill="F2F2F2" w:color="auto" w:val="clear"/>
            <w:tcMar>
              <w:top w:type="dxa" w:w="50"/>
              <w:left w:type="dxa" w:w="80"/>
              <w:bottom w:type="dxa" w:w="50"/>
              <w:right w:type="dxa" w:w="80"/>
            </w:tcMar>
          </w:tcPr>
          <w:p>
            <w:r>
              <w:rPr>
                <w:rFonts w:ascii="Arial" w:cs="Arial" w:eastAsia="Arial" w:hAnsi="Arial"/>
                <w:sz w:val="15"/>
                <w:szCs w:val="15"/>
              </w:rPr>
              <w:t xml:space="preserve">0.201</w:t>
            </w:r>
          </w:p>
        </w:tc>
        <w:tc>
          <w:tcPr>
            <w:tcW w:type="dxa" w:w="1310"/>
            <w:shd w:fill="F2F2F2" w:color="auto" w:val="clear"/>
            <w:tcMar>
              <w:top w:type="dxa" w:w="50"/>
              <w:left w:type="dxa" w:w="80"/>
              <w:bottom w:type="dxa" w:w="50"/>
              <w:right w:type="dxa" w:w="80"/>
            </w:tcMar>
          </w:tcPr>
          <w:p>
            <w:r>
              <w:rPr>
                <w:rFonts w:ascii="Arial" w:cs="Arial" w:eastAsia="Arial" w:hAnsi="Arial"/>
                <w:sz w:val="15"/>
                <w:szCs w:val="15"/>
              </w:rPr>
              <w:t xml:space="preserve">High</w:t>
            </w:r>
          </w:p>
        </w:tc>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0.088</w:t>
            </w:r>
          </w:p>
        </w:tc>
        <w:tc>
          <w:tcPr>
            <w:tcW w:type="dxa" w:w="1310"/>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2811"/>
            <w:shd w:fill="F2F2F2" w:color="auto" w:val="clear"/>
            <w:tcMar>
              <w:top w:type="dxa" w:w="50"/>
              <w:left w:type="dxa" w:w="80"/>
              <w:bottom w:type="dxa" w:w="50"/>
              <w:right w:type="dxa" w:w="80"/>
            </w:tcMar>
          </w:tcPr>
          <w:p>
            <w:r>
              <w:rPr>
                <w:rFonts w:ascii="Arial" w:cs="Arial" w:eastAsia="Arial" w:hAnsi="Arial"/>
                <w:sz w:val="15"/>
                <w:szCs w:val="15"/>
              </w:rPr>
              <w:t xml:space="preserve">Above tolerance</w:t>
            </w:r>
          </w:p>
        </w:tc>
      </w:tr>
      <w:tr>
        <w:tc>
          <w:tcPr>
            <w:tcW w:type="dxa" w:w="748"/>
            <w:tcMar>
              <w:top w:type="dxa" w:w="50"/>
              <w:left w:type="dxa" w:w="80"/>
              <w:bottom w:type="dxa" w:w="50"/>
              <w:right w:type="dxa" w:w="80"/>
            </w:tcMar>
          </w:tcPr>
          <w:p>
            <w:r>
              <w:rPr>
                <w:rFonts w:ascii="Arial" w:cs="Arial" w:eastAsia="Arial" w:hAnsi="Arial"/>
                <w:sz w:val="15"/>
                <w:szCs w:val="15"/>
              </w:rPr>
              <w:t xml:space="preserve">S3</w:t>
            </w:r>
          </w:p>
        </w:tc>
        <w:tc>
          <w:tcPr>
            <w:tcW w:type="dxa" w:w="1497"/>
            <w:tcMar>
              <w:top w:type="dxa" w:w="50"/>
              <w:left w:type="dxa" w:w="80"/>
              <w:bottom w:type="dxa" w:w="50"/>
              <w:right w:type="dxa" w:w="80"/>
            </w:tcMar>
          </w:tcPr>
          <w:p>
            <w:r>
              <w:rPr>
                <w:rFonts w:ascii="Arial" w:cs="Arial" w:eastAsia="Arial" w:hAnsi="Arial"/>
                <w:sz w:val="15"/>
                <w:szCs w:val="15"/>
              </w:rPr>
              <w:t xml:space="preserve">0.134</w:t>
            </w:r>
          </w:p>
        </w:tc>
        <w:tc>
          <w:tcPr>
            <w:tcW w:type="dxa" w:w="1310"/>
            <w:tcMar>
              <w:top w:type="dxa" w:w="50"/>
              <w:left w:type="dxa" w:w="80"/>
              <w:bottom w:type="dxa" w:w="50"/>
              <w:right w:type="dxa" w:w="80"/>
            </w:tcMar>
          </w:tcPr>
          <w:p>
            <w:r>
              <w:rPr>
                <w:rFonts w:ascii="Arial" w:cs="Arial" w:eastAsia="Arial" w:hAnsi="Arial"/>
                <w:sz w:val="15"/>
                <w:szCs w:val="15"/>
              </w:rPr>
              <w:t xml:space="preserve">Moderate</w:t>
            </w:r>
          </w:p>
        </w:tc>
        <w:tc>
          <w:tcPr>
            <w:tcW w:type="dxa" w:w="1684"/>
            <w:tcMar>
              <w:top w:type="dxa" w:w="50"/>
              <w:left w:type="dxa" w:w="80"/>
              <w:bottom w:type="dxa" w:w="50"/>
              <w:right w:type="dxa" w:w="80"/>
            </w:tcMar>
          </w:tcPr>
          <w:p>
            <w:r>
              <w:rPr>
                <w:rFonts w:ascii="Arial" w:cs="Arial" w:eastAsia="Arial" w:hAnsi="Arial"/>
                <w:sz w:val="15"/>
                <w:szCs w:val="15"/>
              </w:rPr>
              <w:t xml:space="preserve">0.043</w:t>
            </w:r>
          </w:p>
        </w:tc>
        <w:tc>
          <w:tcPr>
            <w:tcW w:type="dxa" w:w="1310"/>
            <w:tcMar>
              <w:top w:type="dxa" w:w="50"/>
              <w:left w:type="dxa" w:w="80"/>
              <w:bottom w:type="dxa" w:w="50"/>
              <w:right w:type="dxa" w:w="80"/>
            </w:tcMar>
          </w:tcPr>
          <w:p>
            <w:r>
              <w:rPr>
                <w:rFonts w:ascii="Arial" w:cs="Arial" w:eastAsia="Arial" w:hAnsi="Arial"/>
                <w:sz w:val="15"/>
                <w:szCs w:val="15"/>
              </w:rPr>
              <w:t xml:space="preserve">Low</w:t>
            </w:r>
          </w:p>
        </w:tc>
        <w:tc>
          <w:tcPr>
            <w:tcW w:type="dxa" w:w="2811"/>
            <w:tcMar>
              <w:top w:type="dxa" w:w="50"/>
              <w:left w:type="dxa" w:w="80"/>
              <w:bottom w:type="dxa" w:w="50"/>
              <w:right w:type="dxa" w:w="80"/>
            </w:tcMar>
          </w:tcPr>
          <w:p>
            <w:r>
              <w:rPr>
                <w:rFonts w:ascii="Arial" w:cs="Arial" w:eastAsia="Arial" w:hAnsi="Arial"/>
                <w:sz w:val="15"/>
                <w:szCs w:val="15"/>
              </w:rPr>
              <w:t xml:space="preserve">Below tolerance</w:t>
            </w:r>
          </w:p>
        </w:tc>
      </w:tr>
      <w:tr>
        <w:tc>
          <w:tcPr>
            <w:tcW w:type="dxa" w:w="748"/>
            <w:shd w:fill="F2F2F2" w:color="auto" w:val="clear"/>
            <w:tcMar>
              <w:top w:type="dxa" w:w="50"/>
              <w:left w:type="dxa" w:w="80"/>
              <w:bottom w:type="dxa" w:w="50"/>
              <w:right w:type="dxa" w:w="80"/>
            </w:tcMar>
          </w:tcPr>
          <w:p>
            <w:r>
              <w:rPr>
                <w:rFonts w:ascii="Arial" w:cs="Arial" w:eastAsia="Arial" w:hAnsi="Arial"/>
                <w:sz w:val="15"/>
                <w:szCs w:val="15"/>
              </w:rPr>
              <w:t xml:space="preserve">S4</w:t>
            </w:r>
          </w:p>
        </w:tc>
        <w:tc>
          <w:tcPr>
            <w:tcW w:type="dxa" w:w="1497"/>
            <w:shd w:fill="F2F2F2" w:color="auto" w:val="clear"/>
            <w:tcMar>
              <w:top w:type="dxa" w:w="50"/>
              <w:left w:type="dxa" w:w="80"/>
              <w:bottom w:type="dxa" w:w="50"/>
              <w:right w:type="dxa" w:w="80"/>
            </w:tcMar>
          </w:tcPr>
          <w:p>
            <w:r>
              <w:rPr>
                <w:rFonts w:ascii="Arial" w:cs="Arial" w:eastAsia="Arial" w:hAnsi="Arial"/>
                <w:sz w:val="15"/>
                <w:szCs w:val="15"/>
              </w:rPr>
              <w:t xml:space="preserve">0.109</w:t>
            </w:r>
          </w:p>
        </w:tc>
        <w:tc>
          <w:tcPr>
            <w:tcW w:type="dxa" w:w="1310"/>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0.044</w:t>
            </w:r>
          </w:p>
        </w:tc>
        <w:tc>
          <w:tcPr>
            <w:tcW w:type="dxa" w:w="1310"/>
            <w:shd w:fill="F2F2F2" w:color="auto" w:val="clear"/>
            <w:tcMar>
              <w:top w:type="dxa" w:w="50"/>
              <w:left w:type="dxa" w:w="80"/>
              <w:bottom w:type="dxa" w:w="50"/>
              <w:right w:type="dxa" w:w="80"/>
            </w:tcMar>
          </w:tcPr>
          <w:p>
            <w:r>
              <w:rPr>
                <w:rFonts w:ascii="Arial" w:cs="Arial" w:eastAsia="Arial" w:hAnsi="Arial"/>
                <w:sz w:val="15"/>
                <w:szCs w:val="15"/>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5"/>
                <w:szCs w:val="15"/>
              </w:rPr>
              <w:t xml:space="preserve">Approximately at tolerance</w:t>
            </w:r>
          </w:p>
        </w:tc>
      </w:tr>
      <w:tr>
        <w:tc>
          <w:tcPr>
            <w:tcW w:type="dxa" w:w="748"/>
            <w:tcMar>
              <w:top w:type="dxa" w:w="50"/>
              <w:left w:type="dxa" w:w="80"/>
              <w:bottom w:type="dxa" w:w="50"/>
              <w:right w:type="dxa" w:w="80"/>
            </w:tcMar>
          </w:tcPr>
          <w:p>
            <w:r>
              <w:rPr>
                <w:rFonts w:ascii="Arial" w:cs="Arial" w:eastAsia="Arial" w:hAnsi="Arial"/>
                <w:sz w:val="15"/>
                <w:szCs w:val="15"/>
              </w:rPr>
              <w:t xml:space="preserve">S5</w:t>
            </w:r>
          </w:p>
        </w:tc>
        <w:tc>
          <w:tcPr>
            <w:tcW w:type="dxa" w:w="1497"/>
            <w:tcMar>
              <w:top w:type="dxa" w:w="50"/>
              <w:left w:type="dxa" w:w="80"/>
              <w:bottom w:type="dxa" w:w="50"/>
              <w:right w:type="dxa" w:w="80"/>
            </w:tcMar>
          </w:tcPr>
          <w:p>
            <w:r>
              <w:rPr>
                <w:rFonts w:ascii="Arial" w:cs="Arial" w:eastAsia="Arial" w:hAnsi="Arial"/>
                <w:sz w:val="15"/>
                <w:szCs w:val="15"/>
              </w:rPr>
              <w:t xml:space="preserve">0.119</w:t>
            </w:r>
          </w:p>
        </w:tc>
        <w:tc>
          <w:tcPr>
            <w:tcW w:type="dxa" w:w="1310"/>
            <w:tcMar>
              <w:top w:type="dxa" w:w="50"/>
              <w:left w:type="dxa" w:w="80"/>
              <w:bottom w:type="dxa" w:w="50"/>
              <w:right w:type="dxa" w:w="80"/>
            </w:tcMar>
          </w:tcPr>
          <w:p>
            <w:r>
              <w:rPr>
                <w:rFonts w:ascii="Arial" w:cs="Arial" w:eastAsia="Arial" w:hAnsi="Arial"/>
                <w:sz w:val="15"/>
                <w:szCs w:val="15"/>
              </w:rPr>
              <w:t xml:space="preserve">Moderate</w:t>
            </w:r>
          </w:p>
        </w:tc>
        <w:tc>
          <w:tcPr>
            <w:tcW w:type="dxa" w:w="1684"/>
            <w:tcMar>
              <w:top w:type="dxa" w:w="50"/>
              <w:left w:type="dxa" w:w="80"/>
              <w:bottom w:type="dxa" w:w="50"/>
              <w:right w:type="dxa" w:w="80"/>
            </w:tcMar>
          </w:tcPr>
          <w:p>
            <w:r>
              <w:rPr>
                <w:rFonts w:ascii="Arial" w:cs="Arial" w:eastAsia="Arial" w:hAnsi="Arial"/>
                <w:sz w:val="15"/>
                <w:szCs w:val="15"/>
              </w:rPr>
              <w:t xml:space="preserve">0.072</w:t>
            </w:r>
          </w:p>
        </w:tc>
        <w:tc>
          <w:tcPr>
            <w:tcW w:type="dxa" w:w="1310"/>
            <w:tcMar>
              <w:top w:type="dxa" w:w="50"/>
              <w:left w:type="dxa" w:w="80"/>
              <w:bottom w:type="dxa" w:w="50"/>
              <w:right w:type="dxa" w:w="80"/>
            </w:tcMar>
          </w:tcPr>
          <w:p>
            <w:r>
              <w:rPr>
                <w:rFonts w:ascii="Arial" w:cs="Arial" w:eastAsia="Arial" w:hAnsi="Arial"/>
                <w:sz w:val="15"/>
                <w:szCs w:val="15"/>
              </w:rPr>
              <w:t xml:space="preserve">Moderate</w:t>
            </w:r>
          </w:p>
        </w:tc>
        <w:tc>
          <w:tcPr>
            <w:tcW w:type="dxa" w:w="2811"/>
            <w:tcMar>
              <w:top w:type="dxa" w:w="50"/>
              <w:left w:type="dxa" w:w="80"/>
              <w:bottom w:type="dxa" w:w="50"/>
              <w:right w:type="dxa" w:w="80"/>
            </w:tcMar>
          </w:tcPr>
          <w:p>
            <w:r>
              <w:rPr>
                <w:rFonts w:ascii="Arial" w:cs="Arial" w:eastAsia="Arial" w:hAnsi="Arial"/>
                <w:sz w:val="15"/>
                <w:szCs w:val="15"/>
              </w:rPr>
              <w:t xml:space="preserve">Above tolerance</w:t>
            </w:r>
          </w:p>
        </w:tc>
      </w:tr>
      <w:tr>
        <w:tc>
          <w:tcPr>
            <w:tcW w:type="dxa" w:w="748"/>
            <w:shd w:fill="F2F2F2" w:color="auto" w:val="clear"/>
            <w:tcMar>
              <w:top w:type="dxa" w:w="50"/>
              <w:left w:type="dxa" w:w="80"/>
              <w:bottom w:type="dxa" w:w="50"/>
              <w:right w:type="dxa" w:w="80"/>
            </w:tcMar>
          </w:tcPr>
          <w:p>
            <w:r>
              <w:rPr>
                <w:rFonts w:ascii="Arial" w:cs="Arial" w:eastAsia="Arial" w:hAnsi="Arial"/>
                <w:sz w:val="15"/>
                <w:szCs w:val="15"/>
              </w:rPr>
              <w:t xml:space="preserve">S6</w:t>
            </w:r>
          </w:p>
        </w:tc>
        <w:tc>
          <w:tcPr>
            <w:tcW w:type="dxa" w:w="1497"/>
            <w:shd w:fill="F2F2F2" w:color="auto" w:val="clear"/>
            <w:tcMar>
              <w:top w:type="dxa" w:w="50"/>
              <w:left w:type="dxa" w:w="80"/>
              <w:bottom w:type="dxa" w:w="50"/>
              <w:right w:type="dxa" w:w="80"/>
            </w:tcMar>
          </w:tcPr>
          <w:p>
            <w:r>
              <w:rPr>
                <w:rFonts w:ascii="Arial" w:cs="Arial" w:eastAsia="Arial" w:hAnsi="Arial"/>
                <w:sz w:val="15"/>
                <w:szCs w:val="15"/>
              </w:rPr>
              <w:t xml:space="preserve">0.180</w:t>
            </w:r>
          </w:p>
        </w:tc>
        <w:tc>
          <w:tcPr>
            <w:tcW w:type="dxa" w:w="1310"/>
            <w:shd w:fill="F2F2F2" w:color="auto" w:val="clear"/>
            <w:tcMar>
              <w:top w:type="dxa" w:w="50"/>
              <w:left w:type="dxa" w:w="80"/>
              <w:bottom w:type="dxa" w:w="50"/>
              <w:right w:type="dxa" w:w="80"/>
            </w:tcMar>
          </w:tcPr>
          <w:p>
            <w:r>
              <w:rPr>
                <w:rFonts w:ascii="Arial" w:cs="Arial" w:eastAsia="Arial" w:hAnsi="Arial"/>
                <w:sz w:val="15"/>
                <w:szCs w:val="15"/>
              </w:rPr>
              <w:t xml:space="preserve">High</w:t>
            </w:r>
          </w:p>
        </w:tc>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0.073</w:t>
            </w:r>
          </w:p>
        </w:tc>
        <w:tc>
          <w:tcPr>
            <w:tcW w:type="dxa" w:w="1310"/>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2811"/>
            <w:shd w:fill="F2F2F2" w:color="auto" w:val="clear"/>
            <w:tcMar>
              <w:top w:type="dxa" w:w="50"/>
              <w:left w:type="dxa" w:w="80"/>
              <w:bottom w:type="dxa" w:w="50"/>
              <w:right w:type="dxa" w:w="80"/>
            </w:tcMar>
          </w:tcPr>
          <w:p>
            <w:r>
              <w:rPr>
                <w:rFonts w:ascii="Arial" w:cs="Arial" w:eastAsia="Arial" w:hAnsi="Arial"/>
                <w:sz w:val="15"/>
                <w:szCs w:val="15"/>
              </w:rPr>
              <w:t xml:space="preserve">Approximately at tolerance</w:t>
            </w:r>
          </w:p>
        </w:tc>
      </w:tr>
      <w:tr>
        <w:tc>
          <w:tcPr>
            <w:tcW w:type="dxa" w:w="748"/>
            <w:tcMar>
              <w:top w:type="dxa" w:w="50"/>
              <w:left w:type="dxa" w:w="80"/>
              <w:bottom w:type="dxa" w:w="50"/>
              <w:right w:type="dxa" w:w="80"/>
            </w:tcMar>
          </w:tcPr>
          <w:p>
            <w:r>
              <w:rPr>
                <w:rFonts w:ascii="Arial" w:cs="Arial" w:eastAsia="Arial" w:hAnsi="Arial"/>
                <w:sz w:val="15"/>
                <w:szCs w:val="15"/>
              </w:rPr>
              <w:t xml:space="preserve">S7</w:t>
            </w:r>
          </w:p>
        </w:tc>
        <w:tc>
          <w:tcPr>
            <w:tcW w:type="dxa" w:w="1497"/>
            <w:tcMar>
              <w:top w:type="dxa" w:w="50"/>
              <w:left w:type="dxa" w:w="80"/>
              <w:bottom w:type="dxa" w:w="50"/>
              <w:right w:type="dxa" w:w="80"/>
            </w:tcMar>
          </w:tcPr>
          <w:p>
            <w:r>
              <w:rPr>
                <w:rFonts w:ascii="Arial" w:cs="Arial" w:eastAsia="Arial" w:hAnsi="Arial"/>
                <w:sz w:val="15"/>
                <w:szCs w:val="15"/>
              </w:rPr>
              <w:t xml:space="preserve">0.110</w:t>
            </w:r>
          </w:p>
        </w:tc>
        <w:tc>
          <w:tcPr>
            <w:tcW w:type="dxa" w:w="1310"/>
            <w:tcMar>
              <w:top w:type="dxa" w:w="50"/>
              <w:left w:type="dxa" w:w="80"/>
              <w:bottom w:type="dxa" w:w="50"/>
              <w:right w:type="dxa" w:w="80"/>
            </w:tcMar>
          </w:tcPr>
          <w:p>
            <w:r>
              <w:rPr>
                <w:rFonts w:ascii="Arial" w:cs="Arial" w:eastAsia="Arial" w:hAnsi="Arial"/>
                <w:sz w:val="15"/>
                <w:szCs w:val="15"/>
              </w:rPr>
              <w:t xml:space="preserve">Moderate</w:t>
            </w:r>
          </w:p>
        </w:tc>
        <w:tc>
          <w:tcPr>
            <w:tcW w:type="dxa" w:w="1684"/>
            <w:tcMar>
              <w:top w:type="dxa" w:w="50"/>
              <w:left w:type="dxa" w:w="80"/>
              <w:bottom w:type="dxa" w:w="50"/>
              <w:right w:type="dxa" w:w="80"/>
            </w:tcMar>
          </w:tcPr>
          <w:p>
            <w:r>
              <w:rPr>
                <w:rFonts w:ascii="Arial" w:cs="Arial" w:eastAsia="Arial" w:hAnsi="Arial"/>
                <w:sz w:val="15"/>
                <w:szCs w:val="15"/>
              </w:rPr>
              <w:t xml:space="preserve">0.064</w:t>
            </w:r>
          </w:p>
        </w:tc>
        <w:tc>
          <w:tcPr>
            <w:tcW w:type="dxa" w:w="1310"/>
            <w:tcMar>
              <w:top w:type="dxa" w:w="50"/>
              <w:left w:type="dxa" w:w="80"/>
              <w:bottom w:type="dxa" w:w="50"/>
              <w:right w:type="dxa" w:w="80"/>
            </w:tcMar>
          </w:tcPr>
          <w:p>
            <w:r>
              <w:rPr>
                <w:rFonts w:ascii="Arial" w:cs="Arial" w:eastAsia="Arial" w:hAnsi="Arial"/>
                <w:sz w:val="15"/>
                <w:szCs w:val="15"/>
              </w:rPr>
              <w:t xml:space="preserve">Low</w:t>
            </w:r>
          </w:p>
        </w:tc>
        <w:tc>
          <w:tcPr>
            <w:tcW w:type="dxa" w:w="2811"/>
            <w:tcMar>
              <w:top w:type="dxa" w:w="50"/>
              <w:left w:type="dxa" w:w="80"/>
              <w:bottom w:type="dxa" w:w="50"/>
              <w:right w:type="dxa" w:w="80"/>
            </w:tcMar>
          </w:tcPr>
          <w:p>
            <w:r>
              <w:rPr>
                <w:rFonts w:ascii="Arial" w:cs="Arial" w:eastAsia="Arial" w:hAnsi="Arial"/>
                <w:sz w:val="15"/>
                <w:szCs w:val="15"/>
              </w:rPr>
              <w:t xml:space="preserve">Above tolerance</w:t>
            </w:r>
          </w:p>
        </w:tc>
      </w:tr>
      <w:tr>
        <w:tc>
          <w:tcPr>
            <w:tcW w:type="dxa" w:w="748"/>
            <w:shd w:fill="F2F2F2" w:color="auto" w:val="clear"/>
            <w:tcMar>
              <w:top w:type="dxa" w:w="50"/>
              <w:left w:type="dxa" w:w="80"/>
              <w:bottom w:type="dxa" w:w="50"/>
              <w:right w:type="dxa" w:w="80"/>
            </w:tcMar>
          </w:tcPr>
          <w:p>
            <w:r>
              <w:rPr>
                <w:rFonts w:ascii="Arial" w:cs="Arial" w:eastAsia="Arial" w:hAnsi="Arial"/>
                <w:sz w:val="15"/>
                <w:szCs w:val="15"/>
              </w:rPr>
              <w:t xml:space="preserve">S8</w:t>
            </w:r>
          </w:p>
        </w:tc>
        <w:tc>
          <w:tcPr>
            <w:tcW w:type="dxa" w:w="1497"/>
            <w:shd w:fill="F2F2F2" w:color="auto" w:val="clear"/>
            <w:tcMar>
              <w:top w:type="dxa" w:w="50"/>
              <w:left w:type="dxa" w:w="80"/>
              <w:bottom w:type="dxa" w:w="50"/>
              <w:right w:type="dxa" w:w="80"/>
            </w:tcMar>
          </w:tcPr>
          <w:p>
            <w:r>
              <w:rPr>
                <w:rFonts w:ascii="Arial" w:cs="Arial" w:eastAsia="Arial" w:hAnsi="Arial"/>
                <w:sz w:val="15"/>
                <w:szCs w:val="15"/>
              </w:rPr>
              <w:t xml:space="preserve">0.252</w:t>
            </w:r>
          </w:p>
        </w:tc>
        <w:tc>
          <w:tcPr>
            <w:tcW w:type="dxa" w:w="1310"/>
            <w:shd w:fill="F2F2F2" w:color="auto" w:val="clear"/>
            <w:tcMar>
              <w:top w:type="dxa" w:w="50"/>
              <w:left w:type="dxa" w:w="80"/>
              <w:bottom w:type="dxa" w:w="50"/>
              <w:right w:type="dxa" w:w="80"/>
            </w:tcMar>
          </w:tcPr>
          <w:p>
            <w:r>
              <w:rPr>
                <w:rFonts w:ascii="Arial" w:cs="Arial" w:eastAsia="Arial" w:hAnsi="Arial"/>
                <w:sz w:val="15"/>
                <w:szCs w:val="15"/>
              </w:rPr>
              <w:t xml:space="preserve">Critical</w:t>
            </w:r>
          </w:p>
        </w:tc>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0.111</w:t>
            </w:r>
          </w:p>
        </w:tc>
        <w:tc>
          <w:tcPr>
            <w:tcW w:type="dxa" w:w="1310"/>
            <w:shd w:fill="F2F2F2" w:color="auto" w:val="clear"/>
            <w:tcMar>
              <w:top w:type="dxa" w:w="50"/>
              <w:left w:type="dxa" w:w="80"/>
              <w:bottom w:type="dxa" w:w="50"/>
              <w:right w:type="dxa" w:w="80"/>
            </w:tcMar>
          </w:tcPr>
          <w:p>
            <w:r>
              <w:rPr>
                <w:rFonts w:ascii="Arial" w:cs="Arial" w:eastAsia="Arial" w:hAnsi="Arial"/>
                <w:sz w:val="15"/>
                <w:szCs w:val="15"/>
              </w:rPr>
              <w:t xml:space="preserve">Moderate</w:t>
            </w:r>
          </w:p>
        </w:tc>
        <w:tc>
          <w:tcPr>
            <w:tcW w:type="dxa" w:w="2811"/>
            <w:shd w:fill="F2F2F2" w:color="auto" w:val="clear"/>
            <w:tcMar>
              <w:top w:type="dxa" w:w="50"/>
              <w:left w:type="dxa" w:w="80"/>
              <w:bottom w:type="dxa" w:w="50"/>
              <w:right w:type="dxa" w:w="80"/>
            </w:tcMar>
          </w:tcPr>
          <w:p>
            <w:r>
              <w:rPr>
                <w:rFonts w:ascii="Arial" w:cs="Arial" w:eastAsia="Arial" w:hAnsi="Arial"/>
                <w:sz w:val="15"/>
                <w:szCs w:val="15"/>
              </w:rPr>
              <w:t xml:space="preserve">Approximately at tolerance</w:t>
            </w:r>
          </w:p>
        </w:tc>
      </w:tr>
      <w:tr>
        <w:tc>
          <w:tcPr>
            <w:tcW w:type="dxa" w:w="748"/>
            <w:tcMar>
              <w:top w:type="dxa" w:w="50"/>
              <w:left w:type="dxa" w:w="80"/>
              <w:bottom w:type="dxa" w:w="50"/>
              <w:right w:type="dxa" w:w="80"/>
            </w:tcMar>
          </w:tcPr>
          <w:p>
            <w:r>
              <w:rPr>
                <w:rFonts w:ascii="Arial" w:cs="Arial" w:eastAsia="Arial" w:hAnsi="Arial"/>
                <w:sz w:val="15"/>
                <w:szCs w:val="15"/>
              </w:rPr>
              <w:t xml:space="preserve">S9</w:t>
            </w:r>
          </w:p>
        </w:tc>
        <w:tc>
          <w:tcPr>
            <w:tcW w:type="dxa" w:w="1497"/>
            <w:tcMar>
              <w:top w:type="dxa" w:w="50"/>
              <w:left w:type="dxa" w:w="80"/>
              <w:bottom w:type="dxa" w:w="50"/>
              <w:right w:type="dxa" w:w="80"/>
            </w:tcMar>
          </w:tcPr>
          <w:p>
            <w:r>
              <w:rPr>
                <w:rFonts w:ascii="Arial" w:cs="Arial" w:eastAsia="Arial" w:hAnsi="Arial"/>
                <w:sz w:val="15"/>
                <w:szCs w:val="15"/>
              </w:rPr>
              <w:t xml:space="preserve">0.121</w:t>
            </w:r>
          </w:p>
        </w:tc>
        <w:tc>
          <w:tcPr>
            <w:tcW w:type="dxa" w:w="1310"/>
            <w:tcMar>
              <w:top w:type="dxa" w:w="50"/>
              <w:left w:type="dxa" w:w="80"/>
              <w:bottom w:type="dxa" w:w="50"/>
              <w:right w:type="dxa" w:w="80"/>
            </w:tcMar>
          </w:tcPr>
          <w:p>
            <w:r>
              <w:rPr>
                <w:rFonts w:ascii="Arial" w:cs="Arial" w:eastAsia="Arial" w:hAnsi="Arial"/>
                <w:sz w:val="15"/>
                <w:szCs w:val="15"/>
              </w:rPr>
              <w:t xml:space="preserve">Moderate</w:t>
            </w:r>
          </w:p>
        </w:tc>
        <w:tc>
          <w:tcPr>
            <w:tcW w:type="dxa" w:w="1684"/>
            <w:tcMar>
              <w:top w:type="dxa" w:w="50"/>
              <w:left w:type="dxa" w:w="80"/>
              <w:bottom w:type="dxa" w:w="50"/>
              <w:right w:type="dxa" w:w="80"/>
            </w:tcMar>
          </w:tcPr>
          <w:p>
            <w:r>
              <w:rPr>
                <w:rFonts w:ascii="Arial" w:cs="Arial" w:eastAsia="Arial" w:hAnsi="Arial"/>
                <w:sz w:val="15"/>
                <w:szCs w:val="15"/>
              </w:rPr>
              <w:t xml:space="preserve">0.074</w:t>
            </w:r>
          </w:p>
        </w:tc>
        <w:tc>
          <w:tcPr>
            <w:tcW w:type="dxa" w:w="1310"/>
            <w:tcMar>
              <w:top w:type="dxa" w:w="50"/>
              <w:left w:type="dxa" w:w="80"/>
              <w:bottom w:type="dxa" w:w="50"/>
              <w:right w:type="dxa" w:w="80"/>
            </w:tcMar>
          </w:tcPr>
          <w:p>
            <w:r>
              <w:rPr>
                <w:rFonts w:ascii="Arial" w:cs="Arial" w:eastAsia="Arial" w:hAnsi="Arial"/>
                <w:sz w:val="15"/>
                <w:szCs w:val="15"/>
              </w:rPr>
              <w:t xml:space="preserve">Moderate</w:t>
            </w:r>
          </w:p>
        </w:tc>
        <w:tc>
          <w:tcPr>
            <w:tcW w:type="dxa" w:w="2811"/>
            <w:tcMar>
              <w:top w:type="dxa" w:w="50"/>
              <w:left w:type="dxa" w:w="80"/>
              <w:bottom w:type="dxa" w:w="50"/>
              <w:right w:type="dxa" w:w="80"/>
            </w:tcMar>
          </w:tcPr>
          <w:p>
            <w:r>
              <w:rPr>
                <w:rFonts w:ascii="Arial" w:cs="Arial" w:eastAsia="Arial" w:hAnsi="Arial"/>
                <w:sz w:val="15"/>
                <w:szCs w:val="15"/>
              </w:rPr>
              <w:t xml:space="preserve">Above tolerance</w:t>
            </w:r>
          </w:p>
        </w:tc>
      </w:tr>
      <w:tr>
        <w:tc>
          <w:tcPr>
            <w:tcW w:type="dxa" w:w="748"/>
            <w:shd w:fill="F2F2F2" w:color="auto" w:val="clear"/>
            <w:tcMar>
              <w:top w:type="dxa" w:w="50"/>
              <w:left w:type="dxa" w:w="80"/>
              <w:bottom w:type="dxa" w:w="50"/>
              <w:right w:type="dxa" w:w="80"/>
            </w:tcMar>
          </w:tcPr>
          <w:p>
            <w:r>
              <w:rPr>
                <w:rFonts w:ascii="Arial" w:cs="Arial" w:eastAsia="Arial" w:hAnsi="Arial"/>
                <w:sz w:val="15"/>
                <w:szCs w:val="15"/>
              </w:rPr>
              <w:t xml:space="preserve">S10</w:t>
            </w:r>
          </w:p>
        </w:tc>
        <w:tc>
          <w:tcPr>
            <w:tcW w:type="dxa" w:w="1497"/>
            <w:shd w:fill="F2F2F2" w:color="auto" w:val="clear"/>
            <w:tcMar>
              <w:top w:type="dxa" w:w="50"/>
              <w:left w:type="dxa" w:w="80"/>
              <w:bottom w:type="dxa" w:w="50"/>
              <w:right w:type="dxa" w:w="80"/>
            </w:tcMar>
          </w:tcPr>
          <w:p>
            <w:r>
              <w:rPr>
                <w:rFonts w:ascii="Arial" w:cs="Arial" w:eastAsia="Arial" w:hAnsi="Arial"/>
                <w:sz w:val="15"/>
                <w:szCs w:val="15"/>
              </w:rPr>
              <w:t xml:space="preserve">0.054</w:t>
            </w:r>
          </w:p>
        </w:tc>
        <w:tc>
          <w:tcPr>
            <w:tcW w:type="dxa" w:w="1310"/>
            <w:shd w:fill="F2F2F2" w:color="auto" w:val="clear"/>
            <w:tcMar>
              <w:top w:type="dxa" w:w="50"/>
              <w:left w:type="dxa" w:w="80"/>
              <w:bottom w:type="dxa" w:w="50"/>
              <w:right w:type="dxa" w:w="80"/>
            </w:tcMar>
          </w:tcPr>
          <w:p>
            <w:r>
              <w:rPr>
                <w:rFonts w:ascii="Arial" w:cs="Arial" w:eastAsia="Arial" w:hAnsi="Arial"/>
                <w:sz w:val="15"/>
                <w:szCs w:val="15"/>
              </w:rPr>
              <w:t xml:space="preserve">Low</w:t>
            </w:r>
          </w:p>
        </w:tc>
        <w:tc>
          <w:tcPr>
            <w:tcW w:type="dxa" w:w="1684"/>
            <w:shd w:fill="F2F2F2" w:color="auto" w:val="clear"/>
            <w:tcMar>
              <w:top w:type="dxa" w:w="50"/>
              <w:left w:type="dxa" w:w="80"/>
              <w:bottom w:type="dxa" w:w="50"/>
              <w:right w:type="dxa" w:w="80"/>
            </w:tcMar>
          </w:tcPr>
          <w:p>
            <w:r>
              <w:rPr>
                <w:rFonts w:ascii="Arial" w:cs="Arial" w:eastAsia="Arial" w:hAnsi="Arial"/>
                <w:sz w:val="15"/>
                <w:szCs w:val="15"/>
              </w:rPr>
              <w:t xml:space="preserve">0.026</w:t>
            </w:r>
          </w:p>
        </w:tc>
        <w:tc>
          <w:tcPr>
            <w:tcW w:type="dxa" w:w="1310"/>
            <w:shd w:fill="F2F2F2" w:color="auto" w:val="clear"/>
            <w:tcMar>
              <w:top w:type="dxa" w:w="50"/>
              <w:left w:type="dxa" w:w="80"/>
              <w:bottom w:type="dxa" w:w="50"/>
              <w:right w:type="dxa" w:w="80"/>
            </w:tcMar>
          </w:tcPr>
          <w:p>
            <w:r>
              <w:rPr>
                <w:rFonts w:ascii="Arial" w:cs="Arial" w:eastAsia="Arial" w:hAnsi="Arial"/>
                <w:sz w:val="15"/>
                <w:szCs w:val="15"/>
              </w:rPr>
              <w:t xml:space="preserve">Low</w:t>
            </w:r>
          </w:p>
        </w:tc>
        <w:tc>
          <w:tcPr>
            <w:tcW w:type="dxa" w:w="2811"/>
            <w:shd w:fill="F2F2F2" w:color="auto" w:val="clear"/>
            <w:tcMar>
              <w:top w:type="dxa" w:w="50"/>
              <w:left w:type="dxa" w:w="80"/>
              <w:bottom w:type="dxa" w:w="50"/>
              <w:right w:type="dxa" w:w="80"/>
            </w:tcMar>
          </w:tcPr>
          <w:p>
            <w:r>
              <w:rPr>
                <w:rFonts w:ascii="Arial" w:cs="Arial" w:eastAsia="Arial" w:hAnsi="Arial"/>
                <w:sz w:val="15"/>
                <w:szCs w:val="15"/>
              </w:rPr>
              <w:t xml:space="preserve">Above tolerance</w:t>
            </w:r>
          </w:p>
        </w:tc>
      </w:tr>
    </w:tbl>
    <w:p>
      <w:pPr>
        <w:spacing w:after="80"/>
      </w:pPr>
    </w:p>
    <w:p>
      <w:pPr>
        <w:spacing w:after="120"/>
      </w:pPr>
      <w:r>
        <w:rPr>
          <w:rFonts w:ascii="Arial" w:cs="Arial" w:eastAsia="Arial" w:hAnsi="Arial"/>
          <w:b/>
          <w:bCs/>
        </w:rPr>
        <w:t xml:space="preserve">Reading.</w:t>
      </w:r>
      <w:r>
        <w:rPr>
          <w:rFonts w:ascii="Arial" w:cs="Arial" w:eastAsia="Arial" w:hAnsi="Arial"/>
        </w:rPr>
        <w:t xml:space="preserve"> Under the case method, S8 is Critical today and S1, S2, S6 are High; after treatment all fall to Moderate or Low and within CIO acceptance authority. The CyberRiskGuardian ratio is more demanding because it compares damage directly with appetite. The two lenses should be reconciled before they are used for governance. In any case, the patient-safety clause of the appetite statement means S7 and S10 require clinical-leadership acceptance whatever their score.</w:t>
      </w:r>
    </w:p>
    <w:p>
      <w:pPr>
        <w:pStyle w:val="Heading1"/>
        <w:pageBreakBefore/>
      </w:pPr>
      <w:r>
        <w:rPr>
          <w:rFonts w:ascii="Arial" w:cs="Arial" w:eastAsia="Arial" w:hAnsi="Arial"/>
        </w:rPr>
        <w:t xml:space="preserve">14. Assumptions, limitations and methodological notes</w:t>
      </w:r>
    </w:p>
    <w:p>
      <w:pPr>
        <w:pStyle w:val="Heading2"/>
      </w:pPr>
      <w:r>
        <w:rPr>
          <w:rFonts w:ascii="Arial" w:cs="Arial" w:eastAsia="Arial" w:hAnsi="Arial"/>
        </w:rPr>
        <w:t xml:space="preserve">14.1 Key assumptions</w:t>
      </w:r>
    </w:p>
    <w:p>
      <w:pPr>
        <w:pStyle w:val="ListParagraph"/>
        <w:numPr>
          <w:ilvl w:val="0"/>
          <w:numId w:val="2"/>
        </w:numPr>
        <w:spacing w:after="60"/>
      </w:pPr>
      <w:r>
        <w:rPr>
          <w:rFonts w:ascii="Arial" w:cs="Arial" w:eastAsia="Arial" w:hAnsi="Arial"/>
        </w:rPr>
        <w:t xml:space="preserve">Exercise evidence (phishing lure, closed PowerShell alert, MFA push approval, cloud download, service-account queries, backup failures) is treated as indicative of control weaknesses, not as a confirmed incident.</w:t>
      </w:r>
    </w:p>
    <w:p>
      <w:pPr>
        <w:pStyle w:val="ListParagraph"/>
        <w:numPr>
          <w:ilvl w:val="0"/>
          <w:numId w:val="2"/>
        </w:numPr>
        <w:spacing w:after="60"/>
      </w:pPr>
      <w:r>
        <w:rPr>
          <w:rFonts w:ascii="Arial" w:cs="Arial" w:eastAsia="Arial" w:hAnsi="Arial"/>
        </w:rPr>
        <w:t xml:space="preserve">Controls not mentioned in the case (SIEM, PAM, segmentation, immutable backup, DLP, vendor programme, DDoS protection) are assumed absent or immature.</w:t>
      </w:r>
    </w:p>
    <w:p>
      <w:pPr>
        <w:pStyle w:val="ListParagraph"/>
        <w:numPr>
          <w:ilvl w:val="0"/>
          <w:numId w:val="2"/>
        </w:numPr>
        <w:spacing w:after="60"/>
      </w:pPr>
      <w:r>
        <w:rPr>
          <w:rFonts w:ascii="Arial" w:cs="Arial" w:eastAsia="Arial" w:hAnsi="Arial"/>
        </w:rPr>
        <w:t xml:space="preserve">Push-based MFA is assumed to protect remote access; coverage of EHR, cloud and privileged accounts is unknown.</w:t>
      </w:r>
    </w:p>
    <w:p>
      <w:pPr>
        <w:pStyle w:val="ListParagraph"/>
        <w:numPr>
          <w:ilvl w:val="0"/>
          <w:numId w:val="2"/>
        </w:numPr>
        <w:spacing w:after="60"/>
      </w:pPr>
      <w:r>
        <w:rPr>
          <w:rFonts w:ascii="Arial" w:cs="Arial" w:eastAsia="Arial" w:hAnsi="Arial"/>
        </w:rPr>
        <w:t xml:space="preserve">Costs are Canadian mid-market indicative estimates for an organization of this size; no quotations were obtained.</w:t>
      </w:r>
    </w:p>
    <w:p>
      <w:pPr>
        <w:pStyle w:val="ListParagraph"/>
        <w:numPr>
          <w:ilvl w:val="0"/>
          <w:numId w:val="2"/>
        </w:numPr>
        <w:spacing w:after="60"/>
      </w:pPr>
      <w:r>
        <w:rPr>
          <w:rFonts w:ascii="Arial" w:cs="Arial" w:eastAsia="Arial" w:hAnsi="Arial"/>
        </w:rPr>
        <w:t xml:space="preserve">Treatment effectiveness assumes full, well-configured implementation and adequate operating staff.</w:t>
      </w:r>
    </w:p>
    <w:p>
      <w:pPr>
        <w:pStyle w:val="ListParagraph"/>
        <w:numPr>
          <w:ilvl w:val="0"/>
          <w:numId w:val="2"/>
        </w:numPr>
        <w:spacing w:after="60"/>
      </w:pPr>
      <w:r>
        <w:rPr>
          <w:rFonts w:ascii="Arial" w:cs="Arial" w:eastAsia="Arial" w:hAnsi="Arial"/>
        </w:rPr>
        <w:t xml:space="preserve">Equal split of shared-initiative costs across scenarios is a convention for cost-effectiveness only; it does not change portfolio totals.</w:t>
      </w:r>
    </w:p>
    <w:p>
      <w:pPr>
        <w:pStyle w:val="Heading2"/>
      </w:pPr>
      <w:r>
        <w:rPr>
          <w:rFonts w:ascii="Arial" w:cs="Arial" w:eastAsia="Arial" w:hAnsi="Arial"/>
        </w:rPr>
        <w:t xml:space="preserve">14.2 Information gaps - organizational input required</w:t>
      </w:r>
    </w:p>
    <w:p>
      <w:pPr>
        <w:pStyle w:val="ListParagraph"/>
        <w:numPr>
          <w:ilvl w:val="0"/>
          <w:numId w:val="2"/>
        </w:numPr>
        <w:spacing w:after="60"/>
      </w:pPr>
      <w:r>
        <w:rPr>
          <w:rFonts w:ascii="Arial" w:cs="Arial" w:eastAsia="Arial" w:hAnsi="Arial"/>
        </w:rPr>
        <w:t xml:space="preserve">Asset and medical-device inventories; network diagrams and segmentation; internet-facing services.</w:t>
      </w:r>
    </w:p>
    <w:p>
      <w:pPr>
        <w:pStyle w:val="ListParagraph"/>
        <w:numPr>
          <w:ilvl w:val="0"/>
          <w:numId w:val="2"/>
        </w:numPr>
        <w:spacing w:after="60"/>
      </w:pPr>
      <w:r>
        <w:rPr>
          <w:rFonts w:ascii="Arial" w:cs="Arial" w:eastAsia="Arial" w:hAnsi="Arial"/>
        </w:rPr>
        <w:t xml:space="preserve">Identity architecture: MFA coverage and method, privileged and service accounts, conditional access.</w:t>
      </w:r>
    </w:p>
    <w:p>
      <w:pPr>
        <w:pStyle w:val="ListParagraph"/>
        <w:numPr>
          <w:ilvl w:val="0"/>
          <w:numId w:val="2"/>
        </w:numPr>
        <w:spacing w:after="60"/>
      </w:pPr>
      <w:r>
        <w:rPr>
          <w:rFonts w:ascii="Arial" w:cs="Arial" w:eastAsia="Arial" w:hAnsi="Arial"/>
        </w:rPr>
        <w:t xml:space="preserve">Backup architecture, retention, immutability, RTO/RPO and restore-test results.</w:t>
      </w:r>
    </w:p>
    <w:p>
      <w:pPr>
        <w:pStyle w:val="ListParagraph"/>
        <w:numPr>
          <w:ilvl w:val="0"/>
          <w:numId w:val="2"/>
        </w:numPr>
        <w:spacing w:after="60"/>
      </w:pPr>
      <w:r>
        <w:rPr>
          <w:rFonts w:ascii="Arial" w:cs="Arial" w:eastAsia="Arial" w:hAnsi="Arial"/>
        </w:rPr>
        <w:t xml:space="preserve">Cloud tenant configuration, sharing practices and logging.</w:t>
      </w:r>
    </w:p>
    <w:p>
      <w:pPr>
        <w:pStyle w:val="ListParagraph"/>
        <w:numPr>
          <w:ilvl w:val="0"/>
          <w:numId w:val="2"/>
        </w:numPr>
        <w:spacing w:after="60"/>
      </w:pPr>
      <w:r>
        <w:rPr>
          <w:rFonts w:ascii="Arial" w:cs="Arial" w:eastAsia="Arial" w:hAnsi="Arial"/>
        </w:rPr>
        <w:t xml:space="preserve">Vulnerability scan results, patch SLAs and end-of-life systems.</w:t>
      </w:r>
    </w:p>
    <w:p>
      <w:pPr>
        <w:pStyle w:val="ListParagraph"/>
        <w:numPr>
          <w:ilvl w:val="0"/>
          <w:numId w:val="2"/>
        </w:numPr>
        <w:spacing w:after="60"/>
      </w:pPr>
      <w:r>
        <w:rPr>
          <w:rFonts w:ascii="Arial" w:cs="Arial" w:eastAsia="Arial" w:hAnsi="Arial"/>
        </w:rPr>
        <w:t xml:space="preserve">Critical vendor list, contracts, remote-access methods and assurance reports.</w:t>
      </w:r>
    </w:p>
    <w:p>
      <w:pPr>
        <w:pStyle w:val="ListParagraph"/>
        <w:numPr>
          <w:ilvl w:val="0"/>
          <w:numId w:val="2"/>
        </w:numPr>
        <w:spacing w:after="60"/>
      </w:pPr>
      <w:r>
        <w:rPr>
          <w:rFonts w:ascii="Arial" w:cs="Arial" w:eastAsia="Arial" w:hAnsi="Arial"/>
        </w:rPr>
        <w:t xml:space="preserve">Incident history since 2020 and how attempts were detected; log retention.</w:t>
      </w:r>
    </w:p>
    <w:p>
      <w:pPr>
        <w:pStyle w:val="ListParagraph"/>
        <w:numPr>
          <w:ilvl w:val="0"/>
          <w:numId w:val="2"/>
        </w:numPr>
        <w:spacing w:after="60"/>
      </w:pPr>
      <w:r>
        <w:rPr>
          <w:rFonts w:ascii="Arial" w:cs="Arial" w:eastAsia="Arial" w:hAnsi="Arial"/>
        </w:rPr>
        <w:t xml:space="preserve">Cybersecurity budget (the stated CAD 100M IT budget appears inconsistent with a 15-person IT team) and cyber-insurance coverage.</w:t>
      </w:r>
    </w:p>
    <w:p>
      <w:pPr>
        <w:pStyle w:val="ListParagraph"/>
        <w:numPr>
          <w:ilvl w:val="0"/>
          <w:numId w:val="2"/>
        </w:numPr>
        <w:spacing w:after="60"/>
      </w:pPr>
      <w:r>
        <w:rPr>
          <w:rFonts w:ascii="Arial" w:cs="Arial" w:eastAsia="Arial" w:hAnsi="Arial"/>
        </w:rPr>
        <w:t xml:space="preserve">Applicable privacy regime and notification obligations (legal counsel).</w:t>
      </w:r>
    </w:p>
    <w:p>
      <w:pPr>
        <w:pStyle w:val="Heading2"/>
      </w:pPr>
      <w:r>
        <w:rPr>
          <w:rFonts w:ascii="Arial" w:cs="Arial" w:eastAsia="Arial" w:hAnsi="Arial"/>
        </w:rPr>
        <w:t xml:space="preserve">14.3 Methodological observations</w:t>
      </w:r>
    </w:p>
    <w:p>
      <w:pPr>
        <w:pStyle w:val="ListParagraph"/>
        <w:numPr>
          <w:ilvl w:val="0"/>
          <w:numId w:val="2"/>
        </w:numPr>
        <w:spacing w:after="60"/>
      </w:pPr>
      <w:r>
        <w:rPr>
          <w:rFonts w:ascii="Arial" w:cs="Arial" w:eastAsia="Arial" w:hAnsi="Arial"/>
          <w:b/>
          <w:bCs/>
        </w:rPr>
        <w:t xml:space="preserve">The tolerance test depends only on damage, treatment and appetite.</w:t>
      </w:r>
      <w:r>
        <w:rPr>
          <w:rFonts w:ascii="Arial" w:cs="Arial" w:eastAsia="Arial" w:hAnsi="Arial"/>
        </w:rPr>
        <w:t xml:space="preserve"> Residual / Tolerated simplifies to ((de + dm)/2) x (1 - P x Q) / Appetite: probabilities, CVSS, resilience and criticality cancel out. They drive the magnitude used for ranking, but a rare scenario and a frequent one with the same damage and treatment receive the same tolerance verdict. Read the ratio together with estimated risk.</w:t>
      </w:r>
    </w:p>
    <w:p>
      <w:pPr>
        <w:pStyle w:val="ListParagraph"/>
        <w:numPr>
          <w:ilvl w:val="0"/>
          <w:numId w:val="2"/>
        </w:numPr>
        <w:spacing w:after="60"/>
      </w:pPr>
      <w:r>
        <w:rPr>
          <w:rFonts w:ascii="Arial" w:cs="Arial" w:eastAsia="Arial" w:hAnsi="Arial"/>
          <w:b/>
          <w:bCs/>
        </w:rPr>
        <w:t xml:space="preserve">CVSS is a required multiplier even where it does not fit.</w:t>
      </w:r>
      <w:r>
        <w:rPr>
          <w:rFonts w:ascii="Arial" w:cs="Arial" w:eastAsia="Arial" w:hAnsi="Arial"/>
        </w:rPr>
        <w:t xml:space="preserve"> For S5, S8 and S9 a representative weakness was scored so the workbook produces a value; these scores are flagged as limited applicability and must not be read as the severity of insider, detection or supplier risk.</w:t>
      </w:r>
    </w:p>
    <w:p>
      <w:pPr>
        <w:pStyle w:val="ListParagraph"/>
        <w:numPr>
          <w:ilvl w:val="0"/>
          <w:numId w:val="2"/>
        </w:numPr>
        <w:spacing w:after="60"/>
      </w:pPr>
      <w:r>
        <w:rPr>
          <w:rFonts w:ascii="Arial" w:cs="Arial" w:eastAsia="Arial" w:hAnsi="Arial"/>
          <w:b/>
          <w:bCs/>
        </w:rPr>
        <w:t xml:space="preserve">Mitigation is multiplicative.</w:t>
      </w:r>
      <w:r>
        <w:rPr>
          <w:rFonts w:ascii="Arial" w:cs="Arial" w:eastAsia="Arial" w:hAnsi="Arial"/>
        </w:rPr>
        <w:t xml:space="preserve"> Mitigated = Estimated x P x Q, so 80% probability and 80% impact reduction remove 64% of risk - a conservative convention that makes 'below tolerance' hard to reach for high-damage scenarios.</w:t>
      </w:r>
    </w:p>
    <w:p>
      <w:pPr>
        <w:pStyle w:val="ListParagraph"/>
        <w:numPr>
          <w:ilvl w:val="0"/>
          <w:numId w:val="2"/>
        </w:numPr>
        <w:spacing w:after="60"/>
      </w:pPr>
      <w:r>
        <w:rPr>
          <w:rFonts w:ascii="Arial" w:cs="Arial" w:eastAsia="Arial" w:hAnsi="Arial"/>
          <w:b/>
          <w:bCs/>
        </w:rPr>
        <w:t xml:space="preserve">Two scoring lenses disagree</w:t>
      </w:r>
      <w:r>
        <w:rPr>
          <w:rFonts w:ascii="Arial" w:cs="Arial" w:eastAsia="Arial" w:hAnsi="Arial"/>
        </w:rPr>
        <w:t xml:space="preserve"> (Section 13). Governance thresholds should be tied to one method.</w:t>
      </w:r>
    </w:p>
    <w:p>
      <w:pPr>
        <w:pStyle w:val="ListParagraph"/>
        <w:numPr>
          <w:ilvl w:val="0"/>
          <w:numId w:val="2"/>
        </w:numPr>
        <w:spacing w:after="60"/>
      </w:pPr>
      <w:r>
        <w:rPr>
          <w:rFonts w:ascii="Arial" w:cs="Arial" w:eastAsia="Arial" w:hAnsi="Arial"/>
          <w:b/>
          <w:bCs/>
        </w:rPr>
        <w:t xml:space="preserve">Limitations.</w:t>
      </w:r>
      <w:r>
        <w:rPr>
          <w:rFonts w:ascii="Arial" w:cs="Arial" w:eastAsia="Arial" w:hAnsi="Arial"/>
        </w:rPr>
        <w:t xml:space="preserve"> Desk-based assessment of a fictional case; no interviews, testing or technical data; AI-assisted estimates. Results are initial analytical hypotheses to be validated with IT, cybersecurity, privacy, clinical leadership and vendors.</w:t>
      </w:r>
    </w:p>
    <w:p>
      <w:pPr>
        <w:pStyle w:val="Heading1"/>
        <w:pageBreakBefore/>
      </w:pPr>
      <w:r>
        <w:rPr>
          <w:rFonts w:ascii="Arial" w:cs="Arial" w:eastAsia="Arial" w:hAnsi="Arial"/>
        </w:rPr>
        <w:t xml:space="preserve">15. Management decisions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
        <w:gridCol w:w="1872"/>
        <w:gridCol w:w="1872"/>
        <w:gridCol w:w="3369"/>
        <w:gridCol w:w="1873"/>
      </w:tblGrid>
      <w:tr>
        <w:trPr>
          <w:tblHeader/>
        </w:trPr>
        <w:tc>
          <w:tcPr>
            <w:tcW w:type="dxa" w:w="374"/>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Decision</w:t>
            </w:r>
          </w:p>
        </w:tc>
        <w:tc>
          <w:tcPr>
            <w:tcW w:type="dxa" w:w="1872"/>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Options</w:t>
            </w:r>
          </w:p>
        </w:tc>
        <w:tc>
          <w:tcPr>
            <w:tcW w:type="dxa" w:w="3369"/>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Recommended</w:t>
            </w:r>
          </w:p>
        </w:tc>
        <w:tc>
          <w:tcPr>
            <w:tcW w:type="dxa" w:w="1873"/>
            <w:shd w:fill="1F3864" w:color="auto" w:val="clear"/>
            <w:tcMar>
              <w:top w:type="dxa" w:w="50"/>
              <w:left w:type="dxa" w:w="80"/>
              <w:bottom w:type="dxa" w:w="50"/>
              <w:right w:type="dxa" w:w="80"/>
            </w:tcMar>
          </w:tcPr>
          <w:p>
            <w:r>
              <w:rPr>
                <w:rFonts w:ascii="Arial" w:cs="Arial" w:eastAsia="Arial" w:hAnsi="Arial"/>
                <w:b/>
                <w:bCs/>
                <w:color w:val="FFFFFF"/>
                <w:sz w:val="15"/>
                <w:szCs w:val="15"/>
              </w:rPr>
              <w:t xml:space="preserve">Authority</w:t>
            </w:r>
          </w:p>
        </w:tc>
      </w:tr>
      <w:tr>
        <w:tc>
          <w:tcPr>
            <w:tcW w:type="dxa" w:w="374"/>
            <w:tcMar>
              <w:top w:type="dxa" w:w="50"/>
              <w:left w:type="dxa" w:w="80"/>
              <w:bottom w:type="dxa" w:w="50"/>
              <w:right w:type="dxa" w:w="80"/>
            </w:tcMar>
          </w:tcPr>
          <w:p>
            <w:r>
              <w:rPr>
                <w:rFonts w:ascii="Arial" w:cs="Arial" w:eastAsia="Arial" w:hAnsi="Arial"/>
                <w:sz w:val="15"/>
                <w:szCs w:val="15"/>
              </w:rPr>
              <w:t xml:space="preserve">D1</w:t>
            </w:r>
          </w:p>
        </w:tc>
        <w:tc>
          <w:tcPr>
            <w:tcW w:type="dxa" w:w="1872"/>
            <w:tcMar>
              <w:top w:type="dxa" w:w="50"/>
              <w:left w:type="dxa" w:w="80"/>
              <w:bottom w:type="dxa" w:w="50"/>
              <w:right w:type="dxa" w:w="80"/>
            </w:tcMar>
          </w:tcPr>
          <w:p>
            <w:r>
              <w:rPr>
                <w:rFonts w:ascii="Arial" w:cs="Arial" w:eastAsia="Arial" w:hAnsi="Arial"/>
                <w:sz w:val="15"/>
                <w:szCs w:val="15"/>
              </w:rPr>
              <w:t xml:space="preserve">Confirm cybersecurity risk appetite</w:t>
            </w:r>
          </w:p>
        </w:tc>
        <w:tc>
          <w:tcPr>
            <w:tcW w:type="dxa" w:w="1872"/>
            <w:tcMar>
              <w:top w:type="dxa" w:w="50"/>
              <w:left w:type="dxa" w:w="80"/>
              <w:bottom w:type="dxa" w:w="50"/>
              <w:right w:type="dxa" w:w="80"/>
            </w:tcMar>
          </w:tcPr>
          <w:p>
            <w:r>
              <w:rPr>
                <w:rFonts w:ascii="Arial" w:cs="Arial" w:eastAsia="Arial" w:hAnsi="Arial"/>
                <w:sz w:val="15"/>
                <w:szCs w:val="15"/>
              </w:rPr>
              <w:t xml:space="preserve">0.30 (analyst) / 0.40 (case) / other</w:t>
            </w:r>
          </w:p>
        </w:tc>
        <w:tc>
          <w:tcPr>
            <w:tcW w:type="dxa" w:w="3369"/>
            <w:tcMar>
              <w:top w:type="dxa" w:w="50"/>
              <w:left w:type="dxa" w:w="80"/>
              <w:bottom w:type="dxa" w:w="50"/>
              <w:right w:type="dxa" w:w="80"/>
            </w:tcMar>
          </w:tcPr>
          <w:p>
            <w:r>
              <w:rPr>
                <w:rFonts w:ascii="Arial" w:cs="Arial" w:eastAsia="Arial" w:hAnsi="Arial"/>
                <w:sz w:val="15"/>
                <w:szCs w:val="15"/>
              </w:rPr>
              <w:t xml:space="preserve">Adopt 0.30 for patient-safety and health-data risks; document separately any higher appetite for innovation</w:t>
            </w:r>
          </w:p>
        </w:tc>
        <w:tc>
          <w:tcPr>
            <w:tcW w:type="dxa" w:w="1873"/>
            <w:tcMar>
              <w:top w:type="dxa" w:w="50"/>
              <w:left w:type="dxa" w:w="80"/>
              <w:bottom w:type="dxa" w:w="50"/>
              <w:right w:type="dxa" w:w="80"/>
            </w:tcMar>
          </w:tcPr>
          <w:p>
            <w:r>
              <w:rPr>
                <w:rFonts w:ascii="Arial" w:cs="Arial" w:eastAsia="Arial" w:hAnsi="Arial"/>
                <w:sz w:val="15"/>
                <w:szCs w:val="15"/>
              </w:rPr>
              <w:t xml:space="preserve">Board / ownership group</w:t>
            </w:r>
          </w:p>
        </w:tc>
      </w:tr>
      <w:tr>
        <w:tc>
          <w:tcPr>
            <w:tcW w:type="dxa" w:w="374"/>
            <w:shd w:fill="F2F2F2" w:color="auto" w:val="clear"/>
            <w:tcMar>
              <w:top w:type="dxa" w:w="50"/>
              <w:left w:type="dxa" w:w="80"/>
              <w:bottom w:type="dxa" w:w="50"/>
              <w:right w:type="dxa" w:w="80"/>
            </w:tcMar>
          </w:tcPr>
          <w:p>
            <w:r>
              <w:rPr>
                <w:rFonts w:ascii="Arial" w:cs="Arial" w:eastAsia="Arial" w:hAnsi="Arial"/>
                <w:sz w:val="15"/>
                <w:szCs w:val="15"/>
              </w:rPr>
              <w:t xml:space="preserve">D2</w:t>
            </w:r>
          </w:p>
        </w:tc>
        <w:tc>
          <w:tcPr>
            <w:tcW w:type="dxa" w:w="1872"/>
            <w:shd w:fill="F2F2F2" w:color="auto" w:val="clear"/>
            <w:tcMar>
              <w:top w:type="dxa" w:w="50"/>
              <w:left w:type="dxa" w:w="80"/>
              <w:bottom w:type="dxa" w:w="50"/>
              <w:right w:type="dxa" w:w="80"/>
            </w:tcMar>
          </w:tcPr>
          <w:p>
            <w:r>
              <w:rPr>
                <w:rFonts w:ascii="Arial" w:cs="Arial" w:eastAsia="Arial" w:hAnsi="Arial"/>
                <w:sz w:val="15"/>
                <w:szCs w:val="15"/>
              </w:rPr>
              <w:t xml:space="preserve">Approve treatment portfolio</w:t>
            </w:r>
          </w:p>
        </w:tc>
        <w:tc>
          <w:tcPr>
            <w:tcW w:type="dxa" w:w="1872"/>
            <w:shd w:fill="F2F2F2" w:color="auto" w:val="clear"/>
            <w:tcMar>
              <w:top w:type="dxa" w:w="50"/>
              <w:left w:type="dxa" w:w="80"/>
              <w:bottom w:type="dxa" w:w="50"/>
              <w:right w:type="dxa" w:w="80"/>
            </w:tcMar>
          </w:tcPr>
          <w:p>
            <w:r>
              <w:rPr>
                <w:rFonts w:ascii="Arial" w:cs="Arial" w:eastAsia="Arial" w:hAnsi="Arial"/>
                <w:sz w:val="15"/>
                <w:szCs w:val="15"/>
              </w:rPr>
              <w:t xml:space="preserve">Full ($3,866,000 Y1) / phased / partial</w:t>
            </w:r>
          </w:p>
        </w:tc>
        <w:tc>
          <w:tcPr>
            <w:tcW w:type="dxa" w:w="3369"/>
            <w:shd w:fill="F2F2F2" w:color="auto" w:val="clear"/>
            <w:tcMar>
              <w:top w:type="dxa" w:w="50"/>
              <w:left w:type="dxa" w:w="80"/>
              <w:bottom w:type="dxa" w:w="50"/>
              <w:right w:type="dxa" w:w="80"/>
            </w:tcMar>
          </w:tcPr>
          <w:p>
            <w:r>
              <w:rPr>
                <w:rFonts w:ascii="Arial" w:cs="Arial" w:eastAsia="Arial" w:hAnsi="Arial"/>
                <w:sz w:val="15"/>
                <w:szCs w:val="15"/>
              </w:rPr>
              <w:t xml:space="preserve">Approve 0-90-day actions immediately; release remaining funding by phase against KRIs</w:t>
            </w:r>
          </w:p>
        </w:tc>
        <w:tc>
          <w:tcPr>
            <w:tcW w:type="dxa" w:w="1873"/>
            <w:shd w:fill="F2F2F2" w:color="auto" w:val="clear"/>
            <w:tcMar>
              <w:top w:type="dxa" w:w="50"/>
              <w:left w:type="dxa" w:w="80"/>
              <w:bottom w:type="dxa" w:w="50"/>
              <w:right w:type="dxa" w:w="80"/>
            </w:tcMar>
          </w:tcPr>
          <w:p>
            <w:r>
              <w:rPr>
                <w:rFonts w:ascii="Arial" w:cs="Arial" w:eastAsia="Arial" w:hAnsi="Arial"/>
                <w:sz w:val="15"/>
                <w:szCs w:val="15"/>
              </w:rPr>
              <w:t xml:space="preserve">Executive leadership, Board</w:t>
            </w:r>
          </w:p>
        </w:tc>
      </w:tr>
      <w:tr>
        <w:tc>
          <w:tcPr>
            <w:tcW w:type="dxa" w:w="374"/>
            <w:tcMar>
              <w:top w:type="dxa" w:w="50"/>
              <w:left w:type="dxa" w:w="80"/>
              <w:bottom w:type="dxa" w:w="50"/>
              <w:right w:type="dxa" w:w="80"/>
            </w:tcMar>
          </w:tcPr>
          <w:p>
            <w:r>
              <w:rPr>
                <w:rFonts w:ascii="Arial" w:cs="Arial" w:eastAsia="Arial" w:hAnsi="Arial"/>
                <w:sz w:val="15"/>
                <w:szCs w:val="15"/>
              </w:rPr>
              <w:t xml:space="preserve">D3</w:t>
            </w:r>
          </w:p>
        </w:tc>
        <w:tc>
          <w:tcPr>
            <w:tcW w:type="dxa" w:w="1872"/>
            <w:tcMar>
              <w:top w:type="dxa" w:w="50"/>
              <w:left w:type="dxa" w:w="80"/>
              <w:bottom w:type="dxa" w:w="50"/>
              <w:right w:type="dxa" w:w="80"/>
            </w:tcMar>
          </w:tcPr>
          <w:p>
            <w:r>
              <w:rPr>
                <w:rFonts w:ascii="Arial" w:cs="Arial" w:eastAsia="Arial" w:hAnsi="Arial"/>
                <w:sz w:val="15"/>
                <w:szCs w:val="15"/>
              </w:rPr>
              <w:t xml:space="preserve">Residual risk above tolerance (S2, S5, S7, S9, S10)</w:t>
            </w:r>
          </w:p>
        </w:tc>
        <w:tc>
          <w:tcPr>
            <w:tcW w:type="dxa" w:w="1872"/>
            <w:tcMar>
              <w:top w:type="dxa" w:w="50"/>
              <w:left w:type="dxa" w:w="80"/>
              <w:bottom w:type="dxa" w:w="50"/>
              <w:right w:type="dxa" w:w="80"/>
            </w:tcMar>
          </w:tcPr>
          <w:p>
            <w:r>
              <w:rPr>
                <w:rFonts w:ascii="Arial" w:cs="Arial" w:eastAsia="Arial" w:hAnsi="Arial"/>
                <w:sz w:val="15"/>
                <w:szCs w:val="15"/>
              </w:rPr>
              <w:t xml:space="preserve">Accept / further mitigate / transfer / avoid</w:t>
            </w:r>
          </w:p>
        </w:tc>
        <w:tc>
          <w:tcPr>
            <w:tcW w:type="dxa" w:w="3369"/>
            <w:tcMar>
              <w:top w:type="dxa" w:w="50"/>
              <w:left w:type="dxa" w:w="80"/>
              <w:bottom w:type="dxa" w:w="50"/>
              <w:right w:type="dxa" w:w="80"/>
            </w:tcMar>
          </w:tcPr>
          <w:p>
            <w:r>
              <w:rPr>
                <w:rFonts w:ascii="Arial" w:cs="Arial" w:eastAsia="Arial" w:hAnsi="Arial"/>
                <w:sz w:val="15"/>
                <w:szCs w:val="15"/>
              </w:rPr>
              <w:t xml:space="preserve">Formal acceptance with review in 6 months; transfer part of S2 and S9 via insurance and contracts</w:t>
            </w:r>
          </w:p>
        </w:tc>
        <w:tc>
          <w:tcPr>
            <w:tcW w:type="dxa" w:w="1873"/>
            <w:tcMar>
              <w:top w:type="dxa" w:w="50"/>
              <w:left w:type="dxa" w:w="80"/>
              <w:bottom w:type="dxa" w:w="50"/>
              <w:right w:type="dxa" w:w="80"/>
            </w:tcMar>
          </w:tcPr>
          <w:p>
            <w:r>
              <w:rPr>
                <w:rFonts w:ascii="Arial" w:cs="Arial" w:eastAsia="Arial" w:hAnsi="Arial"/>
                <w:sz w:val="15"/>
                <w:szCs w:val="15"/>
              </w:rPr>
              <w:t xml:space="preserve">Board / ownership group</w:t>
            </w:r>
          </w:p>
        </w:tc>
      </w:tr>
      <w:tr>
        <w:tc>
          <w:tcPr>
            <w:tcW w:type="dxa" w:w="374"/>
            <w:shd w:fill="F2F2F2" w:color="auto" w:val="clear"/>
            <w:tcMar>
              <w:top w:type="dxa" w:w="50"/>
              <w:left w:type="dxa" w:w="80"/>
              <w:bottom w:type="dxa" w:w="50"/>
              <w:right w:type="dxa" w:w="80"/>
            </w:tcMar>
          </w:tcPr>
          <w:p>
            <w:r>
              <w:rPr>
                <w:rFonts w:ascii="Arial" w:cs="Arial" w:eastAsia="Arial" w:hAnsi="Arial"/>
                <w:sz w:val="15"/>
                <w:szCs w:val="15"/>
              </w:rPr>
              <w:t xml:space="preserve">D4</w:t>
            </w:r>
          </w:p>
        </w:tc>
        <w:tc>
          <w:tcPr>
            <w:tcW w:type="dxa" w:w="1872"/>
            <w:shd w:fill="F2F2F2" w:color="auto" w:val="clear"/>
            <w:tcMar>
              <w:top w:type="dxa" w:w="50"/>
              <w:left w:type="dxa" w:w="80"/>
              <w:bottom w:type="dxa" w:w="50"/>
              <w:right w:type="dxa" w:w="80"/>
            </w:tcMar>
          </w:tcPr>
          <w:p>
            <w:r>
              <w:rPr>
                <w:rFonts w:ascii="Arial" w:cs="Arial" w:eastAsia="Arial" w:hAnsi="Arial"/>
                <w:sz w:val="15"/>
                <w:szCs w:val="15"/>
              </w:rPr>
              <w:t xml:space="preserve">Patient-safety residual (S7, S10)</w:t>
            </w:r>
          </w:p>
        </w:tc>
        <w:tc>
          <w:tcPr>
            <w:tcW w:type="dxa" w:w="1872"/>
            <w:shd w:fill="F2F2F2" w:color="auto" w:val="clear"/>
            <w:tcMar>
              <w:top w:type="dxa" w:w="50"/>
              <w:left w:type="dxa" w:w="80"/>
              <w:bottom w:type="dxa" w:w="50"/>
              <w:right w:type="dxa" w:w="80"/>
            </w:tcMar>
          </w:tcPr>
          <w:p>
            <w:r>
              <w:rPr>
                <w:rFonts w:ascii="Arial" w:cs="Arial" w:eastAsia="Arial" w:hAnsi="Arial"/>
                <w:sz w:val="15"/>
                <w:szCs w:val="15"/>
              </w:rPr>
              <w:t xml:space="preserve">Accept with compensating controls / restrict device connectivity</w:t>
            </w:r>
          </w:p>
        </w:tc>
        <w:tc>
          <w:tcPr>
            <w:tcW w:type="dxa" w:w="3369"/>
            <w:shd w:fill="F2F2F2" w:color="auto" w:val="clear"/>
            <w:tcMar>
              <w:top w:type="dxa" w:w="50"/>
              <w:left w:type="dxa" w:w="80"/>
              <w:bottom w:type="dxa" w:w="50"/>
              <w:right w:type="dxa" w:w="80"/>
            </w:tcMar>
          </w:tcPr>
          <w:p>
            <w:r>
              <w:rPr>
                <w:rFonts w:ascii="Arial" w:cs="Arial" w:eastAsia="Arial" w:hAnsi="Arial"/>
                <w:sz w:val="15"/>
                <w:szCs w:val="15"/>
              </w:rPr>
              <w:t xml:space="preserve">CMO sign-off on compensating controls and clinical downtime procedures</w:t>
            </w:r>
          </w:p>
        </w:tc>
        <w:tc>
          <w:tcPr>
            <w:tcW w:type="dxa" w:w="1873"/>
            <w:shd w:fill="F2F2F2" w:color="auto" w:val="clear"/>
            <w:tcMar>
              <w:top w:type="dxa" w:w="50"/>
              <w:left w:type="dxa" w:w="80"/>
              <w:bottom w:type="dxa" w:w="50"/>
              <w:right w:type="dxa" w:w="80"/>
            </w:tcMar>
          </w:tcPr>
          <w:p>
            <w:r>
              <w:rPr>
                <w:rFonts w:ascii="Arial" w:cs="Arial" w:eastAsia="Arial" w:hAnsi="Arial"/>
                <w:sz w:val="15"/>
                <w:szCs w:val="15"/>
              </w:rPr>
              <w:t xml:space="preserve">Clinical leadership + Executive</w:t>
            </w:r>
          </w:p>
        </w:tc>
      </w:tr>
      <w:tr>
        <w:tc>
          <w:tcPr>
            <w:tcW w:type="dxa" w:w="374"/>
            <w:tcMar>
              <w:top w:type="dxa" w:w="50"/>
              <w:left w:type="dxa" w:w="80"/>
              <w:bottom w:type="dxa" w:w="50"/>
              <w:right w:type="dxa" w:w="80"/>
            </w:tcMar>
          </w:tcPr>
          <w:p>
            <w:r>
              <w:rPr>
                <w:rFonts w:ascii="Arial" w:cs="Arial" w:eastAsia="Arial" w:hAnsi="Arial"/>
                <w:sz w:val="15"/>
                <w:szCs w:val="15"/>
              </w:rPr>
              <w:t xml:space="preserve">D5</w:t>
            </w:r>
          </w:p>
        </w:tc>
        <w:tc>
          <w:tcPr>
            <w:tcW w:type="dxa" w:w="1872"/>
            <w:tcMar>
              <w:top w:type="dxa" w:w="50"/>
              <w:left w:type="dxa" w:w="80"/>
              <w:bottom w:type="dxa" w:w="50"/>
              <w:right w:type="dxa" w:w="80"/>
            </w:tcMar>
          </w:tcPr>
          <w:p>
            <w:r>
              <w:rPr>
                <w:rFonts w:ascii="Arial" w:cs="Arial" w:eastAsia="Arial" w:hAnsi="Arial"/>
                <w:sz w:val="15"/>
                <w:szCs w:val="15"/>
              </w:rPr>
              <w:t xml:space="preserve">Staffing</w:t>
            </w:r>
          </w:p>
        </w:tc>
        <w:tc>
          <w:tcPr>
            <w:tcW w:type="dxa" w:w="1872"/>
            <w:tcMar>
              <w:top w:type="dxa" w:w="50"/>
              <w:left w:type="dxa" w:w="80"/>
              <w:bottom w:type="dxa" w:w="50"/>
              <w:right w:type="dxa" w:w="80"/>
            </w:tcMar>
          </w:tcPr>
          <w:p>
            <w:r>
              <w:rPr>
                <w:rFonts w:ascii="Arial" w:cs="Arial" w:eastAsia="Arial" w:hAnsi="Arial"/>
                <w:sz w:val="15"/>
                <w:szCs w:val="15"/>
              </w:rPr>
              <w:t xml:space="preserve">Status quo / +1 FTE / +2 FTE / managed services</w:t>
            </w:r>
          </w:p>
        </w:tc>
        <w:tc>
          <w:tcPr>
            <w:tcW w:type="dxa" w:w="3369"/>
            <w:tcMar>
              <w:top w:type="dxa" w:w="50"/>
              <w:left w:type="dxa" w:w="80"/>
              <w:bottom w:type="dxa" w:w="50"/>
              <w:right w:type="dxa" w:w="80"/>
            </w:tcMar>
          </w:tcPr>
          <w:p>
            <w:r>
              <w:rPr>
                <w:rFonts w:ascii="Arial" w:cs="Arial" w:eastAsia="Arial" w:hAnsi="Arial"/>
                <w:sz w:val="15"/>
                <w:szCs w:val="15"/>
              </w:rPr>
              <w:t xml:space="preserve">+1 vulnerability FTE (costed) and MDR; assess IAM/PAM engineer</w:t>
            </w:r>
          </w:p>
        </w:tc>
        <w:tc>
          <w:tcPr>
            <w:tcW w:type="dxa" w:w="1873"/>
            <w:tcMar>
              <w:top w:type="dxa" w:w="50"/>
              <w:left w:type="dxa" w:w="80"/>
              <w:bottom w:type="dxa" w:w="50"/>
              <w:right w:type="dxa" w:w="80"/>
            </w:tcMar>
          </w:tcPr>
          <w:p>
            <w:r>
              <w:rPr>
                <w:rFonts w:ascii="Arial" w:cs="Arial" w:eastAsia="Arial" w:hAnsi="Arial"/>
                <w:sz w:val="15"/>
                <w:szCs w:val="15"/>
              </w:rPr>
              <w:t xml:space="preserve">CIO, Executive</w:t>
            </w:r>
          </w:p>
        </w:tc>
      </w:tr>
      <w:tr>
        <w:tc>
          <w:tcPr>
            <w:tcW w:type="dxa" w:w="374"/>
            <w:shd w:fill="F2F2F2" w:color="auto" w:val="clear"/>
            <w:tcMar>
              <w:top w:type="dxa" w:w="50"/>
              <w:left w:type="dxa" w:w="80"/>
              <w:bottom w:type="dxa" w:w="50"/>
              <w:right w:type="dxa" w:w="80"/>
            </w:tcMar>
          </w:tcPr>
          <w:p>
            <w:r>
              <w:rPr>
                <w:rFonts w:ascii="Arial" w:cs="Arial" w:eastAsia="Arial" w:hAnsi="Arial"/>
                <w:sz w:val="15"/>
                <w:szCs w:val="15"/>
              </w:rPr>
              <w:t xml:space="preserve">D6</w:t>
            </w:r>
          </w:p>
        </w:tc>
        <w:tc>
          <w:tcPr>
            <w:tcW w:type="dxa" w:w="1872"/>
            <w:shd w:fill="F2F2F2" w:color="auto" w:val="clear"/>
            <w:tcMar>
              <w:top w:type="dxa" w:w="50"/>
              <w:left w:type="dxa" w:w="80"/>
              <w:bottom w:type="dxa" w:w="50"/>
              <w:right w:type="dxa" w:w="80"/>
            </w:tcMar>
          </w:tcPr>
          <w:p>
            <w:r>
              <w:rPr>
                <w:rFonts w:ascii="Arial" w:cs="Arial" w:eastAsia="Arial" w:hAnsi="Arial"/>
                <w:sz w:val="15"/>
                <w:szCs w:val="15"/>
              </w:rPr>
              <w:t xml:space="preserve">Cyber-insurance review</w:t>
            </w:r>
          </w:p>
        </w:tc>
        <w:tc>
          <w:tcPr>
            <w:tcW w:type="dxa" w:w="1872"/>
            <w:shd w:fill="F2F2F2" w:color="auto" w:val="clear"/>
            <w:tcMar>
              <w:top w:type="dxa" w:w="50"/>
              <w:left w:type="dxa" w:w="80"/>
              <w:bottom w:type="dxa" w:w="50"/>
              <w:right w:type="dxa" w:w="80"/>
            </w:tcMar>
          </w:tcPr>
          <w:p>
            <w:r>
              <w:rPr>
                <w:rFonts w:ascii="Arial" w:cs="Arial" w:eastAsia="Arial" w:hAnsi="Arial"/>
                <w:sz w:val="15"/>
                <w:szCs w:val="15"/>
              </w:rPr>
              <w:t xml:space="preserve">Maintain / increase / obtain</w:t>
            </w:r>
          </w:p>
        </w:tc>
        <w:tc>
          <w:tcPr>
            <w:tcW w:type="dxa" w:w="3369"/>
            <w:shd w:fill="F2F2F2" w:color="auto" w:val="clear"/>
            <w:tcMar>
              <w:top w:type="dxa" w:w="50"/>
              <w:left w:type="dxa" w:w="80"/>
              <w:bottom w:type="dxa" w:w="50"/>
              <w:right w:type="dxa" w:w="80"/>
            </w:tcMar>
          </w:tcPr>
          <w:p>
            <w:r>
              <w:rPr>
                <w:rFonts w:ascii="Arial" w:cs="Arial" w:eastAsia="Arial" w:hAnsi="Arial"/>
                <w:sz w:val="15"/>
                <w:szCs w:val="15"/>
              </w:rPr>
              <w:t xml:space="preserve">Obtain broker review aligned with S2 and S9 residuals</w:t>
            </w:r>
          </w:p>
        </w:tc>
        <w:tc>
          <w:tcPr>
            <w:tcW w:type="dxa" w:w="1873"/>
            <w:shd w:fill="F2F2F2" w:color="auto" w:val="clear"/>
            <w:tcMar>
              <w:top w:type="dxa" w:w="50"/>
              <w:left w:type="dxa" w:w="80"/>
              <w:bottom w:type="dxa" w:w="50"/>
              <w:right w:type="dxa" w:w="80"/>
            </w:tcMar>
          </w:tcPr>
          <w:p>
            <w:r>
              <w:rPr>
                <w:rFonts w:ascii="Arial" w:cs="Arial" w:eastAsia="Arial" w:hAnsi="Arial"/>
                <w:sz w:val="15"/>
                <w:szCs w:val="15"/>
              </w:rPr>
              <w:t xml:space="preserve">CFO</w:t>
            </w:r>
          </w:p>
        </w:tc>
      </w:tr>
      <w:tr>
        <w:tc>
          <w:tcPr>
            <w:tcW w:type="dxa" w:w="374"/>
            <w:tcMar>
              <w:top w:type="dxa" w:w="50"/>
              <w:left w:type="dxa" w:w="80"/>
              <w:bottom w:type="dxa" w:w="50"/>
              <w:right w:type="dxa" w:w="80"/>
            </w:tcMar>
          </w:tcPr>
          <w:p>
            <w:r>
              <w:rPr>
                <w:rFonts w:ascii="Arial" w:cs="Arial" w:eastAsia="Arial" w:hAnsi="Arial"/>
                <w:sz w:val="15"/>
                <w:szCs w:val="15"/>
              </w:rPr>
              <w:t xml:space="preserve">D7</w:t>
            </w:r>
          </w:p>
        </w:tc>
        <w:tc>
          <w:tcPr>
            <w:tcW w:type="dxa" w:w="1872"/>
            <w:tcMar>
              <w:top w:type="dxa" w:w="50"/>
              <w:left w:type="dxa" w:w="80"/>
              <w:bottom w:type="dxa" w:w="50"/>
              <w:right w:type="dxa" w:w="80"/>
            </w:tcMar>
          </w:tcPr>
          <w:p>
            <w:r>
              <w:rPr>
                <w:rFonts w:ascii="Arial" w:cs="Arial" w:eastAsia="Arial" w:hAnsi="Arial"/>
                <w:sz w:val="15"/>
                <w:szCs w:val="15"/>
              </w:rPr>
              <w:t xml:space="preserve">Validate estimates and close evidence gaps</w:t>
            </w:r>
          </w:p>
        </w:tc>
        <w:tc>
          <w:tcPr>
            <w:tcW w:type="dxa" w:w="1872"/>
            <w:tcMar>
              <w:top w:type="dxa" w:w="50"/>
              <w:left w:type="dxa" w:w="80"/>
              <w:bottom w:type="dxa" w:w="50"/>
              <w:right w:type="dxa" w:w="80"/>
            </w:tcMar>
          </w:tcPr>
          <w:p>
            <w:r>
              <w:rPr>
                <w:rFonts w:ascii="Arial" w:cs="Arial" w:eastAsia="Arial" w:hAnsi="Arial"/>
                <w:sz w:val="15"/>
                <w:szCs w:val="15"/>
              </w:rPr>
              <w:t xml:space="preserve">-</w:t>
            </w:r>
          </w:p>
        </w:tc>
        <w:tc>
          <w:tcPr>
            <w:tcW w:type="dxa" w:w="3369"/>
            <w:tcMar>
              <w:top w:type="dxa" w:w="50"/>
              <w:left w:type="dxa" w:w="80"/>
              <w:bottom w:type="dxa" w:w="50"/>
              <w:right w:type="dxa" w:w="80"/>
            </w:tcMar>
          </w:tcPr>
          <w:p>
            <w:r>
              <w:rPr>
                <w:rFonts w:ascii="Arial" w:cs="Arial" w:eastAsia="Arial" w:hAnsi="Arial"/>
                <w:sz w:val="15"/>
                <w:szCs w:val="15"/>
              </w:rPr>
              <w:t xml:space="preserve">SME workshop within 60 days; re-run workbook</w:t>
            </w:r>
          </w:p>
        </w:tc>
        <w:tc>
          <w:tcPr>
            <w:tcW w:type="dxa" w:w="1873"/>
            <w:tcMar>
              <w:top w:type="dxa" w:w="50"/>
              <w:left w:type="dxa" w:w="80"/>
              <w:bottom w:type="dxa" w:w="50"/>
              <w:right w:type="dxa" w:w="80"/>
            </w:tcMar>
          </w:tcPr>
          <w:p>
            <w:r>
              <w:rPr>
                <w:rFonts w:ascii="Arial" w:cs="Arial" w:eastAsia="Arial" w:hAnsi="Arial"/>
                <w:sz w:val="15"/>
                <w:szCs w:val="15"/>
              </w:rPr>
              <w:t xml:space="preserve">Cybersecurity lead</w:t>
            </w:r>
          </w:p>
        </w:tc>
      </w:tr>
      <w:tr>
        <w:tc>
          <w:tcPr>
            <w:tcW w:type="dxa" w:w="374"/>
            <w:shd w:fill="F2F2F2" w:color="auto" w:val="clear"/>
            <w:tcMar>
              <w:top w:type="dxa" w:w="50"/>
              <w:left w:type="dxa" w:w="80"/>
              <w:bottom w:type="dxa" w:w="50"/>
              <w:right w:type="dxa" w:w="80"/>
            </w:tcMar>
          </w:tcPr>
          <w:p>
            <w:r>
              <w:rPr>
                <w:rFonts w:ascii="Arial" w:cs="Arial" w:eastAsia="Arial" w:hAnsi="Arial"/>
                <w:sz w:val="15"/>
                <w:szCs w:val="15"/>
              </w:rPr>
              <w:t xml:space="preserve">D8</w:t>
            </w:r>
          </w:p>
        </w:tc>
        <w:tc>
          <w:tcPr>
            <w:tcW w:type="dxa" w:w="1872"/>
            <w:shd w:fill="F2F2F2" w:color="auto" w:val="clear"/>
            <w:tcMar>
              <w:top w:type="dxa" w:w="50"/>
              <w:left w:type="dxa" w:w="80"/>
              <w:bottom w:type="dxa" w:w="50"/>
              <w:right w:type="dxa" w:w="80"/>
            </w:tcMar>
          </w:tcPr>
          <w:p>
            <w:r>
              <w:rPr>
                <w:rFonts w:ascii="Arial" w:cs="Arial" w:eastAsia="Arial" w:hAnsi="Arial"/>
                <w:sz w:val="15"/>
                <w:szCs w:val="15"/>
              </w:rPr>
              <w:t xml:space="preserve">Assign risk owners</w:t>
            </w:r>
          </w:p>
        </w:tc>
        <w:tc>
          <w:tcPr>
            <w:tcW w:type="dxa" w:w="1872"/>
            <w:shd w:fill="F2F2F2" w:color="auto" w:val="clear"/>
            <w:tcMar>
              <w:top w:type="dxa" w:w="50"/>
              <w:left w:type="dxa" w:w="80"/>
              <w:bottom w:type="dxa" w:w="50"/>
              <w:right w:type="dxa" w:w="80"/>
            </w:tcMar>
          </w:tcPr>
          <w:p>
            <w:r>
              <w:rPr>
                <w:rFonts w:ascii="Arial" w:cs="Arial" w:eastAsia="Arial" w:hAnsi="Arial"/>
                <w:sz w:val="15"/>
                <w:szCs w:val="15"/>
              </w:rPr>
              <w:t xml:space="preserve">-</w:t>
            </w:r>
          </w:p>
        </w:tc>
        <w:tc>
          <w:tcPr>
            <w:tcW w:type="dxa" w:w="3369"/>
            <w:shd w:fill="F2F2F2" w:color="auto" w:val="clear"/>
            <w:tcMar>
              <w:top w:type="dxa" w:w="50"/>
              <w:left w:type="dxa" w:w="80"/>
              <w:bottom w:type="dxa" w:w="50"/>
              <w:right w:type="dxa" w:w="80"/>
            </w:tcMar>
          </w:tcPr>
          <w:p>
            <w:r>
              <w:rPr>
                <w:rFonts w:ascii="Arial" w:cs="Arial" w:eastAsia="Arial" w:hAnsi="Arial"/>
                <w:sz w:val="15"/>
                <w:szCs w:val="15"/>
              </w:rPr>
              <w:t xml:space="preserve">Confirm owners proposed in Section 7</w:t>
            </w:r>
          </w:p>
        </w:tc>
        <w:tc>
          <w:tcPr>
            <w:tcW w:type="dxa" w:w="1873"/>
            <w:shd w:fill="F2F2F2" w:color="auto" w:val="clear"/>
            <w:tcMar>
              <w:top w:type="dxa" w:w="50"/>
              <w:left w:type="dxa" w:w="80"/>
              <w:bottom w:type="dxa" w:w="50"/>
              <w:right w:type="dxa" w:w="80"/>
            </w:tcMar>
          </w:tcPr>
          <w:p>
            <w:r>
              <w:rPr>
                <w:rFonts w:ascii="Arial" w:cs="Arial" w:eastAsia="Arial" w:hAnsi="Arial"/>
                <w:sz w:val="15"/>
                <w:szCs w:val="15"/>
              </w:rPr>
              <w:t xml:space="preserve">Executive leadership</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2CC" w:color="auto" w:val="clear"/>
            <w:tcMar>
              <w:top w:type="dxa" w:w="100"/>
              <w:left w:type="dxa" w:w="140"/>
              <w:bottom w:type="dxa" w:w="100"/>
              <w:right w:type="dxa" w:w="140"/>
            </w:tcMar>
          </w:tcPr>
          <w:p>
            <w:r>
              <w:rPr>
                <w:rFonts w:ascii="Arial" w:cs="Arial" w:eastAsia="Arial" w:hAnsi="Arial"/>
                <w:sz w:val="19"/>
                <w:szCs w:val="19"/>
              </w:rPr>
              <w:t xml:space="preserve">CyberRiskGuardian outputs are decision support. Scenarios, probabilities, CVSS scores, costs and effectiveness values are initial analytical hypotheses. Final decisions to accept, mitigate, transfer or avoid risk remain the responsibility of MediBec management and its Board / ownership group.</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MediBec - Cybersecurity Risk Assessment - Analyst draft for validation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80" w:before="180"/>
      <w:outlineLvl w:val="2"/>
    </w:pPr>
    <w:rPr>
      <w:rFonts w:ascii="Arial" w:cs="Arial" w:eastAsia="Arial" w:hAnsi="Arial"/>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MediBec Cybersecurity Risk Assessment</dc:title>
  <dc:creator>CyberRiskGuardian</dc:creator>
  <cp:lastModifiedBy>Un-named</cp:lastModifiedBy>
  <cp:revision>1</cp:revision>
  <dcterms:created xsi:type="dcterms:W3CDTF">2026-09-25T19:46:19.738Z</dcterms:created>
  <dcterms:modified xsi:type="dcterms:W3CDTF">2026-09-25T19:46:19.739Z</dcterms:modified>
</cp:coreProperties>
</file>

<file path=docProps/custom.xml><?xml version="1.0" encoding="utf-8"?>
<Properties xmlns="http://schemas.openxmlformats.org/officeDocument/2006/custom-properties" xmlns:vt="http://schemas.openxmlformats.org/officeDocument/2006/docPropsVTypes"/>
</file>