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8926CB" w14:textId="77777777" w:rsidR="00575A93" w:rsidRPr="001570F6" w:rsidRDefault="00000000" w:rsidP="001570F6">
      <w:pPr>
        <w:adjustRightInd w:val="0"/>
        <w:snapToGrid w:val="0"/>
        <w:spacing w:before="240" w:after="240" w:line="240" w:lineRule="auto"/>
        <w:jc w:val="center"/>
        <w:rPr>
          <w:rFonts w:cs="Arial"/>
          <w:sz w:val="24"/>
          <w:szCs w:val="24"/>
        </w:rPr>
      </w:pPr>
      <w:r w:rsidRPr="001570F6">
        <w:rPr>
          <w:rFonts w:cs="Arial"/>
          <w:b/>
          <w:color w:val="1F4E79"/>
          <w:sz w:val="24"/>
          <w:szCs w:val="24"/>
        </w:rPr>
        <w:t>Atlantic Canada Regional Bank (ACRB)</w:t>
      </w:r>
    </w:p>
    <w:p w14:paraId="2DA2110A" w14:textId="77777777" w:rsidR="00575A93" w:rsidRPr="001570F6" w:rsidRDefault="00000000" w:rsidP="001570F6">
      <w:pPr>
        <w:adjustRightInd w:val="0"/>
        <w:snapToGrid w:val="0"/>
        <w:spacing w:before="240" w:after="240" w:line="240" w:lineRule="auto"/>
        <w:jc w:val="center"/>
        <w:rPr>
          <w:rFonts w:cs="Arial"/>
          <w:sz w:val="24"/>
          <w:szCs w:val="24"/>
        </w:rPr>
      </w:pPr>
      <w:r w:rsidRPr="001570F6">
        <w:rPr>
          <w:rFonts w:cs="Arial"/>
          <w:b/>
          <w:color w:val="1F4E79"/>
          <w:sz w:val="24"/>
          <w:szCs w:val="24"/>
        </w:rPr>
        <w:t>Integrated Cybersecurity Teaching Case</w:t>
      </w:r>
    </w:p>
    <w:p w14:paraId="3D747790" w14:textId="77777777" w:rsidR="00575A93" w:rsidRPr="001570F6" w:rsidRDefault="00000000" w:rsidP="001570F6">
      <w:pPr>
        <w:adjustRightInd w:val="0"/>
        <w:snapToGrid w:val="0"/>
        <w:spacing w:before="240" w:after="240" w:line="240" w:lineRule="auto"/>
        <w:jc w:val="center"/>
        <w:rPr>
          <w:rFonts w:cs="Arial"/>
          <w:sz w:val="24"/>
          <w:szCs w:val="24"/>
        </w:rPr>
      </w:pPr>
      <w:r w:rsidRPr="001570F6">
        <w:rPr>
          <w:rFonts w:cs="Arial"/>
          <w:color w:val="5A5A5A"/>
          <w:sz w:val="24"/>
          <w:szCs w:val="24"/>
        </w:rPr>
        <w:t>Incident Response | Audit Planning | Cybersecurity Risk Management</w:t>
      </w:r>
    </w:p>
    <w:p w14:paraId="381B9B5E" w14:textId="77777777" w:rsidR="00575A93" w:rsidRPr="001570F6" w:rsidRDefault="00575A93" w:rsidP="001570F6">
      <w:pPr>
        <w:adjustRightInd w:val="0"/>
        <w:snapToGrid w:val="0"/>
        <w:spacing w:before="240" w:after="240" w:line="240" w:lineRule="auto"/>
        <w:rPr>
          <w:rFonts w:cs="Arial"/>
          <w:sz w:val="24"/>
          <w:szCs w:val="24"/>
        </w:rPr>
      </w:pPr>
    </w:p>
    <w:p w14:paraId="162426A3" w14:textId="77777777" w:rsidR="00575A93" w:rsidRPr="001570F6" w:rsidRDefault="00575A93" w:rsidP="001570F6">
      <w:pPr>
        <w:adjustRightInd w:val="0"/>
        <w:snapToGrid w:val="0"/>
        <w:spacing w:before="240" w:after="240" w:line="240" w:lineRule="auto"/>
        <w:rPr>
          <w:rFonts w:cs="Arial"/>
          <w:sz w:val="24"/>
          <w:szCs w:val="24"/>
        </w:rPr>
      </w:pPr>
    </w:p>
    <w:p w14:paraId="03EB0B9E" w14:textId="77777777" w:rsidR="00575A93" w:rsidRPr="001570F6" w:rsidRDefault="00613EEC" w:rsidP="001570F6">
      <w:pPr>
        <w:adjustRightInd w:val="0"/>
        <w:snapToGrid w:val="0"/>
        <w:spacing w:before="240" w:after="240" w:line="240" w:lineRule="auto"/>
        <w:jc w:val="center"/>
        <w:rPr>
          <w:rFonts w:cs="Arial"/>
          <w:sz w:val="24"/>
          <w:szCs w:val="24"/>
        </w:rPr>
      </w:pPr>
      <w:r w:rsidRPr="001570F6">
        <w:rPr>
          <w:rFonts w:cs="Arial"/>
          <w:sz w:val="24"/>
          <w:szCs w:val="24"/>
        </w:rPr>
        <w:t>Teaching text - Version v2.0c</w:t>
      </w:r>
    </w:p>
    <w:p w14:paraId="6B295C0D" w14:textId="77777777" w:rsidR="00575A93" w:rsidRPr="001570F6" w:rsidRDefault="00000000" w:rsidP="001570F6">
      <w:pPr>
        <w:adjustRightInd w:val="0"/>
        <w:snapToGrid w:val="0"/>
        <w:spacing w:before="240" w:after="240" w:line="240" w:lineRule="auto"/>
        <w:jc w:val="center"/>
        <w:rPr>
          <w:rFonts w:cs="Arial"/>
          <w:sz w:val="24"/>
          <w:szCs w:val="24"/>
        </w:rPr>
      </w:pPr>
      <w:r w:rsidRPr="001570F6">
        <w:rPr>
          <w:rFonts w:cs="Arial"/>
          <w:sz w:val="24"/>
          <w:szCs w:val="24"/>
        </w:rPr>
        <w:t>Prepared for use in cybersecurity, audit, governance, and risk management courses</w:t>
      </w:r>
    </w:p>
    <w:p w14:paraId="2CBD4CA5" w14:textId="77777777" w:rsidR="00575A93" w:rsidRPr="001570F6" w:rsidRDefault="00000000" w:rsidP="001570F6">
      <w:pPr>
        <w:adjustRightInd w:val="0"/>
        <w:snapToGrid w:val="0"/>
        <w:spacing w:before="240" w:after="240" w:line="240" w:lineRule="auto"/>
        <w:jc w:val="center"/>
        <w:rPr>
          <w:rFonts w:cs="Arial"/>
          <w:sz w:val="24"/>
          <w:szCs w:val="24"/>
        </w:rPr>
      </w:pPr>
      <w:r w:rsidRPr="001570F6">
        <w:rPr>
          <w:rFonts w:cs="Arial"/>
          <w:sz w:val="24"/>
          <w:szCs w:val="24"/>
        </w:rPr>
        <w:t>By Marc-Andre Leger, PhD</w:t>
      </w:r>
    </w:p>
    <w:p w14:paraId="75321B66" w14:textId="77777777" w:rsidR="00575A93" w:rsidRPr="001570F6" w:rsidRDefault="00575A93" w:rsidP="001570F6">
      <w:pPr>
        <w:adjustRightInd w:val="0"/>
        <w:snapToGrid w:val="0"/>
        <w:spacing w:before="240" w:after="240" w:line="240" w:lineRule="auto"/>
        <w:rPr>
          <w:rFonts w:cs="Arial"/>
          <w:sz w:val="24"/>
          <w:szCs w:val="24"/>
        </w:rPr>
      </w:pPr>
    </w:p>
    <w:p w14:paraId="1E520082" w14:textId="77777777" w:rsidR="00575A93" w:rsidRPr="001570F6" w:rsidRDefault="00575A93" w:rsidP="001570F6">
      <w:pPr>
        <w:adjustRightInd w:val="0"/>
        <w:snapToGrid w:val="0"/>
        <w:spacing w:before="240" w:after="240" w:line="240" w:lineRule="auto"/>
        <w:rPr>
          <w:rFonts w:cs="Arial"/>
          <w:sz w:val="24"/>
          <w:szCs w:val="24"/>
        </w:rPr>
      </w:pPr>
    </w:p>
    <w:p w14:paraId="4AEA36A5" w14:textId="77777777" w:rsidR="00575A93" w:rsidRPr="001570F6" w:rsidRDefault="00575A93" w:rsidP="001570F6">
      <w:pPr>
        <w:adjustRightInd w:val="0"/>
        <w:snapToGrid w:val="0"/>
        <w:spacing w:before="240" w:after="240" w:line="240" w:lineRule="auto"/>
        <w:rPr>
          <w:rFonts w:cs="Arial"/>
          <w:sz w:val="24"/>
          <w:szCs w:val="24"/>
        </w:rPr>
      </w:pPr>
    </w:p>
    <w:p w14:paraId="163F335B" w14:textId="77777777" w:rsidR="00575A93" w:rsidRPr="001570F6" w:rsidRDefault="00000000" w:rsidP="001570F6">
      <w:pPr>
        <w:pStyle w:val="CaseNote"/>
        <w:adjustRightInd w:val="0"/>
        <w:snapToGrid w:val="0"/>
        <w:spacing w:before="240" w:after="240" w:line="240" w:lineRule="auto"/>
        <w:rPr>
          <w:rFonts w:cs="Arial"/>
          <w:sz w:val="24"/>
          <w:szCs w:val="24"/>
        </w:rPr>
      </w:pPr>
      <w:r w:rsidRPr="001570F6">
        <w:rPr>
          <w:rFonts w:cs="Arial"/>
          <w:sz w:val="24"/>
          <w:szCs w:val="24"/>
        </w:rPr>
        <w:t>Instructor</w:t>
      </w:r>
      <w:r w:rsidR="00613EEC" w:rsidRPr="001570F6">
        <w:rPr>
          <w:rFonts w:cs="Arial"/>
          <w:sz w:val="24"/>
          <w:szCs w:val="24"/>
        </w:rPr>
        <w:t>’s</w:t>
      </w:r>
      <w:r w:rsidRPr="001570F6">
        <w:rPr>
          <w:rFonts w:cs="Arial"/>
          <w:sz w:val="24"/>
          <w:szCs w:val="24"/>
        </w:rPr>
        <w:t xml:space="preserve"> use note. This </w:t>
      </w:r>
      <w:r w:rsidR="00613EEC" w:rsidRPr="001570F6">
        <w:rPr>
          <w:rFonts w:cs="Arial"/>
          <w:sz w:val="24"/>
          <w:szCs w:val="24"/>
        </w:rPr>
        <w:t>document</w:t>
      </w:r>
      <w:r w:rsidRPr="001570F6">
        <w:rPr>
          <w:rFonts w:cs="Arial"/>
          <w:sz w:val="24"/>
          <w:szCs w:val="24"/>
        </w:rPr>
        <w:t xml:space="preserve"> is designed as an editable case package. The instructor may distribute the full document or separate the student narrative, evidence appendices, and instructor guidance into different files. The case is fictional. It is intentionally realistic but not intended to represent any actual bank, regulator, vendor, employee, customer, or cyber incident.</w:t>
      </w:r>
    </w:p>
    <w:p w14:paraId="11A1F49E" w14:textId="2ABA391C" w:rsidR="00575A93" w:rsidRPr="001570F6" w:rsidRDefault="00000000" w:rsidP="001570F6">
      <w:pPr>
        <w:pStyle w:val="CaseNote"/>
        <w:adjustRightInd w:val="0"/>
        <w:snapToGrid w:val="0"/>
        <w:spacing w:before="240" w:after="240" w:line="240" w:lineRule="auto"/>
        <w:rPr>
          <w:rFonts w:cs="Arial"/>
          <w:sz w:val="24"/>
          <w:szCs w:val="24"/>
        </w:rPr>
      </w:pPr>
      <w:r w:rsidRPr="001570F6">
        <w:rPr>
          <w:rFonts w:cs="Arial"/>
          <w:sz w:val="24"/>
          <w:szCs w:val="24"/>
        </w:rPr>
        <w:t xml:space="preserve">The ACRB case </w:t>
      </w:r>
      <w:r w:rsidR="00EC7D1E">
        <w:rPr>
          <w:rFonts w:cs="Arial"/>
          <w:sz w:val="24"/>
          <w:szCs w:val="24"/>
        </w:rPr>
        <w:t>makes</w:t>
      </w:r>
      <w:r w:rsidRPr="001570F6">
        <w:rPr>
          <w:rFonts w:cs="Arial"/>
          <w:sz w:val="24"/>
          <w:szCs w:val="24"/>
        </w:rPr>
        <w:t xml:space="preserve"> it directly </w:t>
      </w:r>
      <w:r w:rsidR="00613EEC" w:rsidRPr="001570F6">
        <w:rPr>
          <w:rFonts w:cs="Arial"/>
          <w:sz w:val="24"/>
          <w:szCs w:val="24"/>
        </w:rPr>
        <w:t>applic</w:t>
      </w:r>
      <w:r w:rsidRPr="001570F6">
        <w:rPr>
          <w:rFonts w:cs="Arial"/>
          <w:sz w:val="24"/>
          <w:szCs w:val="24"/>
        </w:rPr>
        <w:t xml:space="preserve">able </w:t>
      </w:r>
      <w:r w:rsidR="00613EEC" w:rsidRPr="001570F6">
        <w:rPr>
          <w:rFonts w:cs="Arial"/>
          <w:sz w:val="24"/>
          <w:szCs w:val="24"/>
        </w:rPr>
        <w:t>to</w:t>
      </w:r>
      <w:r w:rsidRPr="001570F6">
        <w:rPr>
          <w:rFonts w:cs="Arial"/>
          <w:sz w:val="24"/>
          <w:szCs w:val="24"/>
        </w:rPr>
        <w:t xml:space="preserve"> three connected learning objectives: managing a live cyber incident, preparing a risk-based cybersecurity audit plan, and conducting a scenario-based cybersecurity risk assessment </w:t>
      </w:r>
      <w:r w:rsidR="00613EEC" w:rsidRPr="001570F6">
        <w:rPr>
          <w:rFonts w:cs="Arial"/>
          <w:sz w:val="24"/>
          <w:szCs w:val="24"/>
        </w:rPr>
        <w:t>that leads</w:t>
      </w:r>
      <w:r w:rsidRPr="001570F6">
        <w:rPr>
          <w:rFonts w:cs="Arial"/>
          <w:sz w:val="24"/>
          <w:szCs w:val="24"/>
        </w:rPr>
        <w:t xml:space="preserve"> to a multi-year action plan.</w:t>
      </w:r>
    </w:p>
    <w:p w14:paraId="0D31FA9D"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br w:type="page"/>
      </w:r>
    </w:p>
    <w:p w14:paraId="516808C4" w14:textId="77777777" w:rsidR="00575A93" w:rsidRPr="001570F6" w:rsidRDefault="00000000" w:rsidP="001570F6">
      <w:pPr>
        <w:pStyle w:val="Titre1"/>
        <w:adjustRightInd w:val="0"/>
        <w:snapToGrid w:val="0"/>
        <w:spacing w:after="240" w:line="240" w:lineRule="auto"/>
        <w:rPr>
          <w:rFonts w:ascii="Arial" w:hAnsi="Arial" w:cs="Arial"/>
          <w:sz w:val="24"/>
          <w:szCs w:val="24"/>
        </w:rPr>
      </w:pPr>
      <w:r w:rsidRPr="001570F6">
        <w:rPr>
          <w:rFonts w:ascii="Arial" w:hAnsi="Arial" w:cs="Arial"/>
          <w:sz w:val="24"/>
          <w:szCs w:val="24"/>
        </w:rPr>
        <w:lastRenderedPageBreak/>
        <w:t>Contents</w:t>
      </w:r>
    </w:p>
    <w:p w14:paraId="1F2515BB"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1. How to Use This </w:t>
      </w:r>
      <w:r w:rsidR="00613EEC" w:rsidRPr="001570F6">
        <w:rPr>
          <w:rFonts w:cs="Arial"/>
          <w:sz w:val="24"/>
          <w:szCs w:val="24"/>
        </w:rPr>
        <w:t>Case</w:t>
      </w:r>
    </w:p>
    <w:p w14:paraId="6CBF6832"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2. Student Case Narrative</w:t>
      </w:r>
    </w:p>
    <w:p w14:paraId="060D2806"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3. ACRB Background and Business Profile</w:t>
      </w:r>
    </w:p>
    <w:p w14:paraId="41C52A33"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4. Governance, Technology, and Cybersecurity Operating Model</w:t>
      </w:r>
    </w:p>
    <w:p w14:paraId="43F0ACF6"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5. The 2022 Cyber Incident: Known Facts and Initial Uncertainties</w:t>
      </w:r>
    </w:p>
    <w:p w14:paraId="03282952"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6. Module A: Incident Response Exercise</w:t>
      </w:r>
    </w:p>
    <w:p w14:paraId="36C5DAFF"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7. Module B: Cybersecurity Audit Planning Exercise</w:t>
      </w:r>
    </w:p>
    <w:p w14:paraId="5F6F48EC"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8. Module C: Scenario-Based Risk Management Exercise</w:t>
      </w:r>
    </w:p>
    <w:p w14:paraId="4B4D5FDF"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9. Scenario Library</w:t>
      </w:r>
    </w:p>
    <w:p w14:paraId="7263DB8E"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10. Assignment Options and Suggested Deliverables</w:t>
      </w:r>
    </w:p>
    <w:p w14:paraId="7BEAC5DA"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11. Appendices: Evidence, Templates, and Instructor Notes</w:t>
      </w:r>
    </w:p>
    <w:p w14:paraId="78B5325B"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12. References and Standards Alignment Notes</w:t>
      </w:r>
    </w:p>
    <w:p w14:paraId="3EF9B98F"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br w:type="page"/>
      </w:r>
    </w:p>
    <w:p w14:paraId="0D506830" w14:textId="77777777" w:rsidR="00575A93" w:rsidRPr="001570F6" w:rsidRDefault="00000000" w:rsidP="001570F6">
      <w:pPr>
        <w:pStyle w:val="Titre1"/>
      </w:pPr>
      <w:r w:rsidRPr="001570F6">
        <w:lastRenderedPageBreak/>
        <w:t xml:space="preserve">1. How to Use This </w:t>
      </w:r>
      <w:r w:rsidR="00613EEC" w:rsidRPr="001570F6">
        <w:t>Case</w:t>
      </w:r>
    </w:p>
    <w:p w14:paraId="60B9A69E"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Atlantic Canada Regional Bank (ACRB) is a fictional small regional bank located in Atlantic Canada. The bank suffered a significant cyber incident in 2022 involving spear-phishing, malware deployment, ransomware, and suspected data exfiltration. In the aftermath, the Board created a dedicated cybersecurity function and asked the new Chief Information Security Officer (CISO) to develop a cybersecurity action plan for 2024-2027, supported by longer-term budget projections through 2030.</w:t>
      </w:r>
    </w:p>
    <w:p w14:paraId="4D39E98B"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This case is designed to support three related but distinct forms of analysis. Students can first manage the incident as if they were members of ACRB’s cyber crisis team. They can then step back and prepare an internal audit plan to determine whether the bank’s cybersecurity controls, governance arrangements, and remediation program are adequate. Finally, they can conduct a structured scenario-based cybersecurity risk assessment and propose a prioritized multi-year cybersecurity roadmap.</w:t>
      </w:r>
    </w:p>
    <w:p w14:paraId="41C153C9"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case can be used as a one-week discussion exercise, a multi-week group assignment, or a semester-long integrated case. It is especially suitable for courses in cybersecurity governance, information systems risk, internal audit, technology risk management, cyber resilience, and business technology management.</w:t>
      </w:r>
    </w:p>
    <w:tbl>
      <w:tblPr>
        <w:tblStyle w:val="Grilledutableau"/>
        <w:tblW w:w="0" w:type="auto"/>
        <w:jc w:val="center"/>
        <w:tblLook w:val="04A0" w:firstRow="1" w:lastRow="0" w:firstColumn="1" w:lastColumn="0" w:noHBand="0" w:noVBand="1"/>
      </w:tblPr>
      <w:tblGrid>
        <w:gridCol w:w="2381"/>
        <w:gridCol w:w="3314"/>
        <w:gridCol w:w="4267"/>
      </w:tblGrid>
      <w:tr w:rsidR="00575A93" w:rsidRPr="001570F6" w14:paraId="6535FE1F" w14:textId="77777777">
        <w:trPr>
          <w:jc w:val="center"/>
        </w:trPr>
        <w:tc>
          <w:tcPr>
            <w:tcW w:w="2448" w:type="dxa"/>
            <w:shd w:val="clear" w:color="auto" w:fill="1F4E79"/>
          </w:tcPr>
          <w:p w14:paraId="30B81B2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Teaching use</w:t>
            </w:r>
          </w:p>
        </w:tc>
        <w:tc>
          <w:tcPr>
            <w:tcW w:w="3456" w:type="dxa"/>
            <w:shd w:val="clear" w:color="auto" w:fill="1F4E79"/>
          </w:tcPr>
          <w:p w14:paraId="21F5F4B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Primary student role</w:t>
            </w:r>
          </w:p>
        </w:tc>
        <w:tc>
          <w:tcPr>
            <w:tcW w:w="4464" w:type="dxa"/>
            <w:shd w:val="clear" w:color="auto" w:fill="1F4E79"/>
          </w:tcPr>
          <w:p w14:paraId="73BAED7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Typical output</w:t>
            </w:r>
          </w:p>
        </w:tc>
      </w:tr>
      <w:tr w:rsidR="00575A93" w:rsidRPr="001570F6" w14:paraId="5F507080" w14:textId="77777777">
        <w:trPr>
          <w:jc w:val="center"/>
        </w:trPr>
        <w:tc>
          <w:tcPr>
            <w:tcW w:w="2448" w:type="dxa"/>
          </w:tcPr>
          <w:p w14:paraId="6362D52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response</w:t>
            </w:r>
          </w:p>
        </w:tc>
        <w:tc>
          <w:tcPr>
            <w:tcW w:w="3456" w:type="dxa"/>
          </w:tcPr>
          <w:p w14:paraId="61976C7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Cyber incident response analyst or crisis team member</w:t>
            </w:r>
          </w:p>
        </w:tc>
        <w:tc>
          <w:tcPr>
            <w:tcW w:w="4464" w:type="dxa"/>
          </w:tcPr>
          <w:p w14:paraId="092804E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classification, situation report, containment plan, notification plan, executive briefing, lessons-learned report</w:t>
            </w:r>
          </w:p>
        </w:tc>
      </w:tr>
      <w:tr w:rsidR="00575A93" w:rsidRPr="001570F6" w14:paraId="71F7EC28" w14:textId="77777777">
        <w:trPr>
          <w:jc w:val="center"/>
        </w:trPr>
        <w:tc>
          <w:tcPr>
            <w:tcW w:w="2448" w:type="dxa"/>
          </w:tcPr>
          <w:p w14:paraId="2BF8B7E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planning</w:t>
            </w:r>
          </w:p>
        </w:tc>
        <w:tc>
          <w:tcPr>
            <w:tcW w:w="3456" w:type="dxa"/>
          </w:tcPr>
          <w:p w14:paraId="7FB3740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Internal IT auditor or cybersecurity audit manager</w:t>
            </w:r>
          </w:p>
        </w:tc>
        <w:tc>
          <w:tcPr>
            <w:tcW w:w="4464" w:type="dxa"/>
          </w:tcPr>
          <w:p w14:paraId="227808D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universe, risk-based annual audit plan, audit objectives, control testing approach, audit committee memo</w:t>
            </w:r>
          </w:p>
        </w:tc>
      </w:tr>
      <w:tr w:rsidR="00575A93" w:rsidRPr="001570F6" w14:paraId="14FCEF60" w14:textId="77777777">
        <w:trPr>
          <w:jc w:val="center"/>
        </w:trPr>
        <w:tc>
          <w:tcPr>
            <w:tcW w:w="2448" w:type="dxa"/>
          </w:tcPr>
          <w:p w14:paraId="4F2BA26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Risk management</w:t>
            </w:r>
          </w:p>
        </w:tc>
        <w:tc>
          <w:tcPr>
            <w:tcW w:w="3456" w:type="dxa"/>
          </w:tcPr>
          <w:p w14:paraId="58015A0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Cybersecurity risk analyst in the CISO organization</w:t>
            </w:r>
          </w:p>
        </w:tc>
        <w:tc>
          <w:tcPr>
            <w:tcW w:w="4464" w:type="dxa"/>
          </w:tcPr>
          <w:p w14:paraId="46E6880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Risk register, scenario analysis, risk treatment plan, budgeted 2024-2027 roadmap with budget projections through 2030, Board-level risk acceptance recommendation</w:t>
            </w:r>
          </w:p>
        </w:tc>
      </w:tr>
    </w:tbl>
    <w:p w14:paraId="03EEF476" w14:textId="77777777" w:rsidR="00575A93" w:rsidRPr="001570F6" w:rsidRDefault="00000000" w:rsidP="001570F6">
      <w:pPr>
        <w:pStyle w:val="Titre2"/>
      </w:pPr>
      <w:r w:rsidRPr="001570F6">
        <w:t>Learning objectives</w:t>
      </w:r>
    </w:p>
    <w:p w14:paraId="01251269"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After completing the case, students should be able to explain how a cyber incident moves from technical detection to enterprise crisis management; identify incident response priorities under uncertainty; distinguish between technical vulnerability severity and business risk; design a risk-based audit plan; assess the adequacy of governance, controls, and </w:t>
      </w:r>
      <w:r w:rsidRPr="001570F6">
        <w:rPr>
          <w:rFonts w:cs="Arial"/>
          <w:sz w:val="24"/>
          <w:szCs w:val="24"/>
        </w:rPr>
        <w:lastRenderedPageBreak/>
        <w:t>remediation; develop a cybersecurity risk register; justify risk treatment choices in relation to risk appetite; and communicate cybersecurity risk to senior executives and the Board.</w:t>
      </w:r>
    </w:p>
    <w:p w14:paraId="063FFAD3"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case intentionally requires judgment. Students should not expect a single correct answer. Strong submissions should be evidence-based, internally consistent, transparent about uncertainty, and aligned with ACRB’s business context, regulatory exposure, resource constraints, and risk appetite.</w:t>
      </w:r>
    </w:p>
    <w:p w14:paraId="5F86185D" w14:textId="77777777" w:rsidR="00575A93" w:rsidRPr="001570F6" w:rsidRDefault="00000000" w:rsidP="001570F6">
      <w:pPr>
        <w:pStyle w:val="Titre1"/>
      </w:pPr>
      <w:r w:rsidRPr="001570F6">
        <w:t>2. Student Case Narrative</w:t>
      </w:r>
    </w:p>
    <w:p w14:paraId="36619777" w14:textId="4B07A1BD"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You are a full-time employee of Atlantic Canada Regional Bank working in the newly created cybersecurity group. Depending on the assignment, your role may be </w:t>
      </w:r>
      <w:r w:rsidR="00613EEC" w:rsidRPr="001570F6">
        <w:rPr>
          <w:rFonts w:cs="Arial"/>
          <w:sz w:val="24"/>
          <w:szCs w:val="24"/>
        </w:rPr>
        <w:t>an incident response analyst, an internal audit liaison, a cybersecurity risk analyst, or an advisor</w:t>
      </w:r>
      <w:r w:rsidRPr="001570F6">
        <w:rPr>
          <w:rFonts w:cs="Arial"/>
          <w:sz w:val="24"/>
          <w:szCs w:val="24"/>
        </w:rPr>
        <w:t xml:space="preserve"> to the CISO</w:t>
      </w:r>
      <w:r w:rsidR="001570F6">
        <w:rPr>
          <w:rFonts w:cs="Arial"/>
          <w:sz w:val="24"/>
          <w:szCs w:val="24"/>
        </w:rPr>
        <w:t>, as indicated by your instructor or the assignment description provided to you</w:t>
      </w:r>
      <w:r w:rsidRPr="001570F6">
        <w:rPr>
          <w:rFonts w:cs="Arial"/>
          <w:sz w:val="24"/>
          <w:szCs w:val="24"/>
        </w:rPr>
        <w:t>. The bank is recovering from a major cyber incident and must now demonstrate to customers, regulators, employees, the Board of Directors, and the public that it can operate safely and resiliently.</w:t>
      </w:r>
    </w:p>
    <w:p w14:paraId="58FC9322" w14:textId="097340BE"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The CISO has asked your team to produce practical, decision-ready work. The immediate concern is to understand what happened, contain the incident, restore essential services, meet notification obligations, and preserve evidence. The medium-term concern is to determine whether the bank’s controls, processes, and governance arrangements were adequate before the incident and whether remediation is working. The long-term concern is to develop a risk-informed cybersecurity program for the </w:t>
      </w:r>
      <w:r w:rsidR="001570F6">
        <w:rPr>
          <w:rFonts w:cs="Arial"/>
          <w:sz w:val="24"/>
          <w:szCs w:val="24"/>
        </w:rPr>
        <w:t>next three (3) years</w:t>
      </w:r>
      <w:r w:rsidRPr="001570F6">
        <w:rPr>
          <w:rFonts w:cs="Arial"/>
          <w:sz w:val="24"/>
          <w:szCs w:val="24"/>
        </w:rPr>
        <w:t xml:space="preserve"> planning horizon, with longer-term budget projections extending through </w:t>
      </w:r>
      <w:r w:rsidR="001570F6">
        <w:rPr>
          <w:rFonts w:cs="Arial"/>
          <w:sz w:val="24"/>
          <w:szCs w:val="24"/>
        </w:rPr>
        <w:t>the next five (5) years</w:t>
      </w:r>
      <w:r w:rsidRPr="001570F6">
        <w:rPr>
          <w:rFonts w:cs="Arial"/>
          <w:sz w:val="24"/>
          <w:szCs w:val="24"/>
        </w:rPr>
        <w:t>.</w:t>
      </w:r>
    </w:p>
    <w:p w14:paraId="6CA5768F" w14:textId="4A74CDB2"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case provides background information, known facts, partial evidence, risk scenarios, and templates. Some facts are deliberately incomplete. Students are expected to identify information gaps, make reasonable assumptions, document those assumptions</w:t>
      </w:r>
      <w:r w:rsidR="001570F6">
        <w:rPr>
          <w:rFonts w:cs="Arial"/>
          <w:sz w:val="24"/>
          <w:szCs w:val="24"/>
        </w:rPr>
        <w:t xml:space="preserve"> in their submission</w:t>
      </w:r>
      <w:r w:rsidRPr="001570F6">
        <w:rPr>
          <w:rFonts w:cs="Arial"/>
          <w:sz w:val="24"/>
          <w:szCs w:val="24"/>
        </w:rPr>
        <w:t>, and explain how additional evidence would change their conclusions.</w:t>
      </w:r>
    </w:p>
    <w:tbl>
      <w:tblPr>
        <w:tblStyle w:val="Grilledutableau"/>
        <w:tblW w:w="0" w:type="auto"/>
        <w:jc w:val="center"/>
        <w:tblLook w:val="04A0" w:firstRow="1" w:lastRow="0" w:firstColumn="1" w:lastColumn="0" w:noHBand="0" w:noVBand="1"/>
      </w:tblPr>
      <w:tblGrid>
        <w:gridCol w:w="3624"/>
        <w:gridCol w:w="6338"/>
      </w:tblGrid>
      <w:tr w:rsidR="00575A93" w:rsidRPr="001570F6" w14:paraId="7F54110A" w14:textId="77777777">
        <w:trPr>
          <w:jc w:val="center"/>
        </w:trPr>
        <w:tc>
          <w:tcPr>
            <w:tcW w:w="3744" w:type="dxa"/>
            <w:shd w:val="clear" w:color="auto" w:fill="1F4E79"/>
          </w:tcPr>
          <w:p w14:paraId="22C24BC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Key decision question</w:t>
            </w:r>
          </w:p>
        </w:tc>
        <w:tc>
          <w:tcPr>
            <w:tcW w:w="6624" w:type="dxa"/>
            <w:shd w:val="clear" w:color="auto" w:fill="1F4E79"/>
          </w:tcPr>
          <w:p w14:paraId="12E1E67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Why it matters</w:t>
            </w:r>
          </w:p>
        </w:tc>
      </w:tr>
      <w:tr w:rsidR="00575A93" w:rsidRPr="001570F6" w14:paraId="7AAEAA72" w14:textId="77777777">
        <w:trPr>
          <w:jc w:val="center"/>
        </w:trPr>
        <w:tc>
          <w:tcPr>
            <w:tcW w:w="3744" w:type="dxa"/>
          </w:tcPr>
          <w:p w14:paraId="571E9F5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When should ACRB declare a major cyber incident?</w:t>
            </w:r>
          </w:p>
        </w:tc>
        <w:tc>
          <w:tcPr>
            <w:tcW w:w="6624" w:type="dxa"/>
          </w:tcPr>
          <w:p w14:paraId="4CD3F6C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Declaring too late may worsen harm and delay required notifications; declaring too early may cause operational disruption and public pressure before facts are known.</w:t>
            </w:r>
          </w:p>
        </w:tc>
      </w:tr>
      <w:tr w:rsidR="00575A93" w:rsidRPr="001570F6" w14:paraId="79DFCB33" w14:textId="77777777">
        <w:trPr>
          <w:jc w:val="center"/>
        </w:trPr>
        <w:tc>
          <w:tcPr>
            <w:tcW w:w="3744" w:type="dxa"/>
          </w:tcPr>
          <w:p w14:paraId="19CDD12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Should systems be isolated, shut down, or kept operating?</w:t>
            </w:r>
          </w:p>
        </w:tc>
        <w:tc>
          <w:tcPr>
            <w:tcW w:w="6624" w:type="dxa"/>
          </w:tcPr>
          <w:p w14:paraId="07DE654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Containment can protect data and preserve evidence, but it may also interrupt online banking, ATMs, branches, and customer service.</w:t>
            </w:r>
          </w:p>
        </w:tc>
      </w:tr>
      <w:tr w:rsidR="00575A93" w:rsidRPr="001570F6" w14:paraId="4AF1D790" w14:textId="77777777">
        <w:trPr>
          <w:jc w:val="center"/>
        </w:trPr>
        <w:tc>
          <w:tcPr>
            <w:tcW w:w="3744" w:type="dxa"/>
          </w:tcPr>
          <w:p w14:paraId="19835A2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What should be communicated to regulators, customers, employees, and the media?</w:t>
            </w:r>
          </w:p>
        </w:tc>
        <w:tc>
          <w:tcPr>
            <w:tcW w:w="6624" w:type="dxa"/>
          </w:tcPr>
          <w:p w14:paraId="5F25DF3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Transparency can preserve trust, but premature or inaccurate communications can create legal, reputational, and operational risk.</w:t>
            </w:r>
          </w:p>
        </w:tc>
      </w:tr>
      <w:tr w:rsidR="00575A93" w:rsidRPr="001570F6" w14:paraId="10D60079" w14:textId="77777777">
        <w:trPr>
          <w:jc w:val="center"/>
        </w:trPr>
        <w:tc>
          <w:tcPr>
            <w:tcW w:w="3744" w:type="dxa"/>
          </w:tcPr>
          <w:p w14:paraId="3AE7963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Which controls failed and why?</w:t>
            </w:r>
          </w:p>
        </w:tc>
        <w:tc>
          <w:tcPr>
            <w:tcW w:w="6624" w:type="dxa"/>
          </w:tcPr>
          <w:p w14:paraId="6179985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and risk management require root-cause analysis, not only a description of the attack.</w:t>
            </w:r>
          </w:p>
        </w:tc>
      </w:tr>
      <w:tr w:rsidR="00575A93" w:rsidRPr="001570F6" w14:paraId="43720BE8" w14:textId="77777777">
        <w:trPr>
          <w:jc w:val="center"/>
        </w:trPr>
        <w:tc>
          <w:tcPr>
            <w:tcW w:w="3744" w:type="dxa"/>
          </w:tcPr>
          <w:p w14:paraId="7CDCE4A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Which remediation actions should be funded first?</w:t>
            </w:r>
          </w:p>
        </w:tc>
        <w:tc>
          <w:tcPr>
            <w:tcW w:w="6624" w:type="dxa"/>
          </w:tcPr>
          <w:p w14:paraId="413C5AB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The bank has finite money, staff, and implementation capacity. Risk treatment must be prioritized.</w:t>
            </w:r>
          </w:p>
        </w:tc>
      </w:tr>
    </w:tbl>
    <w:p w14:paraId="67AF691D" w14:textId="77777777" w:rsidR="00575A93" w:rsidRPr="00B33BFD" w:rsidRDefault="00000000" w:rsidP="00B33BFD">
      <w:pPr>
        <w:pStyle w:val="Titre1"/>
      </w:pPr>
      <w:r w:rsidRPr="00B33BFD">
        <w:t>3. ACRB Background and Business Profile</w:t>
      </w:r>
    </w:p>
    <w:p w14:paraId="4F606EFA" w14:textId="5BFCC79A"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Atlantic Canada Regional Bank </w:t>
      </w:r>
      <w:r w:rsidR="001570F6">
        <w:rPr>
          <w:rFonts w:cs="Arial"/>
          <w:sz w:val="24"/>
          <w:szCs w:val="24"/>
        </w:rPr>
        <w:t xml:space="preserve">(ACRB) </w:t>
      </w:r>
      <w:r w:rsidRPr="001570F6">
        <w:rPr>
          <w:rFonts w:cs="Arial"/>
          <w:sz w:val="24"/>
          <w:szCs w:val="24"/>
        </w:rPr>
        <w:t>is a small, community-centric financial institution headquartered in Halifax, Nova Scotia. It was founded in 1952 and focuses on local banking services for households, small businesses, and community organizations. The bank’s reputation is strongly connected to trust, local presence, and personalized customer service.</w:t>
      </w:r>
    </w:p>
    <w:p w14:paraId="418E46CF" w14:textId="276A28D1"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ACRB operates 30 local branches across Atlantic Canada. Many branches </w:t>
      </w:r>
      <w:r w:rsidR="001570F6" w:rsidRPr="001570F6">
        <w:rPr>
          <w:rFonts w:cs="Arial"/>
          <w:sz w:val="24"/>
          <w:szCs w:val="24"/>
        </w:rPr>
        <w:t>are in</w:t>
      </w:r>
      <w:r w:rsidRPr="001570F6">
        <w:rPr>
          <w:rFonts w:cs="Arial"/>
          <w:sz w:val="24"/>
          <w:szCs w:val="24"/>
        </w:rPr>
        <w:t xml:space="preserve"> small towns, where ACRB is one of the few remaining financial institutions with a physical local presence. The bank also operates larger branches in Halifax, St. John’s, Moncton, and Charlottetown. It has approximately 750 employees, including around 500 client-facing staff, 83 IT staff, and a cybersecurity function that is being expanded </w:t>
      </w:r>
      <w:r w:rsidR="00B33BFD">
        <w:rPr>
          <w:rFonts w:cs="Arial"/>
          <w:sz w:val="24"/>
          <w:szCs w:val="24"/>
        </w:rPr>
        <w:t>following</w:t>
      </w:r>
      <w:r w:rsidRPr="001570F6">
        <w:rPr>
          <w:rFonts w:cs="Arial"/>
          <w:sz w:val="24"/>
          <w:szCs w:val="24"/>
        </w:rPr>
        <w:t xml:space="preserve"> </w:t>
      </w:r>
      <w:r w:rsidR="00B33BFD">
        <w:rPr>
          <w:rFonts w:cs="Arial"/>
          <w:sz w:val="24"/>
          <w:szCs w:val="24"/>
        </w:rPr>
        <w:t>a major</w:t>
      </w:r>
      <w:r w:rsidRPr="001570F6">
        <w:rPr>
          <w:rFonts w:cs="Arial"/>
          <w:sz w:val="24"/>
          <w:szCs w:val="24"/>
        </w:rPr>
        <w:t xml:space="preserve"> 2022 </w:t>
      </w:r>
      <w:r w:rsidR="00B33BFD">
        <w:rPr>
          <w:rFonts w:cs="Arial"/>
          <w:sz w:val="24"/>
          <w:szCs w:val="24"/>
        </w:rPr>
        <w:t xml:space="preserve">cybersecurity </w:t>
      </w:r>
      <w:r w:rsidRPr="001570F6">
        <w:rPr>
          <w:rFonts w:cs="Arial"/>
          <w:sz w:val="24"/>
          <w:szCs w:val="24"/>
        </w:rPr>
        <w:t>incident</w:t>
      </w:r>
      <w:r w:rsidR="00B33BFD">
        <w:rPr>
          <w:rFonts w:cs="Arial"/>
          <w:sz w:val="24"/>
          <w:szCs w:val="24"/>
        </w:rPr>
        <w:t xml:space="preserve"> that made national headlines in Canada</w:t>
      </w:r>
      <w:r w:rsidRPr="001570F6">
        <w:rPr>
          <w:rFonts w:cs="Arial"/>
          <w:sz w:val="24"/>
          <w:szCs w:val="24"/>
        </w:rPr>
        <w:t>.</w:t>
      </w:r>
    </w:p>
    <w:p w14:paraId="0A3F52D0" w14:textId="255FCE71"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ACRB’s business strategy depends increasingly on digital channels. The bank provides an online banking portal, </w:t>
      </w:r>
      <w:r w:rsidR="00B33BFD">
        <w:rPr>
          <w:rFonts w:cs="Arial"/>
          <w:sz w:val="24"/>
          <w:szCs w:val="24"/>
        </w:rPr>
        <w:t xml:space="preserve">a </w:t>
      </w:r>
      <w:r w:rsidRPr="001570F6">
        <w:rPr>
          <w:rFonts w:cs="Arial"/>
          <w:sz w:val="24"/>
          <w:szCs w:val="24"/>
        </w:rPr>
        <w:t xml:space="preserve">mobile banking application, </w:t>
      </w:r>
      <w:r w:rsidR="00B33BFD">
        <w:rPr>
          <w:rFonts w:cs="Arial"/>
          <w:sz w:val="24"/>
          <w:szCs w:val="24"/>
        </w:rPr>
        <w:t xml:space="preserve">an </w:t>
      </w:r>
      <w:r w:rsidRPr="001570F6">
        <w:rPr>
          <w:rFonts w:cs="Arial"/>
          <w:sz w:val="24"/>
          <w:szCs w:val="24"/>
        </w:rPr>
        <w:t xml:space="preserve">ATM network, </w:t>
      </w:r>
      <w:r w:rsidR="00B33BFD">
        <w:rPr>
          <w:rFonts w:cs="Arial"/>
          <w:sz w:val="24"/>
          <w:szCs w:val="24"/>
        </w:rPr>
        <w:t>point-of-sale (</w:t>
      </w:r>
      <w:r w:rsidRPr="001570F6">
        <w:rPr>
          <w:rFonts w:cs="Arial"/>
          <w:sz w:val="24"/>
          <w:szCs w:val="24"/>
        </w:rPr>
        <w:t>POS</w:t>
      </w:r>
      <w:r w:rsidR="00B33BFD">
        <w:rPr>
          <w:rFonts w:cs="Arial"/>
          <w:sz w:val="24"/>
          <w:szCs w:val="24"/>
        </w:rPr>
        <w:t>)</w:t>
      </w:r>
      <w:r w:rsidRPr="001570F6">
        <w:rPr>
          <w:rFonts w:cs="Arial"/>
          <w:sz w:val="24"/>
          <w:szCs w:val="24"/>
        </w:rPr>
        <w:t xml:space="preserve"> terminal services for merchants, and digital support tools. The bank has also adopted cloud services, data analytics, customer relationship management systems, collaboration tools, and AI-enabled marketing capabilities. These investments improve service quality and efficiency, but they also increase technology dependency, third-party exposure, data governance complexity, and cyber risk.</w:t>
      </w:r>
    </w:p>
    <w:tbl>
      <w:tblPr>
        <w:tblStyle w:val="Grilledutableau"/>
        <w:tblW w:w="0" w:type="auto"/>
        <w:jc w:val="center"/>
        <w:tblLook w:val="04A0" w:firstRow="1" w:lastRow="0" w:firstColumn="1" w:lastColumn="0" w:noHBand="0" w:noVBand="1"/>
      </w:tblPr>
      <w:tblGrid>
        <w:gridCol w:w="2538"/>
        <w:gridCol w:w="7424"/>
      </w:tblGrid>
      <w:tr w:rsidR="00575A93" w:rsidRPr="001570F6" w14:paraId="72CBAC68" w14:textId="77777777">
        <w:trPr>
          <w:jc w:val="center"/>
        </w:trPr>
        <w:tc>
          <w:tcPr>
            <w:tcW w:w="2592" w:type="dxa"/>
            <w:shd w:val="clear" w:color="auto" w:fill="1F4E79"/>
          </w:tcPr>
          <w:p w14:paraId="3A58A05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Business attribute</w:t>
            </w:r>
          </w:p>
        </w:tc>
        <w:tc>
          <w:tcPr>
            <w:tcW w:w="7776" w:type="dxa"/>
            <w:shd w:val="clear" w:color="auto" w:fill="1F4E79"/>
          </w:tcPr>
          <w:p w14:paraId="750C454E" w14:textId="77777777" w:rsidR="00575A93" w:rsidRPr="001570F6" w:rsidRDefault="00613EEC"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Case fact</w:t>
            </w:r>
          </w:p>
        </w:tc>
      </w:tr>
      <w:tr w:rsidR="00575A93" w:rsidRPr="001570F6" w14:paraId="0C52C3E1" w14:textId="77777777">
        <w:trPr>
          <w:jc w:val="center"/>
        </w:trPr>
        <w:tc>
          <w:tcPr>
            <w:tcW w:w="2592" w:type="dxa"/>
          </w:tcPr>
          <w:p w14:paraId="0AA2015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Headquarters</w:t>
            </w:r>
          </w:p>
        </w:tc>
        <w:tc>
          <w:tcPr>
            <w:tcW w:w="7776" w:type="dxa"/>
          </w:tcPr>
          <w:p w14:paraId="041A9F0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Halifax, Nova Scotia</w:t>
            </w:r>
          </w:p>
        </w:tc>
      </w:tr>
      <w:tr w:rsidR="00575A93" w:rsidRPr="001570F6" w14:paraId="2DD67D71" w14:textId="77777777">
        <w:trPr>
          <w:jc w:val="center"/>
        </w:trPr>
        <w:tc>
          <w:tcPr>
            <w:tcW w:w="2592" w:type="dxa"/>
          </w:tcPr>
          <w:p w14:paraId="5E31526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Branch network</w:t>
            </w:r>
          </w:p>
        </w:tc>
        <w:tc>
          <w:tcPr>
            <w:tcW w:w="7776" w:type="dxa"/>
          </w:tcPr>
          <w:p w14:paraId="2532EDB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30 branches across Atlantic Canada, including major branches in Halifax, St. John’s, Moncton, and Charlottetown</w:t>
            </w:r>
          </w:p>
        </w:tc>
      </w:tr>
      <w:tr w:rsidR="00575A93" w:rsidRPr="001570F6" w14:paraId="4C4119B7" w14:textId="77777777">
        <w:trPr>
          <w:jc w:val="center"/>
        </w:trPr>
        <w:tc>
          <w:tcPr>
            <w:tcW w:w="2592" w:type="dxa"/>
          </w:tcPr>
          <w:p w14:paraId="18972A7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Employees</w:t>
            </w:r>
          </w:p>
        </w:tc>
        <w:tc>
          <w:tcPr>
            <w:tcW w:w="7776" w:type="dxa"/>
          </w:tcPr>
          <w:p w14:paraId="7A45364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Approximately 750, including branch staff, IT personnel, cybersecurity personnel, and corporate functions</w:t>
            </w:r>
          </w:p>
        </w:tc>
      </w:tr>
      <w:tr w:rsidR="00575A93" w:rsidRPr="001570F6" w14:paraId="7764B558" w14:textId="77777777">
        <w:trPr>
          <w:jc w:val="center"/>
        </w:trPr>
        <w:tc>
          <w:tcPr>
            <w:tcW w:w="2592" w:type="dxa"/>
          </w:tcPr>
          <w:p w14:paraId="788450F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Digital channels</w:t>
            </w:r>
          </w:p>
        </w:tc>
        <w:tc>
          <w:tcPr>
            <w:tcW w:w="7776" w:type="dxa"/>
          </w:tcPr>
          <w:p w14:paraId="07237C5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Online banking, mobile banking, ATMs, POS terminals, call center, and customer support systems</w:t>
            </w:r>
          </w:p>
        </w:tc>
      </w:tr>
      <w:tr w:rsidR="00575A93" w:rsidRPr="001570F6" w14:paraId="7F90A6E7" w14:textId="77777777">
        <w:trPr>
          <w:jc w:val="center"/>
        </w:trPr>
        <w:tc>
          <w:tcPr>
            <w:tcW w:w="2592" w:type="dxa"/>
          </w:tcPr>
          <w:p w14:paraId="6D8DD83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Strategic pressure</w:t>
            </w:r>
          </w:p>
        </w:tc>
        <w:tc>
          <w:tcPr>
            <w:tcW w:w="7776" w:type="dxa"/>
          </w:tcPr>
          <w:p w14:paraId="75ACC1B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Modernize digital banking while preserving customer trust and regulatory confidence after a major cyber incident</w:t>
            </w:r>
          </w:p>
        </w:tc>
      </w:tr>
      <w:tr w:rsidR="00575A93" w:rsidRPr="001570F6" w14:paraId="63591CEE" w14:textId="77777777">
        <w:trPr>
          <w:jc w:val="center"/>
        </w:trPr>
        <w:tc>
          <w:tcPr>
            <w:tcW w:w="2592" w:type="dxa"/>
          </w:tcPr>
          <w:p w14:paraId="6B5FDDE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Central risk issue</w:t>
            </w:r>
          </w:p>
        </w:tc>
        <w:tc>
          <w:tcPr>
            <w:tcW w:w="7776" w:type="dxa"/>
          </w:tcPr>
          <w:p w14:paraId="57D00B9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ACRB must become more cyber-resilient without losing agility, overspending, or creating unacceptable customer disruption</w:t>
            </w:r>
          </w:p>
        </w:tc>
      </w:tr>
    </w:tbl>
    <w:p w14:paraId="63376EFD"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Branch network and operational dependency</w:t>
      </w:r>
    </w:p>
    <w:p w14:paraId="60A9D120"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branch network is central to ACRB’s identity, but the branches are highly dependent on central technology services. Branch staff rely on connectivity to core banking applications, customer records, identity services, email, telephony, and digital transaction systems. Any disruption to central authentication, core banking, network connectivity, or customer databases quickly affects teller services, loan processing, customer support, ATM reconciliation, and customer trust.</w:t>
      </w:r>
    </w:p>
    <w:p w14:paraId="6DC8A412"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For the incident response exercise, students should consider that operational decisions taken at headquarters may have immediate effects on remote communities. For the audit exercise, students should consider whether branch-level controls and evidence are sufficient. For the risk management exercise, students should consider whether the bank’s resilience expectations differ between digital-only services and communities where customers rely on local branches.</w:t>
      </w:r>
    </w:p>
    <w:p w14:paraId="454B3283" w14:textId="77777777" w:rsidR="00575A93" w:rsidRPr="00B33BFD" w:rsidRDefault="00000000" w:rsidP="00B33BFD">
      <w:pPr>
        <w:pStyle w:val="Titre1"/>
      </w:pPr>
      <w:r w:rsidRPr="00B33BFD">
        <w:t>4. Governance, Technology, and Cybersecurity Operating Model</w:t>
      </w:r>
    </w:p>
    <w:p w14:paraId="70DD9BAF"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Governance model</w:t>
      </w:r>
    </w:p>
    <w:p w14:paraId="00AA8F73"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Before the 2022 incident, technology risk was treated primarily as an IT operational issue. The CIO controlled most technology priorities, while cybersecurity capabilities were embedded in IT. After the incident, the Board concluded that cybersecurity required stronger independent visibility and clearer accountability.</w:t>
      </w:r>
    </w:p>
    <w:p w14:paraId="2A4DE075"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In th</w:t>
      </w:r>
      <w:r w:rsidR="00613EEC" w:rsidRPr="001570F6">
        <w:rPr>
          <w:rFonts w:cs="Arial"/>
          <w:sz w:val="24"/>
          <w:szCs w:val="24"/>
        </w:rPr>
        <w:t>is</w:t>
      </w:r>
      <w:r w:rsidRPr="001570F6">
        <w:rPr>
          <w:rFonts w:cs="Arial"/>
          <w:sz w:val="24"/>
          <w:szCs w:val="24"/>
        </w:rPr>
        <w:t xml:space="preserve"> </w:t>
      </w:r>
      <w:r w:rsidR="00613EEC" w:rsidRPr="001570F6">
        <w:rPr>
          <w:rFonts w:cs="Arial"/>
          <w:sz w:val="24"/>
          <w:szCs w:val="24"/>
        </w:rPr>
        <w:t>case</w:t>
      </w:r>
      <w:r w:rsidRPr="001570F6">
        <w:rPr>
          <w:rFonts w:cs="Arial"/>
          <w:sz w:val="24"/>
          <w:szCs w:val="24"/>
        </w:rPr>
        <w:t>, the CISO reports administratively to the CEO and has direct access to the Board Risk and Audit Committee. The CISO coordinates operationally with the CIO but is not subordinate to the CIO for risk reporting. This reporting model is intended to preserve operational collaboration while ensuring that technology and cyber risks can be escalated independently when necessary.</w:t>
      </w:r>
    </w:p>
    <w:tbl>
      <w:tblPr>
        <w:tblStyle w:val="Grilledutableau"/>
        <w:tblW w:w="0" w:type="auto"/>
        <w:jc w:val="center"/>
        <w:tblLook w:val="04A0" w:firstRow="1" w:lastRow="0" w:firstColumn="1" w:lastColumn="0" w:noHBand="0" w:noVBand="1"/>
      </w:tblPr>
      <w:tblGrid>
        <w:gridCol w:w="2794"/>
        <w:gridCol w:w="7168"/>
      </w:tblGrid>
      <w:tr w:rsidR="00575A93" w:rsidRPr="001570F6" w14:paraId="3C9A2627" w14:textId="77777777">
        <w:trPr>
          <w:jc w:val="center"/>
        </w:trPr>
        <w:tc>
          <w:tcPr>
            <w:tcW w:w="2880" w:type="dxa"/>
            <w:shd w:val="clear" w:color="auto" w:fill="1F4E79"/>
          </w:tcPr>
          <w:p w14:paraId="08A8AC6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Role</w:t>
            </w:r>
          </w:p>
        </w:tc>
        <w:tc>
          <w:tcPr>
            <w:tcW w:w="7488" w:type="dxa"/>
            <w:shd w:val="clear" w:color="auto" w:fill="1F4E79"/>
          </w:tcPr>
          <w:p w14:paraId="49EA4D09" w14:textId="77777777" w:rsidR="00575A93" w:rsidRPr="001570F6" w:rsidRDefault="00613EEC"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Accountability</w:t>
            </w:r>
          </w:p>
        </w:tc>
      </w:tr>
      <w:tr w:rsidR="00575A93" w:rsidRPr="001570F6" w14:paraId="13AA44FA" w14:textId="77777777">
        <w:trPr>
          <w:jc w:val="center"/>
        </w:trPr>
        <w:tc>
          <w:tcPr>
            <w:tcW w:w="2880" w:type="dxa"/>
          </w:tcPr>
          <w:p w14:paraId="00B67A2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Board Risk and Audit Committee</w:t>
            </w:r>
          </w:p>
        </w:tc>
        <w:tc>
          <w:tcPr>
            <w:tcW w:w="7488" w:type="dxa"/>
          </w:tcPr>
          <w:p w14:paraId="7379687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Oversees technology and cyber risk appetite, major incident reporting, remediation status, and acceptance of material residual risks.</w:t>
            </w:r>
          </w:p>
        </w:tc>
      </w:tr>
      <w:tr w:rsidR="00575A93" w:rsidRPr="001570F6" w14:paraId="689AD56C" w14:textId="77777777">
        <w:trPr>
          <w:jc w:val="center"/>
        </w:trPr>
        <w:tc>
          <w:tcPr>
            <w:tcW w:w="2880" w:type="dxa"/>
          </w:tcPr>
          <w:p w14:paraId="0624E74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CEO</w:t>
            </w:r>
          </w:p>
        </w:tc>
        <w:tc>
          <w:tcPr>
            <w:tcW w:w="7488" w:type="dxa"/>
          </w:tcPr>
          <w:p w14:paraId="50C9CBC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Owns enterprise accountability for resilience, customer trust, and regulatory response. Chairs the executive crisis team during major incidents.</w:t>
            </w:r>
          </w:p>
        </w:tc>
      </w:tr>
      <w:tr w:rsidR="00575A93" w:rsidRPr="001570F6" w14:paraId="7454EE22" w14:textId="77777777">
        <w:trPr>
          <w:jc w:val="center"/>
        </w:trPr>
        <w:tc>
          <w:tcPr>
            <w:tcW w:w="2880" w:type="dxa"/>
          </w:tcPr>
          <w:p w14:paraId="16FA8B6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CISO</w:t>
            </w:r>
          </w:p>
        </w:tc>
        <w:tc>
          <w:tcPr>
            <w:tcW w:w="7488" w:type="dxa"/>
          </w:tcPr>
          <w:p w14:paraId="24C3530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Leads cybersecurity strategy, cyber risk management, incident response governance, security monitoring, awareness, and cyber reporting to executives and the Board.</w:t>
            </w:r>
          </w:p>
        </w:tc>
      </w:tr>
      <w:tr w:rsidR="00575A93" w:rsidRPr="001570F6" w14:paraId="4EC549E8" w14:textId="77777777">
        <w:trPr>
          <w:jc w:val="center"/>
        </w:trPr>
        <w:tc>
          <w:tcPr>
            <w:tcW w:w="2880" w:type="dxa"/>
          </w:tcPr>
          <w:p w14:paraId="7940903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CIO</w:t>
            </w:r>
          </w:p>
        </w:tc>
        <w:tc>
          <w:tcPr>
            <w:tcW w:w="7488" w:type="dxa"/>
          </w:tcPr>
          <w:p w14:paraId="3CE8EC7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Owns IT operations, infrastructure, application delivery, service continuity, and technology modernization. Works with the CISO to remediate control gaps.</w:t>
            </w:r>
          </w:p>
        </w:tc>
      </w:tr>
      <w:tr w:rsidR="00575A93" w:rsidRPr="001570F6" w14:paraId="3C0B1DFB" w14:textId="77777777">
        <w:trPr>
          <w:jc w:val="center"/>
        </w:trPr>
        <w:tc>
          <w:tcPr>
            <w:tcW w:w="2880" w:type="dxa"/>
          </w:tcPr>
          <w:p w14:paraId="01B1229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Internal Audit</w:t>
            </w:r>
          </w:p>
        </w:tc>
        <w:tc>
          <w:tcPr>
            <w:tcW w:w="7488" w:type="dxa"/>
          </w:tcPr>
          <w:p w14:paraId="03890ED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Provides independent assurance on governance, risk management, control design, control operating effectiveness, and remediation progress.</w:t>
            </w:r>
          </w:p>
        </w:tc>
      </w:tr>
      <w:tr w:rsidR="00575A93" w:rsidRPr="001570F6" w14:paraId="7EF67432" w14:textId="77777777">
        <w:trPr>
          <w:jc w:val="center"/>
        </w:trPr>
        <w:tc>
          <w:tcPr>
            <w:tcW w:w="2880" w:type="dxa"/>
          </w:tcPr>
          <w:p w14:paraId="118A08C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Business units</w:t>
            </w:r>
          </w:p>
        </w:tc>
        <w:tc>
          <w:tcPr>
            <w:tcW w:w="7488" w:type="dxa"/>
          </w:tcPr>
          <w:p w14:paraId="777FDAB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Own business process risk, customer impacts, operational workarounds, and participation in incident response and recovery.</w:t>
            </w:r>
          </w:p>
        </w:tc>
      </w:tr>
    </w:tbl>
    <w:p w14:paraId="4FD49A93" w14:textId="77777777" w:rsidR="00575A93" w:rsidRPr="001570F6" w:rsidRDefault="00575A93" w:rsidP="001570F6">
      <w:pPr>
        <w:pStyle w:val="Small"/>
        <w:adjustRightInd w:val="0"/>
        <w:snapToGrid w:val="0"/>
        <w:spacing w:before="240" w:after="240" w:line="240" w:lineRule="auto"/>
        <w:rPr>
          <w:rFonts w:cs="Arial"/>
          <w:sz w:val="24"/>
          <w:szCs w:val="24"/>
        </w:rPr>
      </w:pPr>
    </w:p>
    <w:p w14:paraId="2A3ACF59"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Technology environment</w:t>
      </w:r>
    </w:p>
    <w:p w14:paraId="2D3149EC"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ACRB’s technology environment combines legacy systems, modern digital channels, cloud services, and distributed branch operations. This combination is realistic for a regional bank and creates several risk management challenges: incomplete asset inventories, complex dependencies, inconsistent patching, reliance on third-party vendors, and difficulty coordinating incident response across old and new platforms.</w:t>
      </w:r>
    </w:p>
    <w:tbl>
      <w:tblPr>
        <w:tblStyle w:val="Grilledutableau"/>
        <w:tblW w:w="0" w:type="auto"/>
        <w:jc w:val="center"/>
        <w:tblLook w:val="04A0" w:firstRow="1" w:lastRow="0" w:firstColumn="1" w:lastColumn="0" w:noHBand="0" w:noVBand="1"/>
      </w:tblPr>
      <w:tblGrid>
        <w:gridCol w:w="2535"/>
        <w:gridCol w:w="7427"/>
      </w:tblGrid>
      <w:tr w:rsidR="00575A93" w:rsidRPr="001570F6" w14:paraId="436CF721" w14:textId="77777777">
        <w:trPr>
          <w:jc w:val="center"/>
        </w:trPr>
        <w:tc>
          <w:tcPr>
            <w:tcW w:w="2592" w:type="dxa"/>
            <w:shd w:val="clear" w:color="auto" w:fill="1F4E79"/>
          </w:tcPr>
          <w:p w14:paraId="56EDAC3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Technology area</w:t>
            </w:r>
          </w:p>
        </w:tc>
        <w:tc>
          <w:tcPr>
            <w:tcW w:w="7776" w:type="dxa"/>
            <w:shd w:val="clear" w:color="auto" w:fill="1F4E79"/>
          </w:tcPr>
          <w:p w14:paraId="76F5814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Case facts and implications</w:t>
            </w:r>
          </w:p>
        </w:tc>
      </w:tr>
      <w:tr w:rsidR="00575A93" w:rsidRPr="001570F6" w14:paraId="340AED62" w14:textId="77777777">
        <w:trPr>
          <w:jc w:val="center"/>
        </w:trPr>
        <w:tc>
          <w:tcPr>
            <w:tcW w:w="2592" w:type="dxa"/>
          </w:tcPr>
          <w:p w14:paraId="4651765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Core banking system</w:t>
            </w:r>
          </w:p>
        </w:tc>
        <w:tc>
          <w:tcPr>
            <w:tcW w:w="7776" w:type="dxa"/>
          </w:tcPr>
          <w:p w14:paraId="3E35E12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proprietary system originally developed in the 1970s and continuously updated. It is business-critical and may be difficult to patch, monitor, segment, or modernize quickly.</w:t>
            </w:r>
          </w:p>
        </w:tc>
      </w:tr>
      <w:tr w:rsidR="00575A93" w:rsidRPr="001570F6" w14:paraId="160FF7DB" w14:textId="77777777">
        <w:trPr>
          <w:jc w:val="center"/>
        </w:trPr>
        <w:tc>
          <w:tcPr>
            <w:tcW w:w="2592" w:type="dxa"/>
          </w:tcPr>
          <w:p w14:paraId="2241912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Data centers</w:t>
            </w:r>
          </w:p>
        </w:tc>
        <w:tc>
          <w:tcPr>
            <w:tcW w:w="7776" w:type="dxa"/>
          </w:tcPr>
          <w:p w14:paraId="4869989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primary site near Halifax and a disaster recovery site in Moncton. Students should assess backup isolation, recovery testing, RTO/RPO expectations, and failover readiness.</w:t>
            </w:r>
          </w:p>
        </w:tc>
      </w:tr>
      <w:tr w:rsidR="00575A93" w:rsidRPr="001570F6" w14:paraId="0CF1F43C" w14:textId="77777777">
        <w:trPr>
          <w:jc w:val="center"/>
        </w:trPr>
        <w:tc>
          <w:tcPr>
            <w:tcW w:w="2592" w:type="dxa"/>
          </w:tcPr>
          <w:p w14:paraId="7DA450F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Network infrastructure</w:t>
            </w:r>
          </w:p>
        </w:tc>
        <w:tc>
          <w:tcPr>
            <w:tcW w:w="7776" w:type="dxa"/>
          </w:tcPr>
          <w:p w14:paraId="23C30DB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Multi-layered network with firewalls, routers, switches, IDS/IPS, VLANs, VPN branch connections, and long-standing use of Cisco equipment. Students should assess segmentation, logging, configuration management, and remote access.</w:t>
            </w:r>
          </w:p>
        </w:tc>
      </w:tr>
      <w:tr w:rsidR="00575A93" w:rsidRPr="001570F6" w14:paraId="06D6EA32" w14:textId="77777777">
        <w:trPr>
          <w:jc w:val="center"/>
        </w:trPr>
        <w:tc>
          <w:tcPr>
            <w:tcW w:w="2592" w:type="dxa"/>
          </w:tcPr>
          <w:p w14:paraId="3933519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Cloud services</w:t>
            </w:r>
          </w:p>
        </w:tc>
        <w:tc>
          <w:tcPr>
            <w:tcW w:w="7776" w:type="dxa"/>
          </w:tcPr>
          <w:p w14:paraId="00CE567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of AWS and Microsoft Azure for selected applications and storage. Students should consider cloud configuration, identity, logging, shared responsibility, and vendor oversight.</w:t>
            </w:r>
          </w:p>
        </w:tc>
      </w:tr>
      <w:tr w:rsidR="00575A93" w:rsidRPr="001570F6" w14:paraId="663BBC94" w14:textId="77777777">
        <w:trPr>
          <w:jc w:val="center"/>
        </w:trPr>
        <w:tc>
          <w:tcPr>
            <w:tcW w:w="2592" w:type="dxa"/>
          </w:tcPr>
          <w:p w14:paraId="7DE33C0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Digital banking</w:t>
            </w:r>
          </w:p>
        </w:tc>
        <w:tc>
          <w:tcPr>
            <w:tcW w:w="7776" w:type="dxa"/>
          </w:tcPr>
          <w:p w14:paraId="1182E94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Online portal and mobile app support customer transactions. Availability, authentication, secure development, API security, fraud monitoring, and customer communications are key.</w:t>
            </w:r>
          </w:p>
        </w:tc>
      </w:tr>
      <w:tr w:rsidR="00575A93" w:rsidRPr="001570F6" w14:paraId="67EBC498" w14:textId="77777777">
        <w:trPr>
          <w:jc w:val="center"/>
        </w:trPr>
        <w:tc>
          <w:tcPr>
            <w:tcW w:w="2592" w:type="dxa"/>
          </w:tcPr>
          <w:p w14:paraId="1CBE62A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ATMs and POS terminals</w:t>
            </w:r>
          </w:p>
        </w:tc>
        <w:tc>
          <w:tcPr>
            <w:tcW w:w="7776" w:type="dxa"/>
          </w:tcPr>
          <w:p w14:paraId="4EDBF8F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Approximately 800 ATMs and 700 POS terminals. These extend the bank’s attack surface and create operational resilience issues.</w:t>
            </w:r>
          </w:p>
        </w:tc>
      </w:tr>
      <w:tr w:rsidR="00575A93" w:rsidRPr="001570F6" w14:paraId="4599B7B2" w14:textId="77777777">
        <w:trPr>
          <w:jc w:val="center"/>
        </w:trPr>
        <w:tc>
          <w:tcPr>
            <w:tcW w:w="2592" w:type="dxa"/>
          </w:tcPr>
          <w:p w14:paraId="5AE1EE6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Collaboration and support</w:t>
            </w:r>
          </w:p>
        </w:tc>
        <w:tc>
          <w:tcPr>
            <w:tcW w:w="7776" w:type="dxa"/>
          </w:tcPr>
          <w:p w14:paraId="2883066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Microsoft Exchange, Teams, SharePoint, Office, Cisco VoIP/video, internal chat, SAP CRM, IVR, and customer support systems. These systems are important during both normal operations and crisis response.</w:t>
            </w:r>
          </w:p>
        </w:tc>
      </w:tr>
      <w:tr w:rsidR="00575A93" w:rsidRPr="001570F6" w14:paraId="0F1B8E46" w14:textId="77777777">
        <w:trPr>
          <w:jc w:val="center"/>
        </w:trPr>
        <w:tc>
          <w:tcPr>
            <w:tcW w:w="2592" w:type="dxa"/>
          </w:tcPr>
          <w:p w14:paraId="3529016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Analytics and AI-enabled marketing</w:t>
            </w:r>
          </w:p>
        </w:tc>
        <w:tc>
          <w:tcPr>
            <w:tcW w:w="7776" w:type="dxa"/>
          </w:tcPr>
          <w:p w14:paraId="0128A3AB" w14:textId="7EBD5C81"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Data analytics and marketing automation increase value from customer data but raise data governance, privacy, model, and third-party risk issues.</w:t>
            </w:r>
            <w:r w:rsidR="00F070D4">
              <w:rPr>
                <w:rFonts w:cs="Arial"/>
                <w:sz w:val="24"/>
                <w:szCs w:val="24"/>
              </w:rPr>
              <w:t xml:space="preserve"> Tools used include R Studio and Power BI.</w:t>
            </w:r>
          </w:p>
        </w:tc>
      </w:tr>
      <w:tr w:rsidR="00F070D4" w:rsidRPr="001570F6" w14:paraId="2AE18E69" w14:textId="77777777">
        <w:trPr>
          <w:jc w:val="center"/>
        </w:trPr>
        <w:tc>
          <w:tcPr>
            <w:tcW w:w="2592" w:type="dxa"/>
          </w:tcPr>
          <w:p w14:paraId="5C88A23F" w14:textId="3173E0F1" w:rsidR="00F070D4" w:rsidRPr="001570F6" w:rsidRDefault="00F070D4" w:rsidP="001570F6">
            <w:pPr>
              <w:pStyle w:val="TableText"/>
              <w:adjustRightInd w:val="0"/>
              <w:snapToGrid w:val="0"/>
              <w:spacing w:before="240" w:after="240" w:line="240" w:lineRule="auto"/>
              <w:rPr>
                <w:rFonts w:cs="Arial"/>
                <w:sz w:val="24"/>
                <w:szCs w:val="24"/>
              </w:rPr>
            </w:pPr>
            <w:r>
              <w:rPr>
                <w:rFonts w:cs="Arial"/>
                <w:sz w:val="24"/>
                <w:szCs w:val="24"/>
              </w:rPr>
              <w:t>Office automation</w:t>
            </w:r>
          </w:p>
        </w:tc>
        <w:tc>
          <w:tcPr>
            <w:tcW w:w="7776" w:type="dxa"/>
          </w:tcPr>
          <w:p w14:paraId="00C54480" w14:textId="60B44E66" w:rsidR="00F070D4" w:rsidRPr="001570F6" w:rsidRDefault="00F070D4" w:rsidP="001570F6">
            <w:pPr>
              <w:pStyle w:val="TableText"/>
              <w:adjustRightInd w:val="0"/>
              <w:snapToGrid w:val="0"/>
              <w:spacing w:before="240" w:after="240" w:line="240" w:lineRule="auto"/>
              <w:rPr>
                <w:rFonts w:cs="Arial"/>
                <w:sz w:val="24"/>
                <w:szCs w:val="24"/>
              </w:rPr>
            </w:pPr>
            <w:r>
              <w:rPr>
                <w:rFonts w:cs="Arial"/>
                <w:sz w:val="24"/>
                <w:szCs w:val="24"/>
              </w:rPr>
              <w:t>Microsoft Office 365 suite is used for all support tasks.</w:t>
            </w:r>
          </w:p>
        </w:tc>
      </w:tr>
    </w:tbl>
    <w:p w14:paraId="2F2DBAEB" w14:textId="77777777" w:rsidR="00575A93" w:rsidRPr="001570F6" w:rsidRDefault="00575A93" w:rsidP="001570F6">
      <w:pPr>
        <w:pStyle w:val="Small"/>
        <w:adjustRightInd w:val="0"/>
        <w:snapToGrid w:val="0"/>
        <w:spacing w:before="240" w:after="240" w:line="240" w:lineRule="auto"/>
        <w:rPr>
          <w:rFonts w:cs="Arial"/>
          <w:sz w:val="24"/>
          <w:szCs w:val="24"/>
        </w:rPr>
      </w:pPr>
    </w:p>
    <w:p w14:paraId="0868A427"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Cybersecurity operating model</w:t>
      </w:r>
    </w:p>
    <w:p w14:paraId="316E0EAC" w14:textId="6B5C0AE1"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The case treats the cybersecurity function as a staged expansion. Before the incident, ACRB had a small security capability embedded in </w:t>
      </w:r>
      <w:r w:rsidR="00EC7D1E">
        <w:rPr>
          <w:rFonts w:cs="Arial"/>
          <w:sz w:val="24"/>
          <w:szCs w:val="24"/>
        </w:rPr>
        <w:t xml:space="preserve">the </w:t>
      </w:r>
      <w:r w:rsidRPr="001570F6">
        <w:rPr>
          <w:rFonts w:cs="Arial"/>
          <w:sz w:val="24"/>
          <w:szCs w:val="24"/>
        </w:rPr>
        <w:t>IT</w:t>
      </w:r>
      <w:r w:rsidR="00EC7D1E">
        <w:rPr>
          <w:rFonts w:cs="Arial"/>
          <w:sz w:val="24"/>
          <w:szCs w:val="24"/>
        </w:rPr>
        <w:t xml:space="preserve"> department</w:t>
      </w:r>
      <w:r w:rsidRPr="001570F6">
        <w:rPr>
          <w:rFonts w:cs="Arial"/>
          <w:sz w:val="24"/>
          <w:szCs w:val="24"/>
        </w:rPr>
        <w:t>.</w:t>
      </w:r>
      <w:r w:rsidR="00EC7D1E">
        <w:rPr>
          <w:rFonts w:cs="Arial"/>
          <w:sz w:val="24"/>
          <w:szCs w:val="24"/>
        </w:rPr>
        <w:t xml:space="preserve"> Cybersecurity duties were integrated into the responsibilities of staff who also had other duties. </w:t>
      </w:r>
      <w:r w:rsidRPr="001570F6">
        <w:rPr>
          <w:rFonts w:cs="Arial"/>
          <w:sz w:val="24"/>
          <w:szCs w:val="24"/>
        </w:rPr>
        <w:t xml:space="preserve">Immediately after the incident, a transitional cybersecurity </w:t>
      </w:r>
      <w:r w:rsidR="00EC7D1E">
        <w:rPr>
          <w:rFonts w:cs="Arial"/>
          <w:sz w:val="24"/>
          <w:szCs w:val="24"/>
        </w:rPr>
        <w:t xml:space="preserve">team </w:t>
      </w:r>
      <w:r w:rsidRPr="001570F6">
        <w:rPr>
          <w:rFonts w:cs="Arial"/>
          <w:sz w:val="24"/>
          <w:szCs w:val="24"/>
        </w:rPr>
        <w:t xml:space="preserve">was </w:t>
      </w:r>
      <w:r w:rsidR="00EC7D1E">
        <w:rPr>
          <w:rFonts w:cs="Arial"/>
          <w:sz w:val="24"/>
          <w:szCs w:val="24"/>
        </w:rPr>
        <w:t>form</w:t>
      </w:r>
      <w:r w:rsidRPr="001570F6">
        <w:rPr>
          <w:rFonts w:cs="Arial"/>
          <w:sz w:val="24"/>
          <w:szCs w:val="24"/>
        </w:rPr>
        <w:t>ed with approximately 20 staff</w:t>
      </w:r>
      <w:r w:rsidR="00EC7D1E">
        <w:rPr>
          <w:rFonts w:cs="Arial"/>
          <w:sz w:val="24"/>
          <w:szCs w:val="24"/>
        </w:rPr>
        <w:t xml:space="preserve"> members</w:t>
      </w:r>
      <w:r w:rsidRPr="001570F6">
        <w:rPr>
          <w:rFonts w:cs="Arial"/>
          <w:sz w:val="24"/>
          <w:szCs w:val="24"/>
        </w:rPr>
        <w:t xml:space="preserve">. By the </w:t>
      </w:r>
      <w:r w:rsidR="00EC7D1E">
        <w:rPr>
          <w:rFonts w:cs="Arial"/>
          <w:sz w:val="24"/>
          <w:szCs w:val="24"/>
        </w:rPr>
        <w:t>3-year</w:t>
      </w:r>
      <w:r w:rsidRPr="001570F6">
        <w:rPr>
          <w:rFonts w:cs="Arial"/>
          <w:sz w:val="24"/>
          <w:szCs w:val="24"/>
        </w:rPr>
        <w:t xml:space="preserve"> action-planning cycle, the target operating model grows to approximately 39 professionals, subject to budget approval and hiring capacity. The budget table also includes projections through 2030</w:t>
      </w:r>
      <w:r w:rsidR="00EC7D1E">
        <w:rPr>
          <w:rFonts w:cs="Arial"/>
          <w:sz w:val="24"/>
          <w:szCs w:val="24"/>
        </w:rPr>
        <w:t>,</w:t>
      </w:r>
      <w:r w:rsidRPr="001570F6">
        <w:rPr>
          <w:rFonts w:cs="Arial"/>
          <w:sz w:val="24"/>
          <w:szCs w:val="24"/>
        </w:rPr>
        <w:t xml:space="preserve"> so students can discuss longer-term sustainability and sequencing.</w:t>
      </w:r>
    </w:p>
    <w:tbl>
      <w:tblPr>
        <w:tblStyle w:val="Grilledutableau"/>
        <w:tblW w:w="0" w:type="auto"/>
        <w:jc w:val="center"/>
        <w:tblLook w:val="04A0" w:firstRow="1" w:lastRow="0" w:firstColumn="1" w:lastColumn="0" w:noHBand="0" w:noVBand="1"/>
      </w:tblPr>
      <w:tblGrid>
        <w:gridCol w:w="2952"/>
        <w:gridCol w:w="7010"/>
      </w:tblGrid>
      <w:tr w:rsidR="00575A93" w:rsidRPr="001570F6" w14:paraId="7C06CBEE" w14:textId="77777777">
        <w:trPr>
          <w:jc w:val="center"/>
        </w:trPr>
        <w:tc>
          <w:tcPr>
            <w:tcW w:w="3024" w:type="dxa"/>
            <w:shd w:val="clear" w:color="auto" w:fill="1F4E79"/>
          </w:tcPr>
          <w:p w14:paraId="6635BBE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Cybersecurity capability</w:t>
            </w:r>
          </w:p>
        </w:tc>
        <w:tc>
          <w:tcPr>
            <w:tcW w:w="7344" w:type="dxa"/>
            <w:shd w:val="clear" w:color="auto" w:fill="1F4E79"/>
          </w:tcPr>
          <w:p w14:paraId="3676863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 xml:space="preserve">Target role in </w:t>
            </w:r>
            <w:r w:rsidR="00613EEC" w:rsidRPr="001570F6">
              <w:rPr>
                <w:rFonts w:cs="Arial"/>
                <w:b/>
                <w:color w:val="FFFFFF"/>
                <w:sz w:val="24"/>
                <w:szCs w:val="24"/>
              </w:rPr>
              <w:t>case</w:t>
            </w:r>
          </w:p>
        </w:tc>
      </w:tr>
      <w:tr w:rsidR="00575A93" w:rsidRPr="001570F6" w14:paraId="41D03459" w14:textId="77777777">
        <w:trPr>
          <w:jc w:val="center"/>
        </w:trPr>
        <w:tc>
          <w:tcPr>
            <w:tcW w:w="3024" w:type="dxa"/>
          </w:tcPr>
          <w:p w14:paraId="2BCA6A4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CISO office</w:t>
            </w:r>
          </w:p>
        </w:tc>
        <w:tc>
          <w:tcPr>
            <w:tcW w:w="7344" w:type="dxa"/>
          </w:tcPr>
          <w:p w14:paraId="0F5B6F7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Cyber strategy, risk reporting, Board materials, policy direction, budget prioritization, and oversight of the cybersecurity roadmap.</w:t>
            </w:r>
          </w:p>
        </w:tc>
      </w:tr>
      <w:tr w:rsidR="00575A93" w:rsidRPr="001570F6" w14:paraId="52B78E02" w14:textId="77777777">
        <w:trPr>
          <w:jc w:val="center"/>
        </w:trPr>
        <w:tc>
          <w:tcPr>
            <w:tcW w:w="3024" w:type="dxa"/>
          </w:tcPr>
          <w:p w14:paraId="6B75076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Security Operations Center</w:t>
            </w:r>
          </w:p>
        </w:tc>
        <w:tc>
          <w:tcPr>
            <w:tcW w:w="7344" w:type="dxa"/>
          </w:tcPr>
          <w:p w14:paraId="03AB03A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24/7 monitoring, alert triage, threat detection, initial containment coordination, and escalation.</w:t>
            </w:r>
          </w:p>
        </w:tc>
      </w:tr>
      <w:tr w:rsidR="00575A93" w:rsidRPr="001570F6" w14:paraId="218F83A5" w14:textId="77777777">
        <w:trPr>
          <w:jc w:val="center"/>
        </w:trPr>
        <w:tc>
          <w:tcPr>
            <w:tcW w:w="3024" w:type="dxa"/>
          </w:tcPr>
          <w:p w14:paraId="66CFBDF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Response Team</w:t>
            </w:r>
          </w:p>
        </w:tc>
        <w:tc>
          <w:tcPr>
            <w:tcW w:w="7344" w:type="dxa"/>
          </w:tcPr>
          <w:p w14:paraId="4AB875E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Major incident handling, forensic coordination, evidence preservation, response playbooks, tabletop exercises, and lessons learned.</w:t>
            </w:r>
          </w:p>
        </w:tc>
      </w:tr>
      <w:tr w:rsidR="00575A93" w:rsidRPr="001570F6" w14:paraId="754CFA76" w14:textId="77777777">
        <w:trPr>
          <w:jc w:val="center"/>
        </w:trPr>
        <w:tc>
          <w:tcPr>
            <w:tcW w:w="3024" w:type="dxa"/>
          </w:tcPr>
          <w:p w14:paraId="19BA264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Cyber risk and assurance</w:t>
            </w:r>
          </w:p>
        </w:tc>
        <w:tc>
          <w:tcPr>
            <w:tcW w:w="7344" w:type="dxa"/>
          </w:tcPr>
          <w:p w14:paraId="155B941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Risk assessments, control self-assessments, KRI/KPI reporting, policy compliance, and coordination with internal audit.</w:t>
            </w:r>
          </w:p>
        </w:tc>
      </w:tr>
      <w:tr w:rsidR="00575A93" w:rsidRPr="001570F6" w14:paraId="4A18C1C6" w14:textId="77777777">
        <w:trPr>
          <w:jc w:val="center"/>
        </w:trPr>
        <w:tc>
          <w:tcPr>
            <w:tcW w:w="3024" w:type="dxa"/>
          </w:tcPr>
          <w:p w14:paraId="2531855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Vulnerability and security testing</w:t>
            </w:r>
          </w:p>
        </w:tc>
        <w:tc>
          <w:tcPr>
            <w:tcW w:w="7344" w:type="dxa"/>
          </w:tcPr>
          <w:p w14:paraId="77D539D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Vulnerability scanning, penetration testing coordination, remediation tracking, and control validation.</w:t>
            </w:r>
          </w:p>
        </w:tc>
      </w:tr>
      <w:tr w:rsidR="00575A93" w:rsidRPr="001570F6" w14:paraId="11FA9057" w14:textId="77777777">
        <w:trPr>
          <w:jc w:val="center"/>
        </w:trPr>
        <w:tc>
          <w:tcPr>
            <w:tcW w:w="3024" w:type="dxa"/>
          </w:tcPr>
          <w:p w14:paraId="32CEAC8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Security architecture</w:t>
            </w:r>
          </w:p>
        </w:tc>
        <w:tc>
          <w:tcPr>
            <w:tcW w:w="7344" w:type="dxa"/>
          </w:tcPr>
          <w:p w14:paraId="3DBCE06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Secure design, cloud and identity security, network segmentation, zero-trust roadmap, and review of major technology changes.</w:t>
            </w:r>
          </w:p>
        </w:tc>
      </w:tr>
      <w:tr w:rsidR="00575A93" w:rsidRPr="001570F6" w14:paraId="11054B39" w14:textId="77777777">
        <w:trPr>
          <w:jc w:val="center"/>
        </w:trPr>
        <w:tc>
          <w:tcPr>
            <w:tcW w:w="3024" w:type="dxa"/>
          </w:tcPr>
          <w:p w14:paraId="54800BC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Awareness and training</w:t>
            </w:r>
          </w:p>
        </w:tc>
        <w:tc>
          <w:tcPr>
            <w:tcW w:w="7344" w:type="dxa"/>
          </w:tcPr>
          <w:p w14:paraId="4F51D28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Phishing simulations, role-based training, branch awareness, executive exercises, and post-incident learning.</w:t>
            </w:r>
          </w:p>
        </w:tc>
      </w:tr>
      <w:tr w:rsidR="00575A93" w:rsidRPr="001570F6" w14:paraId="0BFF0C0A" w14:textId="77777777">
        <w:trPr>
          <w:jc w:val="center"/>
        </w:trPr>
        <w:tc>
          <w:tcPr>
            <w:tcW w:w="3024" w:type="dxa"/>
          </w:tcPr>
          <w:p w14:paraId="1323919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Third-party cyber risk</w:t>
            </w:r>
          </w:p>
        </w:tc>
        <w:tc>
          <w:tcPr>
            <w:tcW w:w="7344" w:type="dxa"/>
          </w:tcPr>
          <w:p w14:paraId="5694229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Vendor due diligence, contract clauses, assurance reports, critical supplier monitoring, and incident coordination with suppliers.</w:t>
            </w:r>
          </w:p>
        </w:tc>
      </w:tr>
    </w:tbl>
    <w:p w14:paraId="527D9CAB" w14:textId="77777777" w:rsidR="00575A93" w:rsidRPr="001570F6" w:rsidRDefault="00575A93" w:rsidP="001570F6">
      <w:pPr>
        <w:pStyle w:val="Small"/>
        <w:adjustRightInd w:val="0"/>
        <w:snapToGrid w:val="0"/>
        <w:spacing w:before="240" w:after="240" w:line="240" w:lineRule="auto"/>
        <w:rPr>
          <w:rFonts w:cs="Arial"/>
          <w:sz w:val="24"/>
          <w:szCs w:val="24"/>
        </w:rPr>
      </w:pPr>
    </w:p>
    <w:p w14:paraId="37F03F70"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Budget context</w:t>
      </w:r>
    </w:p>
    <w:p w14:paraId="16BE7412" w14:textId="77777777" w:rsidR="00AF47A7"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bank’s technology and cybersecurity funding increased significantly after the 2022 incident. The Board approved a CAD 10 million one-time crisis allocation and added recurring cybersecurity operations and salary budgets. The purpose of the student risk assessment is not to recommend unlimited spending. Students must make a defensible prioritization within a realistic budget envelope.</w:t>
      </w:r>
    </w:p>
    <w:tbl>
      <w:tblPr>
        <w:tblStyle w:val="Grilledutableau"/>
        <w:tblW w:w="0" w:type="auto"/>
        <w:jc w:val="center"/>
        <w:tblLook w:val="04A0" w:firstRow="1" w:lastRow="0" w:firstColumn="1" w:lastColumn="0" w:noHBand="0" w:noVBand="1"/>
      </w:tblPr>
      <w:tblGrid>
        <w:gridCol w:w="1374"/>
        <w:gridCol w:w="1629"/>
        <w:gridCol w:w="1640"/>
        <w:gridCol w:w="1650"/>
        <w:gridCol w:w="1621"/>
        <w:gridCol w:w="1907"/>
      </w:tblGrid>
      <w:tr w:rsidR="00575A93" w:rsidRPr="001570F6" w14:paraId="1773DFC6" w14:textId="77777777" w:rsidTr="00AF47A7">
        <w:trPr>
          <w:jc w:val="center"/>
        </w:trPr>
        <w:tc>
          <w:tcPr>
            <w:tcW w:w="1374" w:type="dxa"/>
            <w:shd w:val="clear" w:color="auto" w:fill="1F4E79"/>
          </w:tcPr>
          <w:p w14:paraId="23779BD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Year</w:t>
            </w:r>
          </w:p>
        </w:tc>
        <w:tc>
          <w:tcPr>
            <w:tcW w:w="1629" w:type="dxa"/>
            <w:shd w:val="clear" w:color="auto" w:fill="1F4E79"/>
          </w:tcPr>
          <w:p w14:paraId="3EA2AE5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Baseline IT budget</w:t>
            </w:r>
          </w:p>
        </w:tc>
        <w:tc>
          <w:tcPr>
            <w:tcW w:w="1640" w:type="dxa"/>
            <w:shd w:val="clear" w:color="auto" w:fill="1F4E79"/>
          </w:tcPr>
          <w:p w14:paraId="02074FF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Special allocation</w:t>
            </w:r>
          </w:p>
        </w:tc>
        <w:tc>
          <w:tcPr>
            <w:tcW w:w="1650" w:type="dxa"/>
            <w:shd w:val="clear" w:color="auto" w:fill="1F4E79"/>
          </w:tcPr>
          <w:p w14:paraId="6D949DE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Cyber operations</w:t>
            </w:r>
          </w:p>
        </w:tc>
        <w:tc>
          <w:tcPr>
            <w:tcW w:w="1621" w:type="dxa"/>
            <w:shd w:val="clear" w:color="auto" w:fill="1F4E79"/>
          </w:tcPr>
          <w:p w14:paraId="797BD1C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Cyber salaries</w:t>
            </w:r>
          </w:p>
        </w:tc>
        <w:tc>
          <w:tcPr>
            <w:tcW w:w="1907" w:type="dxa"/>
            <w:shd w:val="clear" w:color="auto" w:fill="1F4E79"/>
          </w:tcPr>
          <w:p w14:paraId="1E2BF57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 xml:space="preserve">Total technology </w:t>
            </w:r>
            <w:r w:rsidRPr="001570F6">
              <w:rPr>
                <w:rFonts w:cs="Arial"/>
                <w:b/>
                <w:color w:val="FFFFFF"/>
                <w:sz w:val="24"/>
                <w:szCs w:val="24"/>
              </w:rPr>
              <w:lastRenderedPageBreak/>
              <w:t>and cyber budget</w:t>
            </w:r>
          </w:p>
        </w:tc>
      </w:tr>
      <w:tr w:rsidR="00AF47A7" w:rsidRPr="001570F6" w14:paraId="159E56A8" w14:textId="77777777" w:rsidTr="00AF47A7">
        <w:tblPrEx>
          <w:jc w:val="left"/>
        </w:tblPrEx>
        <w:tc>
          <w:tcPr>
            <w:tcW w:w="1374" w:type="dxa"/>
          </w:tcPr>
          <w:p w14:paraId="535C5BBC"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2022</w:t>
            </w:r>
          </w:p>
        </w:tc>
        <w:tc>
          <w:tcPr>
            <w:tcW w:w="1629" w:type="dxa"/>
          </w:tcPr>
          <w:p w14:paraId="19382CF7"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90.0M</w:t>
            </w:r>
          </w:p>
        </w:tc>
        <w:tc>
          <w:tcPr>
            <w:tcW w:w="1640" w:type="dxa"/>
          </w:tcPr>
          <w:p w14:paraId="1B21C843"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10.0M crisis</w:t>
            </w:r>
          </w:p>
        </w:tc>
        <w:tc>
          <w:tcPr>
            <w:tcW w:w="1650" w:type="dxa"/>
          </w:tcPr>
          <w:p w14:paraId="7A0C8595"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621" w:type="dxa"/>
          </w:tcPr>
          <w:p w14:paraId="4D6D9DC3"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907" w:type="dxa"/>
          </w:tcPr>
          <w:p w14:paraId="014A2C9E"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100.0M</w:t>
            </w:r>
          </w:p>
        </w:tc>
      </w:tr>
      <w:tr w:rsidR="00AF47A7" w:rsidRPr="001570F6" w14:paraId="65237BFD" w14:textId="77777777" w:rsidTr="00AF47A7">
        <w:tblPrEx>
          <w:jc w:val="left"/>
        </w:tblPrEx>
        <w:tc>
          <w:tcPr>
            <w:tcW w:w="1374" w:type="dxa"/>
          </w:tcPr>
          <w:p w14:paraId="766F39C7"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2023</w:t>
            </w:r>
          </w:p>
        </w:tc>
        <w:tc>
          <w:tcPr>
            <w:tcW w:w="1629" w:type="dxa"/>
          </w:tcPr>
          <w:p w14:paraId="24088F54"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95.4M</w:t>
            </w:r>
          </w:p>
        </w:tc>
        <w:tc>
          <w:tcPr>
            <w:tcW w:w="1640" w:type="dxa"/>
          </w:tcPr>
          <w:p w14:paraId="776F4754"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650" w:type="dxa"/>
          </w:tcPr>
          <w:p w14:paraId="03105C1A"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5.0M</w:t>
            </w:r>
          </w:p>
        </w:tc>
        <w:tc>
          <w:tcPr>
            <w:tcW w:w="1621" w:type="dxa"/>
          </w:tcPr>
          <w:p w14:paraId="25AA0B38"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4.5M</w:t>
            </w:r>
          </w:p>
        </w:tc>
        <w:tc>
          <w:tcPr>
            <w:tcW w:w="1907" w:type="dxa"/>
          </w:tcPr>
          <w:p w14:paraId="077D188D"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104.9M</w:t>
            </w:r>
          </w:p>
        </w:tc>
      </w:tr>
      <w:tr w:rsidR="00AF47A7" w:rsidRPr="001570F6" w14:paraId="4021331C" w14:textId="77777777" w:rsidTr="00AF47A7">
        <w:tblPrEx>
          <w:jc w:val="left"/>
        </w:tblPrEx>
        <w:tc>
          <w:tcPr>
            <w:tcW w:w="1374" w:type="dxa"/>
          </w:tcPr>
          <w:p w14:paraId="1D587D8B"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2024</w:t>
            </w:r>
          </w:p>
        </w:tc>
        <w:tc>
          <w:tcPr>
            <w:tcW w:w="1629" w:type="dxa"/>
          </w:tcPr>
          <w:p w14:paraId="66D4EECC"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102.1M</w:t>
            </w:r>
          </w:p>
        </w:tc>
        <w:tc>
          <w:tcPr>
            <w:tcW w:w="1640" w:type="dxa"/>
          </w:tcPr>
          <w:p w14:paraId="11D9F5E2"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650" w:type="dxa"/>
          </w:tcPr>
          <w:p w14:paraId="71BA968C"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5.4M</w:t>
            </w:r>
          </w:p>
        </w:tc>
        <w:tc>
          <w:tcPr>
            <w:tcW w:w="1621" w:type="dxa"/>
          </w:tcPr>
          <w:p w14:paraId="1E2E6296"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4.8M</w:t>
            </w:r>
          </w:p>
        </w:tc>
        <w:tc>
          <w:tcPr>
            <w:tcW w:w="1907" w:type="dxa"/>
          </w:tcPr>
          <w:p w14:paraId="7488D35B"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112.3M</w:t>
            </w:r>
          </w:p>
        </w:tc>
      </w:tr>
      <w:tr w:rsidR="00AF47A7" w:rsidRPr="001570F6" w14:paraId="252A38AA" w14:textId="77777777" w:rsidTr="00AF47A7">
        <w:tblPrEx>
          <w:jc w:val="left"/>
        </w:tblPrEx>
        <w:tc>
          <w:tcPr>
            <w:tcW w:w="1374" w:type="dxa"/>
          </w:tcPr>
          <w:p w14:paraId="54B285F9"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2025</w:t>
            </w:r>
          </w:p>
        </w:tc>
        <w:tc>
          <w:tcPr>
            <w:tcW w:w="1629" w:type="dxa"/>
          </w:tcPr>
          <w:p w14:paraId="5FCA8243"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109.2M</w:t>
            </w:r>
          </w:p>
        </w:tc>
        <w:tc>
          <w:tcPr>
            <w:tcW w:w="1640" w:type="dxa"/>
          </w:tcPr>
          <w:p w14:paraId="76F43840"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650" w:type="dxa"/>
          </w:tcPr>
          <w:p w14:paraId="121EEF61"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5.3M</w:t>
            </w:r>
          </w:p>
        </w:tc>
        <w:tc>
          <w:tcPr>
            <w:tcW w:w="1621" w:type="dxa"/>
          </w:tcPr>
          <w:p w14:paraId="47D226F1"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5.2M</w:t>
            </w:r>
          </w:p>
        </w:tc>
        <w:tc>
          <w:tcPr>
            <w:tcW w:w="1907" w:type="dxa"/>
          </w:tcPr>
          <w:p w14:paraId="642CC90F"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120.1M</w:t>
            </w:r>
          </w:p>
        </w:tc>
      </w:tr>
      <w:tr w:rsidR="00AF47A7" w:rsidRPr="001570F6" w14:paraId="0891AE4E" w14:textId="77777777" w:rsidTr="00AF47A7">
        <w:tblPrEx>
          <w:jc w:val="left"/>
        </w:tblPrEx>
        <w:tc>
          <w:tcPr>
            <w:tcW w:w="1374" w:type="dxa"/>
          </w:tcPr>
          <w:p w14:paraId="5FCCA108"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2026</w:t>
            </w:r>
          </w:p>
        </w:tc>
        <w:tc>
          <w:tcPr>
            <w:tcW w:w="1629" w:type="dxa"/>
          </w:tcPr>
          <w:p w14:paraId="484A907D"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116.8M</w:t>
            </w:r>
          </w:p>
        </w:tc>
        <w:tc>
          <w:tcPr>
            <w:tcW w:w="1640" w:type="dxa"/>
          </w:tcPr>
          <w:p w14:paraId="6F95EA6B"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650" w:type="dxa"/>
          </w:tcPr>
          <w:p w14:paraId="654EF0FF"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6.1M</w:t>
            </w:r>
          </w:p>
        </w:tc>
        <w:tc>
          <w:tcPr>
            <w:tcW w:w="1621" w:type="dxa"/>
          </w:tcPr>
          <w:p w14:paraId="208056A8"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5.5M</w:t>
            </w:r>
          </w:p>
        </w:tc>
        <w:tc>
          <w:tcPr>
            <w:tcW w:w="1907" w:type="dxa"/>
          </w:tcPr>
          <w:p w14:paraId="768933B5"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128.4M</w:t>
            </w:r>
          </w:p>
        </w:tc>
      </w:tr>
      <w:tr w:rsidR="00AF47A7" w:rsidRPr="001570F6" w14:paraId="6EFD6D1F" w14:textId="77777777" w:rsidTr="00AF47A7">
        <w:tblPrEx>
          <w:jc w:val="left"/>
        </w:tblPrEx>
        <w:tc>
          <w:tcPr>
            <w:tcW w:w="1374" w:type="dxa"/>
          </w:tcPr>
          <w:p w14:paraId="57D88A13"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2027 planned</w:t>
            </w:r>
          </w:p>
        </w:tc>
        <w:tc>
          <w:tcPr>
            <w:tcW w:w="1629" w:type="dxa"/>
          </w:tcPr>
          <w:p w14:paraId="2935ED65"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124.9M</w:t>
            </w:r>
          </w:p>
        </w:tc>
        <w:tc>
          <w:tcPr>
            <w:tcW w:w="1640" w:type="dxa"/>
          </w:tcPr>
          <w:p w14:paraId="14E10426"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650" w:type="dxa"/>
          </w:tcPr>
          <w:p w14:paraId="1768F216"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6.6M</w:t>
            </w:r>
          </w:p>
        </w:tc>
        <w:tc>
          <w:tcPr>
            <w:tcW w:w="1621" w:type="dxa"/>
          </w:tcPr>
          <w:p w14:paraId="301BE606"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5.9M</w:t>
            </w:r>
          </w:p>
        </w:tc>
        <w:tc>
          <w:tcPr>
            <w:tcW w:w="1907" w:type="dxa"/>
          </w:tcPr>
          <w:p w14:paraId="39543837"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137.4M</w:t>
            </w:r>
          </w:p>
        </w:tc>
      </w:tr>
      <w:tr w:rsidR="00AF47A7" w:rsidRPr="001570F6" w14:paraId="2707D667" w14:textId="77777777" w:rsidTr="00AF47A7">
        <w:tblPrEx>
          <w:jc w:val="left"/>
        </w:tblPrEx>
        <w:tc>
          <w:tcPr>
            <w:tcW w:w="1374" w:type="dxa"/>
          </w:tcPr>
          <w:p w14:paraId="0B50219F"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2028 projected</w:t>
            </w:r>
          </w:p>
        </w:tc>
        <w:tc>
          <w:tcPr>
            <w:tcW w:w="1629" w:type="dxa"/>
          </w:tcPr>
          <w:p w14:paraId="1C267EB2"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133.6M</w:t>
            </w:r>
          </w:p>
        </w:tc>
        <w:tc>
          <w:tcPr>
            <w:tcW w:w="1640" w:type="dxa"/>
          </w:tcPr>
          <w:p w14:paraId="0BD73368"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650" w:type="dxa"/>
          </w:tcPr>
          <w:p w14:paraId="59DBCDDC"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7.1M</w:t>
            </w:r>
          </w:p>
        </w:tc>
        <w:tc>
          <w:tcPr>
            <w:tcW w:w="1621" w:type="dxa"/>
          </w:tcPr>
          <w:p w14:paraId="607549C9"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6.3M</w:t>
            </w:r>
          </w:p>
        </w:tc>
        <w:tc>
          <w:tcPr>
            <w:tcW w:w="1907" w:type="dxa"/>
          </w:tcPr>
          <w:p w14:paraId="0E9C8E32"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147.0M</w:t>
            </w:r>
          </w:p>
        </w:tc>
      </w:tr>
      <w:tr w:rsidR="00AF47A7" w:rsidRPr="001570F6" w14:paraId="4D3F3BB6" w14:textId="77777777" w:rsidTr="00AF47A7">
        <w:tblPrEx>
          <w:jc w:val="left"/>
        </w:tblPrEx>
        <w:tc>
          <w:tcPr>
            <w:tcW w:w="1374" w:type="dxa"/>
          </w:tcPr>
          <w:p w14:paraId="72B8F6C5"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2029 projected</w:t>
            </w:r>
          </w:p>
        </w:tc>
        <w:tc>
          <w:tcPr>
            <w:tcW w:w="1629" w:type="dxa"/>
          </w:tcPr>
          <w:p w14:paraId="3CDFDD1A"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143.0M</w:t>
            </w:r>
          </w:p>
        </w:tc>
        <w:tc>
          <w:tcPr>
            <w:tcW w:w="1640" w:type="dxa"/>
          </w:tcPr>
          <w:p w14:paraId="7331F9BF"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650" w:type="dxa"/>
          </w:tcPr>
          <w:p w14:paraId="5F470347"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7.6M</w:t>
            </w:r>
          </w:p>
        </w:tc>
        <w:tc>
          <w:tcPr>
            <w:tcW w:w="1621" w:type="dxa"/>
          </w:tcPr>
          <w:p w14:paraId="4255B467"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6.8M</w:t>
            </w:r>
          </w:p>
        </w:tc>
        <w:tc>
          <w:tcPr>
            <w:tcW w:w="1907" w:type="dxa"/>
          </w:tcPr>
          <w:p w14:paraId="6CF6A5B0"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157.4M</w:t>
            </w:r>
          </w:p>
        </w:tc>
      </w:tr>
      <w:tr w:rsidR="00AF47A7" w:rsidRPr="001570F6" w14:paraId="2FBD8182" w14:textId="77777777" w:rsidTr="00AF47A7">
        <w:tblPrEx>
          <w:jc w:val="left"/>
        </w:tblPrEx>
        <w:tc>
          <w:tcPr>
            <w:tcW w:w="1374" w:type="dxa"/>
          </w:tcPr>
          <w:p w14:paraId="0DE288D1"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2030 projected</w:t>
            </w:r>
          </w:p>
        </w:tc>
        <w:tc>
          <w:tcPr>
            <w:tcW w:w="1629" w:type="dxa"/>
          </w:tcPr>
          <w:p w14:paraId="46A76948"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153.0M</w:t>
            </w:r>
          </w:p>
        </w:tc>
        <w:tc>
          <w:tcPr>
            <w:tcW w:w="1640" w:type="dxa"/>
          </w:tcPr>
          <w:p w14:paraId="1F7EC134"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w:t>
            </w:r>
          </w:p>
        </w:tc>
        <w:tc>
          <w:tcPr>
            <w:tcW w:w="1650" w:type="dxa"/>
          </w:tcPr>
          <w:p w14:paraId="5CC6BDC2"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8.1M</w:t>
            </w:r>
          </w:p>
        </w:tc>
        <w:tc>
          <w:tcPr>
            <w:tcW w:w="1621" w:type="dxa"/>
          </w:tcPr>
          <w:p w14:paraId="4F6A9B76"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7.2M</w:t>
            </w:r>
          </w:p>
        </w:tc>
        <w:tc>
          <w:tcPr>
            <w:tcW w:w="1907" w:type="dxa"/>
          </w:tcPr>
          <w:p w14:paraId="47DACB7E" w14:textId="77777777" w:rsidR="00AF47A7" w:rsidRPr="001570F6" w:rsidRDefault="00AF47A7" w:rsidP="001570F6">
            <w:pPr>
              <w:pStyle w:val="TableText"/>
              <w:adjustRightInd w:val="0"/>
              <w:snapToGrid w:val="0"/>
              <w:spacing w:before="240" w:after="240" w:line="240" w:lineRule="auto"/>
              <w:rPr>
                <w:rFonts w:cs="Arial"/>
                <w:sz w:val="24"/>
                <w:szCs w:val="24"/>
              </w:rPr>
            </w:pPr>
            <w:r w:rsidRPr="001570F6">
              <w:rPr>
                <w:rFonts w:cs="Arial"/>
                <w:sz w:val="24"/>
                <w:szCs w:val="24"/>
              </w:rPr>
              <w:t>CAD 168.3M</w:t>
            </w:r>
          </w:p>
        </w:tc>
      </w:tr>
    </w:tbl>
    <w:p w14:paraId="141E1ED0" w14:textId="77777777" w:rsidR="00575A93" w:rsidRPr="001570F6" w:rsidRDefault="00575A93" w:rsidP="001570F6">
      <w:pPr>
        <w:pStyle w:val="Small"/>
        <w:adjustRightInd w:val="0"/>
        <w:snapToGrid w:val="0"/>
        <w:spacing w:before="240" w:after="240" w:line="240" w:lineRule="auto"/>
        <w:rPr>
          <w:rFonts w:cs="Arial"/>
          <w:sz w:val="24"/>
          <w:szCs w:val="24"/>
        </w:rPr>
      </w:pPr>
    </w:p>
    <w:p w14:paraId="6290C915" w14:textId="11330E82" w:rsidR="00575A93" w:rsidRPr="001570F6" w:rsidRDefault="005760E8" w:rsidP="001570F6">
      <w:pPr>
        <w:pStyle w:val="CaseNote"/>
        <w:adjustRightInd w:val="0"/>
        <w:snapToGrid w:val="0"/>
        <w:spacing w:before="240" w:after="240" w:line="240" w:lineRule="auto"/>
        <w:rPr>
          <w:rFonts w:cs="Arial"/>
          <w:sz w:val="24"/>
          <w:szCs w:val="24"/>
        </w:rPr>
      </w:pPr>
      <w:r w:rsidRPr="005760E8">
        <w:rPr>
          <w:rFonts w:cs="Arial"/>
          <w:b/>
          <w:bCs/>
          <w:sz w:val="24"/>
          <w:szCs w:val="24"/>
        </w:rPr>
        <w:t>Instructor</w:t>
      </w:r>
      <w:r>
        <w:rPr>
          <w:rFonts w:cs="Arial"/>
          <w:b/>
          <w:bCs/>
          <w:sz w:val="24"/>
          <w:szCs w:val="24"/>
        </w:rPr>
        <w:t>’</w:t>
      </w:r>
      <w:r w:rsidRPr="005760E8">
        <w:rPr>
          <w:rFonts w:cs="Arial"/>
          <w:b/>
          <w:bCs/>
          <w:sz w:val="24"/>
          <w:szCs w:val="24"/>
        </w:rPr>
        <w:t>s note</w:t>
      </w:r>
      <w:r>
        <w:rPr>
          <w:rFonts w:cs="Arial"/>
          <w:b/>
          <w:bCs/>
          <w:sz w:val="24"/>
          <w:szCs w:val="24"/>
        </w:rPr>
        <w:t>:</w:t>
      </w:r>
      <w:r w:rsidRPr="001570F6">
        <w:rPr>
          <w:rFonts w:cs="Arial"/>
          <w:sz w:val="24"/>
          <w:szCs w:val="24"/>
        </w:rPr>
        <w:t xml:space="preserve"> The budget figures are intentionally rounded. Students may calculate cost-benefit, risk reduction per dollar, implementation sequencing, and multi-year dependency management. They should also consider non-financial constraints, such as hiring capacity, change fatigue, vendor availability, and legacy system complexity.</w:t>
      </w:r>
      <w:r>
        <w:rPr>
          <w:rFonts w:cs="Arial"/>
          <w:sz w:val="24"/>
          <w:szCs w:val="24"/>
        </w:rPr>
        <w:t xml:space="preserve"> This table may also need to be updated depending on when you use it.</w:t>
      </w:r>
    </w:p>
    <w:p w14:paraId="677F1B52" w14:textId="77777777" w:rsidR="00575A93" w:rsidRPr="005760E8" w:rsidRDefault="00000000" w:rsidP="005760E8">
      <w:pPr>
        <w:pStyle w:val="Titre1"/>
      </w:pPr>
      <w:r w:rsidRPr="005760E8">
        <w:t>5. The 2022 Cyber Incident: Known Facts and Initial Uncertainties</w:t>
      </w:r>
    </w:p>
    <w:p w14:paraId="1247F9D3" w14:textId="55E8556A"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In 2022, ACRB suffered a targeted cyberattack </w:t>
      </w:r>
      <w:r w:rsidR="003F54C7" w:rsidRPr="001570F6">
        <w:rPr>
          <w:rFonts w:cs="Arial"/>
          <w:sz w:val="24"/>
          <w:szCs w:val="24"/>
        </w:rPr>
        <w:t>th</w:t>
      </w:r>
      <w:r w:rsidR="003F54C7">
        <w:rPr>
          <w:rFonts w:cs="Arial"/>
          <w:sz w:val="24"/>
          <w:szCs w:val="24"/>
        </w:rPr>
        <w:t>ose exposed weaknesses</w:t>
      </w:r>
      <w:r w:rsidRPr="001570F6">
        <w:rPr>
          <w:rFonts w:cs="Arial"/>
          <w:sz w:val="24"/>
          <w:szCs w:val="24"/>
        </w:rPr>
        <w:t xml:space="preserve"> in its technical controls, monitoring, incident response maturity, and governance. The initial entry vector was spear-phishing. Several employees received emails that appeared to come from legitimate bank vendors or regulators. The emails contained malicious links or attachments. At least one </w:t>
      </w:r>
      <w:r w:rsidRPr="001570F6">
        <w:rPr>
          <w:rFonts w:cs="Arial"/>
          <w:sz w:val="24"/>
          <w:szCs w:val="24"/>
        </w:rPr>
        <w:lastRenderedPageBreak/>
        <w:t>employee opened a malicious attachment, initiating malware execution inside the bank’s environment.</w:t>
      </w:r>
    </w:p>
    <w:p w14:paraId="6E47CFBE"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malware had two effects. First, it enabled reconnaissance, credential harvesting, lateral movement, and data staging during a period in which the attackers remained undetected. Second, it deployed ransomware that encrypted critical systems and interrupted customer-facing banking services. Forensic evidence later suggested that sensitive customer data may have been exfiltrated before encryption occurred.</w:t>
      </w:r>
    </w:p>
    <w:p w14:paraId="53F99FC9"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incident exposed data associated with more than 100,000 customers, including names, addresses, Social Insurance Numbers, account balances, and transaction histories. The bank experienced approximately one week of severe operational disruption affecting online banking, ATMs, and branch operations. Immediate financial damage was estimated at CAD 2 million, excluding longer-term remediation costs, legal costs, customer compensation, regulatory exposure, and reputational damage.</w:t>
      </w:r>
    </w:p>
    <w:p w14:paraId="2A73D449"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incident became public and received local media attention. Customers criticized the bank for slow notification and poor communication. The Board suspended the CEO and CIO pending investigation, appointed the CFO as interim CEO, created the CISO role, and initiated an external audit and forensic review.</w:t>
      </w:r>
    </w:p>
    <w:tbl>
      <w:tblPr>
        <w:tblStyle w:val="Grilledutableau"/>
        <w:tblW w:w="0" w:type="auto"/>
        <w:jc w:val="center"/>
        <w:tblLook w:val="04A0" w:firstRow="1" w:lastRow="0" w:firstColumn="1" w:lastColumn="0" w:noHBand="0" w:noVBand="1"/>
      </w:tblPr>
      <w:tblGrid>
        <w:gridCol w:w="3489"/>
        <w:gridCol w:w="6473"/>
      </w:tblGrid>
      <w:tr w:rsidR="00575A93" w:rsidRPr="001570F6" w14:paraId="6EB5E8FF" w14:textId="77777777">
        <w:trPr>
          <w:jc w:val="center"/>
        </w:trPr>
        <w:tc>
          <w:tcPr>
            <w:tcW w:w="3600" w:type="dxa"/>
            <w:shd w:val="clear" w:color="auto" w:fill="1F4E79"/>
          </w:tcPr>
          <w:p w14:paraId="38A3CE6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Known fact</w:t>
            </w:r>
          </w:p>
        </w:tc>
        <w:tc>
          <w:tcPr>
            <w:tcW w:w="6768" w:type="dxa"/>
            <w:shd w:val="clear" w:color="auto" w:fill="1F4E79"/>
          </w:tcPr>
          <w:p w14:paraId="7F3350F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Uncertainty students must address</w:t>
            </w:r>
          </w:p>
        </w:tc>
      </w:tr>
      <w:tr w:rsidR="00575A93" w:rsidRPr="001570F6" w14:paraId="7F7EB2F3" w14:textId="77777777">
        <w:trPr>
          <w:jc w:val="center"/>
        </w:trPr>
        <w:tc>
          <w:tcPr>
            <w:tcW w:w="3600" w:type="dxa"/>
          </w:tcPr>
          <w:p w14:paraId="53B8739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Spear-phishing emails were delivered to employees.</w:t>
            </w:r>
          </w:p>
        </w:tc>
        <w:tc>
          <w:tcPr>
            <w:tcW w:w="6768" w:type="dxa"/>
          </w:tcPr>
          <w:p w14:paraId="6637A34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Which users clicked, which accounts were compromised, and whether the emails bypassed controls due to configuration gaps or user behaviour.</w:t>
            </w:r>
          </w:p>
        </w:tc>
      </w:tr>
      <w:tr w:rsidR="00575A93" w:rsidRPr="001570F6" w14:paraId="4429C952" w14:textId="77777777">
        <w:trPr>
          <w:jc w:val="center"/>
        </w:trPr>
        <w:tc>
          <w:tcPr>
            <w:tcW w:w="3600" w:type="dxa"/>
          </w:tcPr>
          <w:p w14:paraId="3AA4194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Malware was present for approximately two weeks before encryption.</w:t>
            </w:r>
          </w:p>
        </w:tc>
        <w:tc>
          <w:tcPr>
            <w:tcW w:w="6768" w:type="dxa"/>
          </w:tcPr>
          <w:p w14:paraId="446A7C2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Whether the bank had adequate detection controls, logging, SOC escalation procedures, and threat hunting capability.</w:t>
            </w:r>
          </w:p>
        </w:tc>
      </w:tr>
      <w:tr w:rsidR="00575A93" w:rsidRPr="001570F6" w14:paraId="6D18D041" w14:textId="77777777">
        <w:trPr>
          <w:jc w:val="center"/>
        </w:trPr>
        <w:tc>
          <w:tcPr>
            <w:tcW w:w="3600" w:type="dxa"/>
          </w:tcPr>
          <w:p w14:paraId="121D30E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Customer data was exposed or likely exposed.</w:t>
            </w:r>
          </w:p>
        </w:tc>
        <w:tc>
          <w:tcPr>
            <w:tcW w:w="6768" w:type="dxa"/>
          </w:tcPr>
          <w:p w14:paraId="04E8ABF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Whether exfiltration is confirmed, what data elements were involved, whether the breach meets privacy reporting thresholds, and which customers must be notified.</w:t>
            </w:r>
          </w:p>
        </w:tc>
      </w:tr>
      <w:tr w:rsidR="00575A93" w:rsidRPr="001570F6" w14:paraId="268F8DD7" w14:textId="77777777">
        <w:trPr>
          <w:jc w:val="center"/>
        </w:trPr>
        <w:tc>
          <w:tcPr>
            <w:tcW w:w="3600" w:type="dxa"/>
          </w:tcPr>
          <w:p w14:paraId="6BFA450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Critical services were unavailable for about one week.</w:t>
            </w:r>
          </w:p>
        </w:tc>
        <w:tc>
          <w:tcPr>
            <w:tcW w:w="6768" w:type="dxa"/>
          </w:tcPr>
          <w:p w14:paraId="7B37CBB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Whether outage duration resulted from ransomware alone or from weak recovery, inadequate segmentation, backup failure, or poor incident coordination.</w:t>
            </w:r>
          </w:p>
        </w:tc>
      </w:tr>
      <w:tr w:rsidR="00575A93" w:rsidRPr="001570F6" w14:paraId="751FA188" w14:textId="77777777">
        <w:trPr>
          <w:jc w:val="center"/>
        </w:trPr>
        <w:tc>
          <w:tcPr>
            <w:tcW w:w="3600" w:type="dxa"/>
          </w:tcPr>
          <w:p w14:paraId="6C4140E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External cybersecurity firm GoSecurity was engaged.</w:t>
            </w:r>
          </w:p>
        </w:tc>
        <w:tc>
          <w:tcPr>
            <w:tcW w:w="6768" w:type="dxa"/>
          </w:tcPr>
          <w:p w14:paraId="1E63C8E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Whether GoSecurity’s role is forensic investigator, incident responder, recovery advisor, litigation support expert, or all of these.</w:t>
            </w:r>
          </w:p>
        </w:tc>
      </w:tr>
      <w:tr w:rsidR="00575A93" w:rsidRPr="001570F6" w14:paraId="05CD0996" w14:textId="77777777">
        <w:trPr>
          <w:jc w:val="center"/>
        </w:trPr>
        <w:tc>
          <w:tcPr>
            <w:tcW w:w="3600" w:type="dxa"/>
          </w:tcPr>
          <w:p w14:paraId="5984C72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The Board created a CISO position after the incident.</w:t>
            </w:r>
          </w:p>
        </w:tc>
        <w:tc>
          <w:tcPr>
            <w:tcW w:w="6768" w:type="dxa"/>
          </w:tcPr>
          <w:p w14:paraId="55D920D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Whether governance changes are sufficient or mostly symbolic without authority, budget, reporting lines, and accountability.</w:t>
            </w:r>
          </w:p>
        </w:tc>
      </w:tr>
    </w:tbl>
    <w:p w14:paraId="25F5652F" w14:textId="77777777" w:rsidR="00575A93" w:rsidRPr="001570F6" w:rsidRDefault="00575A93" w:rsidP="001570F6">
      <w:pPr>
        <w:pStyle w:val="Small"/>
        <w:adjustRightInd w:val="0"/>
        <w:snapToGrid w:val="0"/>
        <w:spacing w:before="240" w:after="240" w:line="240" w:lineRule="auto"/>
        <w:rPr>
          <w:rFonts w:cs="Arial"/>
          <w:sz w:val="24"/>
          <w:szCs w:val="24"/>
        </w:rPr>
      </w:pPr>
    </w:p>
    <w:p w14:paraId="52377D90"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Regulatory and legal teaching assumptions</w:t>
      </w:r>
    </w:p>
    <w:p w14:paraId="35D8CDB6"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For teaching purposes, assume that ACRB is a federally regulated financial institution in Canada. Students should therefore consider technology and cyber risk governance expectations, incident reporting expectations, privacy breach notification, breach recordkeeping, customer communications, law enforcement coordination, contractual obligations, and internal audit reporting. If the instructor wishes to use a provincially regulated or credit-union variant, the regulatory appendix can be adjusted.</w:t>
      </w:r>
    </w:p>
    <w:p w14:paraId="59589522"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purpose of this case is not to train students to provide legal advice. Students should identify legal and regulatory issues, explain why they matter, and recommend that ACRB coordinate with legal counsel, compliance, privacy officers, regulators, law enforcement, cyber insurers, and external forensic experts as appropriate.</w:t>
      </w:r>
    </w:p>
    <w:p w14:paraId="365E2746" w14:textId="77777777" w:rsidR="00AB2579" w:rsidRPr="001570F6" w:rsidRDefault="00AB2579" w:rsidP="001570F6">
      <w:pPr>
        <w:adjustRightInd w:val="0"/>
        <w:snapToGrid w:val="0"/>
        <w:spacing w:before="240" w:after="240" w:line="240" w:lineRule="auto"/>
        <w:rPr>
          <w:rFonts w:eastAsiaTheme="majorEastAsia" w:cs="Arial"/>
          <w:b/>
          <w:bCs/>
          <w:color w:val="1F4E79"/>
          <w:sz w:val="24"/>
          <w:szCs w:val="24"/>
        </w:rPr>
      </w:pPr>
      <w:r w:rsidRPr="001570F6">
        <w:rPr>
          <w:rFonts w:cs="Arial"/>
          <w:sz w:val="24"/>
          <w:szCs w:val="24"/>
        </w:rPr>
        <w:br w:type="page"/>
      </w:r>
    </w:p>
    <w:p w14:paraId="55156DD0" w14:textId="77777777" w:rsidR="00575A93" w:rsidRPr="005760E8" w:rsidRDefault="00000000" w:rsidP="005760E8">
      <w:pPr>
        <w:pStyle w:val="Titre1"/>
      </w:pPr>
      <w:r w:rsidRPr="005760E8">
        <w:lastRenderedPageBreak/>
        <w:t>6. Module A: Incident Response Exercise</w:t>
      </w:r>
    </w:p>
    <w:p w14:paraId="3222A60C" w14:textId="4B693A34"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In this module, students act as members of ACRB’s cyber incident response team. The exercise begins when the SOC detects suspicious activity</w:t>
      </w:r>
      <w:r w:rsidR="005760E8">
        <w:rPr>
          <w:rFonts w:cs="Arial"/>
          <w:sz w:val="24"/>
          <w:szCs w:val="24"/>
        </w:rPr>
        <w:t>,</w:t>
      </w:r>
      <w:r w:rsidRPr="001570F6">
        <w:rPr>
          <w:rFonts w:cs="Arial"/>
          <w:sz w:val="24"/>
          <w:szCs w:val="24"/>
        </w:rPr>
        <w:t xml:space="preserve"> and branch staff begin reporting service disruptions. Students do not initially know whether the event is a malware infection, </w:t>
      </w:r>
      <w:r w:rsidR="005760E8">
        <w:rPr>
          <w:rFonts w:cs="Arial"/>
          <w:sz w:val="24"/>
          <w:szCs w:val="24"/>
        </w:rPr>
        <w:t>a ransomware incident, a data breach, an insider event, a third-party compromise, or an operational</w:t>
      </w:r>
      <w:r w:rsidRPr="001570F6">
        <w:rPr>
          <w:rFonts w:cs="Arial"/>
          <w:sz w:val="24"/>
          <w:szCs w:val="24"/>
        </w:rPr>
        <w:t xml:space="preserve"> failure. They must structure the response under uncertainty.</w:t>
      </w:r>
    </w:p>
    <w:p w14:paraId="7648D9E5"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Incident response objectives</w:t>
      </w:r>
    </w:p>
    <w:p w14:paraId="63DC2797"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primary objectives are to protect customers, contain the threat, preserve evidence, restore critical services, meet regulatory and privacy obligations, communicate responsibly, and learn from the incident. Students should explicitly balance confidentiality, integrity, availability, legal privilege, evidence preservation, customer impact, media pressure, and business continuity.</w:t>
      </w:r>
    </w:p>
    <w:tbl>
      <w:tblPr>
        <w:tblStyle w:val="Grilledutableau"/>
        <w:tblW w:w="0" w:type="auto"/>
        <w:jc w:val="center"/>
        <w:tblLook w:val="04A0" w:firstRow="1" w:lastRow="0" w:firstColumn="1" w:lastColumn="0" w:noHBand="0" w:noVBand="1"/>
      </w:tblPr>
      <w:tblGrid>
        <w:gridCol w:w="1397"/>
        <w:gridCol w:w="5615"/>
        <w:gridCol w:w="2950"/>
      </w:tblGrid>
      <w:tr w:rsidR="00575A93" w:rsidRPr="001570F6" w14:paraId="1EFC1044" w14:textId="77777777">
        <w:trPr>
          <w:jc w:val="center"/>
        </w:trPr>
        <w:tc>
          <w:tcPr>
            <w:tcW w:w="1440" w:type="dxa"/>
            <w:shd w:val="clear" w:color="auto" w:fill="1F4E79"/>
          </w:tcPr>
          <w:p w14:paraId="0FE7C05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Time</w:t>
            </w:r>
          </w:p>
        </w:tc>
        <w:tc>
          <w:tcPr>
            <w:tcW w:w="5904" w:type="dxa"/>
            <w:shd w:val="clear" w:color="auto" w:fill="1F4E79"/>
          </w:tcPr>
          <w:p w14:paraId="48CBC14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Inject or evidence provided to students</w:t>
            </w:r>
          </w:p>
        </w:tc>
        <w:tc>
          <w:tcPr>
            <w:tcW w:w="3024" w:type="dxa"/>
            <w:shd w:val="clear" w:color="auto" w:fill="1F4E79"/>
          </w:tcPr>
          <w:p w14:paraId="4BC350B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Expected student decision</w:t>
            </w:r>
          </w:p>
        </w:tc>
      </w:tr>
      <w:tr w:rsidR="00575A93" w:rsidRPr="001570F6" w14:paraId="60DF2BA1" w14:textId="77777777">
        <w:trPr>
          <w:jc w:val="center"/>
        </w:trPr>
        <w:tc>
          <w:tcPr>
            <w:tcW w:w="1440" w:type="dxa"/>
          </w:tcPr>
          <w:p w14:paraId="4708B26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T-14 days</w:t>
            </w:r>
          </w:p>
        </w:tc>
        <w:tc>
          <w:tcPr>
            <w:tcW w:w="5904" w:type="dxa"/>
          </w:tcPr>
          <w:p w14:paraId="33B01D7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phishing email purporting to contain an updated anti-money-laundering reporting template is delivered to several branch managers and finance employees.</w:t>
            </w:r>
          </w:p>
        </w:tc>
        <w:tc>
          <w:tcPr>
            <w:tcW w:w="3024" w:type="dxa"/>
          </w:tcPr>
          <w:p w14:paraId="06680D9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Identify likely initial access path, affected users, and immediate containment evidence needed.</w:t>
            </w:r>
          </w:p>
        </w:tc>
      </w:tr>
      <w:tr w:rsidR="00575A93" w:rsidRPr="001570F6" w14:paraId="48C8F106" w14:textId="77777777">
        <w:trPr>
          <w:jc w:val="center"/>
        </w:trPr>
        <w:tc>
          <w:tcPr>
            <w:tcW w:w="1440" w:type="dxa"/>
          </w:tcPr>
          <w:p w14:paraId="6C99B96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T-13 days</w:t>
            </w:r>
          </w:p>
        </w:tc>
        <w:tc>
          <w:tcPr>
            <w:tcW w:w="5904" w:type="dxa"/>
          </w:tcPr>
          <w:p w14:paraId="606A45D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Endpoint alert shows suspicious PowerShell execution from one employee workstation. The alert was auto-closed as low severity.</w:t>
            </w:r>
          </w:p>
        </w:tc>
        <w:tc>
          <w:tcPr>
            <w:tcW w:w="3024" w:type="dxa"/>
          </w:tcPr>
          <w:p w14:paraId="6805FD0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Assess SOC triage quality and whether similar alerts should be reopened.</w:t>
            </w:r>
          </w:p>
        </w:tc>
      </w:tr>
      <w:tr w:rsidR="00575A93" w:rsidRPr="001570F6" w14:paraId="450FC862" w14:textId="77777777">
        <w:trPr>
          <w:jc w:val="center"/>
        </w:trPr>
        <w:tc>
          <w:tcPr>
            <w:tcW w:w="1440" w:type="dxa"/>
          </w:tcPr>
          <w:p w14:paraId="5FD35A3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T-10 days</w:t>
            </w:r>
          </w:p>
        </w:tc>
        <w:tc>
          <w:tcPr>
            <w:tcW w:w="5904" w:type="dxa"/>
          </w:tcPr>
          <w:p w14:paraId="4A3873B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VPN logs show successful authentication from an unusual geography using a valid employee account.</w:t>
            </w:r>
          </w:p>
        </w:tc>
        <w:tc>
          <w:tcPr>
            <w:tcW w:w="3024" w:type="dxa"/>
          </w:tcPr>
          <w:p w14:paraId="72BC838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Decide whether to disable the account, force password resets, revoke sessions, and review MFA logs.</w:t>
            </w:r>
          </w:p>
        </w:tc>
      </w:tr>
      <w:tr w:rsidR="00575A93" w:rsidRPr="001570F6" w14:paraId="5550EC48" w14:textId="77777777">
        <w:trPr>
          <w:jc w:val="center"/>
        </w:trPr>
        <w:tc>
          <w:tcPr>
            <w:tcW w:w="1440" w:type="dxa"/>
          </w:tcPr>
          <w:p w14:paraId="098743B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T-7 days</w:t>
            </w:r>
          </w:p>
        </w:tc>
        <w:tc>
          <w:tcPr>
            <w:tcW w:w="5904" w:type="dxa"/>
          </w:tcPr>
          <w:p w14:paraId="253DEE2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Firewall logs show unusual outbound encrypted traffic from an application server during non-business hours.</w:t>
            </w:r>
          </w:p>
        </w:tc>
        <w:tc>
          <w:tcPr>
            <w:tcW w:w="3024" w:type="dxa"/>
          </w:tcPr>
          <w:p w14:paraId="53E6B8E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Determine whether to isolate the server, preserve volatile evidence, and begin threat hunting.</w:t>
            </w:r>
          </w:p>
        </w:tc>
      </w:tr>
      <w:tr w:rsidR="00575A93" w:rsidRPr="001570F6" w14:paraId="36B9EBEA" w14:textId="77777777">
        <w:trPr>
          <w:jc w:val="center"/>
        </w:trPr>
        <w:tc>
          <w:tcPr>
            <w:tcW w:w="1440" w:type="dxa"/>
          </w:tcPr>
          <w:p w14:paraId="1C8568F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T-3 days</w:t>
            </w:r>
          </w:p>
        </w:tc>
        <w:tc>
          <w:tcPr>
            <w:tcW w:w="5904" w:type="dxa"/>
          </w:tcPr>
          <w:p w14:paraId="45197BCA" w14:textId="35FFE3CC" w:rsidR="00575A93" w:rsidRPr="001570F6" w:rsidRDefault="005760E8" w:rsidP="001570F6">
            <w:pPr>
              <w:pStyle w:val="TableText"/>
              <w:adjustRightInd w:val="0"/>
              <w:snapToGrid w:val="0"/>
              <w:spacing w:before="240" w:after="240" w:line="240" w:lineRule="auto"/>
              <w:rPr>
                <w:rFonts w:cs="Arial"/>
                <w:sz w:val="24"/>
                <w:szCs w:val="24"/>
              </w:rPr>
            </w:pPr>
            <w:r w:rsidRPr="001570F6">
              <w:rPr>
                <w:rFonts w:cs="Arial"/>
                <w:sz w:val="24"/>
                <w:szCs w:val="24"/>
              </w:rPr>
              <w:t>Large, compressed files appear on a temporary directory on a file server containing customer exports.</w:t>
            </w:r>
          </w:p>
        </w:tc>
        <w:tc>
          <w:tcPr>
            <w:tcW w:w="3024" w:type="dxa"/>
          </w:tcPr>
          <w:p w14:paraId="7DAED1F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Assess potential data staging and escalate privacy/legal involvement.</w:t>
            </w:r>
          </w:p>
        </w:tc>
      </w:tr>
      <w:tr w:rsidR="00575A93" w:rsidRPr="001570F6" w14:paraId="5F59CD18" w14:textId="77777777">
        <w:trPr>
          <w:jc w:val="center"/>
        </w:trPr>
        <w:tc>
          <w:tcPr>
            <w:tcW w:w="1440" w:type="dxa"/>
          </w:tcPr>
          <w:p w14:paraId="159C3B2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T-0, 06:45</w:t>
            </w:r>
          </w:p>
        </w:tc>
        <w:tc>
          <w:tcPr>
            <w:tcW w:w="5904" w:type="dxa"/>
          </w:tcPr>
          <w:p w14:paraId="259674D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Multiple employees report ransom notes and inaccessible shared drives.</w:t>
            </w:r>
          </w:p>
        </w:tc>
        <w:tc>
          <w:tcPr>
            <w:tcW w:w="3024" w:type="dxa"/>
          </w:tcPr>
          <w:p w14:paraId="180DAAA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Declare an incident, activate the major incident process, and assign incident command roles.</w:t>
            </w:r>
          </w:p>
        </w:tc>
      </w:tr>
      <w:tr w:rsidR="00575A93" w:rsidRPr="001570F6" w14:paraId="100BCE48" w14:textId="77777777">
        <w:trPr>
          <w:jc w:val="center"/>
        </w:trPr>
        <w:tc>
          <w:tcPr>
            <w:tcW w:w="1440" w:type="dxa"/>
          </w:tcPr>
          <w:p w14:paraId="131E038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T-0, 08:10</w:t>
            </w:r>
          </w:p>
        </w:tc>
        <w:tc>
          <w:tcPr>
            <w:tcW w:w="5904" w:type="dxa"/>
          </w:tcPr>
          <w:p w14:paraId="017A753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Online banking login failures increase sharply; branches report teller system errors.</w:t>
            </w:r>
          </w:p>
        </w:tc>
        <w:tc>
          <w:tcPr>
            <w:tcW w:w="3024" w:type="dxa"/>
          </w:tcPr>
          <w:p w14:paraId="51F0702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Prioritize business services and decide on temporary service suspension or isolation.</w:t>
            </w:r>
          </w:p>
        </w:tc>
      </w:tr>
      <w:tr w:rsidR="00575A93" w:rsidRPr="001570F6" w14:paraId="21C9B78E" w14:textId="77777777">
        <w:trPr>
          <w:jc w:val="center"/>
        </w:trPr>
        <w:tc>
          <w:tcPr>
            <w:tcW w:w="1440" w:type="dxa"/>
          </w:tcPr>
          <w:p w14:paraId="2FF568F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T-0, 10:30</w:t>
            </w:r>
          </w:p>
        </w:tc>
        <w:tc>
          <w:tcPr>
            <w:tcW w:w="5904" w:type="dxa"/>
          </w:tcPr>
          <w:p w14:paraId="74C97AA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GoSecurity is available but needs authorization, access, and legal engagement instructions.</w:t>
            </w:r>
          </w:p>
        </w:tc>
        <w:tc>
          <w:tcPr>
            <w:tcW w:w="3024" w:type="dxa"/>
          </w:tcPr>
          <w:p w14:paraId="7073B3E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Decide scope of external support, evidence handling, and privilege strategy with counsel.</w:t>
            </w:r>
          </w:p>
        </w:tc>
      </w:tr>
      <w:tr w:rsidR="00575A93" w:rsidRPr="001570F6" w14:paraId="549EDAFB" w14:textId="77777777">
        <w:trPr>
          <w:jc w:val="center"/>
        </w:trPr>
        <w:tc>
          <w:tcPr>
            <w:tcW w:w="1440" w:type="dxa"/>
          </w:tcPr>
          <w:p w14:paraId="5293883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T+18 hours</w:t>
            </w:r>
          </w:p>
        </w:tc>
        <w:tc>
          <w:tcPr>
            <w:tcW w:w="5904" w:type="dxa"/>
          </w:tcPr>
          <w:p w14:paraId="00DCB63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Initial forensic triage suggests possible exfiltration of customer data.</w:t>
            </w:r>
          </w:p>
        </w:tc>
        <w:tc>
          <w:tcPr>
            <w:tcW w:w="3024" w:type="dxa"/>
          </w:tcPr>
          <w:p w14:paraId="2E4628F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Prepare regulator, privacy, and executive updates while acknowledging uncertainty.</w:t>
            </w:r>
          </w:p>
        </w:tc>
      </w:tr>
      <w:tr w:rsidR="00575A93" w:rsidRPr="001570F6" w14:paraId="1FAE902E" w14:textId="77777777">
        <w:trPr>
          <w:jc w:val="center"/>
        </w:trPr>
        <w:tc>
          <w:tcPr>
            <w:tcW w:w="1440" w:type="dxa"/>
          </w:tcPr>
          <w:p w14:paraId="6D43C48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T+24 hours</w:t>
            </w:r>
          </w:p>
        </w:tc>
        <w:tc>
          <w:tcPr>
            <w:tcW w:w="5904" w:type="dxa"/>
          </w:tcPr>
          <w:p w14:paraId="5BD87D5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The Board asks whether ACRB should pay the ransom.</w:t>
            </w:r>
          </w:p>
        </w:tc>
        <w:tc>
          <w:tcPr>
            <w:tcW w:w="3024" w:type="dxa"/>
          </w:tcPr>
          <w:p w14:paraId="1B4E235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Prepare a decision memo assessing operational, legal, ethical, insurance, recovery, and law enforcement considerations.</w:t>
            </w:r>
          </w:p>
        </w:tc>
      </w:tr>
      <w:tr w:rsidR="00575A93" w:rsidRPr="001570F6" w14:paraId="69310237" w14:textId="77777777">
        <w:trPr>
          <w:jc w:val="center"/>
        </w:trPr>
        <w:tc>
          <w:tcPr>
            <w:tcW w:w="1440" w:type="dxa"/>
          </w:tcPr>
          <w:p w14:paraId="06DE0AC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T+48 hours</w:t>
            </w:r>
          </w:p>
        </w:tc>
        <w:tc>
          <w:tcPr>
            <w:tcW w:w="5904" w:type="dxa"/>
          </w:tcPr>
          <w:p w14:paraId="0F514F5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journalist asks whether customer Social Insurance Numbers were stolen.</w:t>
            </w:r>
          </w:p>
        </w:tc>
        <w:tc>
          <w:tcPr>
            <w:tcW w:w="3024" w:type="dxa"/>
          </w:tcPr>
          <w:p w14:paraId="3D5E640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Prepare communications that are accurate, not speculative, and coordinated with legal and incident command.</w:t>
            </w:r>
          </w:p>
        </w:tc>
      </w:tr>
      <w:tr w:rsidR="00575A93" w:rsidRPr="001570F6" w14:paraId="23151BD2" w14:textId="77777777">
        <w:trPr>
          <w:jc w:val="center"/>
        </w:trPr>
        <w:tc>
          <w:tcPr>
            <w:tcW w:w="1440" w:type="dxa"/>
          </w:tcPr>
          <w:p w14:paraId="182EDA5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T+7 days</w:t>
            </w:r>
          </w:p>
        </w:tc>
        <w:tc>
          <w:tcPr>
            <w:tcW w:w="5904" w:type="dxa"/>
          </w:tcPr>
          <w:p w14:paraId="587BE83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Core services are mostly restored, but public confidence remains low.</w:t>
            </w:r>
          </w:p>
        </w:tc>
        <w:tc>
          <w:tcPr>
            <w:tcW w:w="3024" w:type="dxa"/>
          </w:tcPr>
          <w:p w14:paraId="24887C4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Prepare a recovery status briefing and immediate remediation plan.</w:t>
            </w:r>
          </w:p>
        </w:tc>
      </w:tr>
      <w:tr w:rsidR="00575A93" w:rsidRPr="001570F6" w14:paraId="408232DE" w14:textId="77777777">
        <w:trPr>
          <w:jc w:val="center"/>
        </w:trPr>
        <w:tc>
          <w:tcPr>
            <w:tcW w:w="1440" w:type="dxa"/>
          </w:tcPr>
          <w:p w14:paraId="7BD9013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T+30 days</w:t>
            </w:r>
          </w:p>
        </w:tc>
        <w:tc>
          <w:tcPr>
            <w:tcW w:w="5904" w:type="dxa"/>
          </w:tcPr>
          <w:p w14:paraId="4F1037C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The Board requests a lessons-learned report and action plan.</w:t>
            </w:r>
          </w:p>
        </w:tc>
        <w:tc>
          <w:tcPr>
            <w:tcW w:w="3024" w:type="dxa"/>
          </w:tcPr>
          <w:p w14:paraId="3C37B75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Connect root causes to governance, controls, audit findings, risk treatment, and budget.</w:t>
            </w:r>
          </w:p>
        </w:tc>
      </w:tr>
    </w:tbl>
    <w:p w14:paraId="5DE63E72" w14:textId="77777777" w:rsidR="00575A93" w:rsidRPr="001570F6" w:rsidRDefault="00575A93" w:rsidP="001570F6">
      <w:pPr>
        <w:pStyle w:val="Small"/>
        <w:adjustRightInd w:val="0"/>
        <w:snapToGrid w:val="0"/>
        <w:spacing w:before="240" w:after="240" w:line="240" w:lineRule="auto"/>
        <w:rPr>
          <w:rFonts w:cs="Arial"/>
          <w:sz w:val="24"/>
          <w:szCs w:val="24"/>
        </w:rPr>
      </w:pPr>
    </w:p>
    <w:p w14:paraId="64F68669"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Incident command structure</w:t>
      </w:r>
    </w:p>
    <w:p w14:paraId="608F52AB"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Students should propose an incident command structure that includes clear authority, decision rights, escalation paths, and communications channels. A suggested structure is provided below, but students may modify it if they justify their assumptions.</w:t>
      </w:r>
    </w:p>
    <w:tbl>
      <w:tblPr>
        <w:tblStyle w:val="Grilledutableau"/>
        <w:tblW w:w="0" w:type="auto"/>
        <w:jc w:val="center"/>
        <w:tblLook w:val="04A0" w:firstRow="1" w:lastRow="0" w:firstColumn="1" w:lastColumn="0" w:noHBand="0" w:noVBand="1"/>
      </w:tblPr>
      <w:tblGrid>
        <w:gridCol w:w="2824"/>
        <w:gridCol w:w="7138"/>
      </w:tblGrid>
      <w:tr w:rsidR="00575A93" w:rsidRPr="001570F6" w14:paraId="0537D758" w14:textId="77777777">
        <w:trPr>
          <w:jc w:val="center"/>
        </w:trPr>
        <w:tc>
          <w:tcPr>
            <w:tcW w:w="2880" w:type="dxa"/>
            <w:shd w:val="clear" w:color="auto" w:fill="1F4E79"/>
          </w:tcPr>
          <w:p w14:paraId="756352D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Role</w:t>
            </w:r>
          </w:p>
        </w:tc>
        <w:tc>
          <w:tcPr>
            <w:tcW w:w="7488" w:type="dxa"/>
            <w:shd w:val="clear" w:color="auto" w:fill="1F4E79"/>
          </w:tcPr>
          <w:p w14:paraId="7E6F0C4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Suggested responsibility</w:t>
            </w:r>
          </w:p>
        </w:tc>
      </w:tr>
      <w:tr w:rsidR="00575A93" w:rsidRPr="001570F6" w14:paraId="506F4439" w14:textId="77777777">
        <w:trPr>
          <w:jc w:val="center"/>
        </w:trPr>
        <w:tc>
          <w:tcPr>
            <w:tcW w:w="2880" w:type="dxa"/>
          </w:tcPr>
          <w:p w14:paraId="4A4CF7B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Commander</w:t>
            </w:r>
          </w:p>
        </w:tc>
        <w:tc>
          <w:tcPr>
            <w:tcW w:w="7488" w:type="dxa"/>
          </w:tcPr>
          <w:p w14:paraId="05C778B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Coordinates the incident, sets priorities, manages escalation, and ensures decisions are documented. For a major event, this role may be held by the CISO or a designated crisis leader.</w:t>
            </w:r>
          </w:p>
        </w:tc>
      </w:tr>
      <w:tr w:rsidR="00575A93" w:rsidRPr="001570F6" w14:paraId="2107B6F7" w14:textId="77777777">
        <w:trPr>
          <w:jc w:val="center"/>
        </w:trPr>
        <w:tc>
          <w:tcPr>
            <w:tcW w:w="2880" w:type="dxa"/>
          </w:tcPr>
          <w:p w14:paraId="5799119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Technical Lead</w:t>
            </w:r>
          </w:p>
        </w:tc>
        <w:tc>
          <w:tcPr>
            <w:tcW w:w="7488" w:type="dxa"/>
          </w:tcPr>
          <w:p w14:paraId="2644308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Coordinates SOC, infrastructure, endpoint, network, identity, cloud, application, and forensic workstreams.</w:t>
            </w:r>
          </w:p>
        </w:tc>
      </w:tr>
      <w:tr w:rsidR="00575A93" w:rsidRPr="001570F6" w14:paraId="52203050" w14:textId="77777777">
        <w:trPr>
          <w:jc w:val="center"/>
        </w:trPr>
        <w:tc>
          <w:tcPr>
            <w:tcW w:w="2880" w:type="dxa"/>
          </w:tcPr>
          <w:p w14:paraId="4002F37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Business Continuity Lead</w:t>
            </w:r>
          </w:p>
        </w:tc>
        <w:tc>
          <w:tcPr>
            <w:tcW w:w="7488" w:type="dxa"/>
          </w:tcPr>
          <w:p w14:paraId="4C436FA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Coordinates branch operations, customer support, workarounds, service restoration, and operational prioritization.</w:t>
            </w:r>
          </w:p>
        </w:tc>
      </w:tr>
      <w:tr w:rsidR="00575A93" w:rsidRPr="001570F6" w14:paraId="54F5D946" w14:textId="77777777">
        <w:trPr>
          <w:jc w:val="center"/>
        </w:trPr>
        <w:tc>
          <w:tcPr>
            <w:tcW w:w="2880" w:type="dxa"/>
          </w:tcPr>
          <w:p w14:paraId="37EA5F8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Legal and Privacy Lead</w:t>
            </w:r>
          </w:p>
        </w:tc>
        <w:tc>
          <w:tcPr>
            <w:tcW w:w="7488" w:type="dxa"/>
          </w:tcPr>
          <w:p w14:paraId="3560930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Advises on legal privilege, breach assessment, notifications, records, contracts, law enforcement, and regulatory communications.</w:t>
            </w:r>
          </w:p>
        </w:tc>
      </w:tr>
      <w:tr w:rsidR="00575A93" w:rsidRPr="001570F6" w14:paraId="10BF3915" w14:textId="77777777">
        <w:trPr>
          <w:jc w:val="center"/>
        </w:trPr>
        <w:tc>
          <w:tcPr>
            <w:tcW w:w="2880" w:type="dxa"/>
          </w:tcPr>
          <w:p w14:paraId="769D28D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Communications Lead</w:t>
            </w:r>
          </w:p>
        </w:tc>
        <w:tc>
          <w:tcPr>
            <w:tcW w:w="7488" w:type="dxa"/>
          </w:tcPr>
          <w:p w14:paraId="0633EAB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Coordinates internal communications, media statements, customer messaging, call center scripts, and executive talking points.</w:t>
            </w:r>
          </w:p>
        </w:tc>
      </w:tr>
      <w:tr w:rsidR="00575A93" w:rsidRPr="001570F6" w14:paraId="32E69730" w14:textId="77777777">
        <w:trPr>
          <w:jc w:val="center"/>
        </w:trPr>
        <w:tc>
          <w:tcPr>
            <w:tcW w:w="2880" w:type="dxa"/>
          </w:tcPr>
          <w:p w14:paraId="12FD97A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Executive Sponsor</w:t>
            </w:r>
          </w:p>
        </w:tc>
        <w:tc>
          <w:tcPr>
            <w:tcW w:w="7488" w:type="dxa"/>
          </w:tcPr>
          <w:p w14:paraId="25AE830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Ensures executive decisions, resource allocation, Board updates, and enterprise-level risk acceptance.</w:t>
            </w:r>
          </w:p>
        </w:tc>
      </w:tr>
      <w:tr w:rsidR="00575A93" w:rsidRPr="001570F6" w14:paraId="0289891F" w14:textId="77777777">
        <w:trPr>
          <w:jc w:val="center"/>
        </w:trPr>
        <w:tc>
          <w:tcPr>
            <w:tcW w:w="2880" w:type="dxa"/>
          </w:tcPr>
          <w:p w14:paraId="5342E3E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Scribe / Documentation Lead</w:t>
            </w:r>
          </w:p>
        </w:tc>
        <w:tc>
          <w:tcPr>
            <w:tcW w:w="7488" w:type="dxa"/>
          </w:tcPr>
          <w:p w14:paraId="482D079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Maintains a chronological record of decisions, evidence, assumptions, actions, approvals, and unresolved questions.</w:t>
            </w:r>
          </w:p>
        </w:tc>
      </w:tr>
    </w:tbl>
    <w:p w14:paraId="715E2C7F" w14:textId="77777777" w:rsidR="00575A93" w:rsidRPr="001570F6" w:rsidRDefault="00575A93" w:rsidP="001570F6">
      <w:pPr>
        <w:pStyle w:val="Small"/>
        <w:adjustRightInd w:val="0"/>
        <w:snapToGrid w:val="0"/>
        <w:spacing w:before="240" w:after="240" w:line="240" w:lineRule="auto"/>
        <w:rPr>
          <w:rFonts w:cs="Arial"/>
          <w:sz w:val="24"/>
          <w:szCs w:val="24"/>
        </w:rPr>
      </w:pPr>
    </w:p>
    <w:p w14:paraId="44DDF3DB"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Required incident response deliverables</w:t>
      </w:r>
    </w:p>
    <w:p w14:paraId="11E102BC"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1. Initial incident classification and severity assessment, including the evidence supporting the classification.</w:t>
      </w:r>
    </w:p>
    <w:p w14:paraId="0032A88A"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2. First 24-hour situation report for executives and the Board.</w:t>
      </w:r>
    </w:p>
    <w:p w14:paraId="32785920"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3. Containment and evidence preservation plan, including systems to isolate, credentials to revoke, and logs to preserve.</w:t>
      </w:r>
    </w:p>
    <w:p w14:paraId="4DFFF3CC"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4. Stakeholder notification and communications plan, including customers, employees, regulators, law enforcement, media, third parties, and cyber insurer.</w:t>
      </w:r>
    </w:p>
    <w:p w14:paraId="6F38B2CC"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5. Ransom decision memo explaining whether the bank should pay, refuse, negotiate, or delay while validating backups and recovery options.</w:t>
      </w:r>
    </w:p>
    <w:p w14:paraId="6D302635"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6. Recovery plan with service prioritization, restoration dependencies, backup validation, and customer-facing workarounds.</w:t>
      </w:r>
    </w:p>
    <w:p w14:paraId="6B36A0E2"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7. Lessons-learned report connecting technical root causes to governance, audit, control maturity, and risk management improvements.</w:t>
      </w:r>
    </w:p>
    <w:p w14:paraId="29C6F204" w14:textId="77777777" w:rsidR="00AB2579" w:rsidRPr="001570F6" w:rsidRDefault="00AB2579" w:rsidP="001570F6">
      <w:pPr>
        <w:adjustRightInd w:val="0"/>
        <w:snapToGrid w:val="0"/>
        <w:spacing w:before="240" w:after="240" w:line="240" w:lineRule="auto"/>
        <w:rPr>
          <w:rFonts w:eastAsiaTheme="majorEastAsia" w:cs="Arial"/>
          <w:b/>
          <w:bCs/>
          <w:color w:val="1F4E79"/>
          <w:sz w:val="24"/>
          <w:szCs w:val="24"/>
        </w:rPr>
      </w:pPr>
      <w:r w:rsidRPr="001570F6">
        <w:rPr>
          <w:rFonts w:cs="Arial"/>
          <w:sz w:val="24"/>
          <w:szCs w:val="24"/>
        </w:rPr>
        <w:br w:type="page"/>
      </w:r>
    </w:p>
    <w:p w14:paraId="503F5D4B" w14:textId="77777777" w:rsidR="00575A93" w:rsidRPr="005760E8" w:rsidRDefault="00000000" w:rsidP="005760E8">
      <w:pPr>
        <w:pStyle w:val="Titre1"/>
      </w:pPr>
      <w:r w:rsidRPr="005760E8">
        <w:lastRenderedPageBreak/>
        <w:t>7. Module B: Cybersecurity Audit Planning Exercise</w:t>
      </w:r>
    </w:p>
    <w:p w14:paraId="29EAD7EB"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In this module, students act as internal auditors or cybersecurity audit planners. Their task is not to investigate the incident as incident responders, but to develop a risk-based audit plan that provides independent assurance over ACRB’s cybersecurity governance, controls, remediation, and resilience. The audit plan should be defensible to the Audit Committee.</w:t>
      </w:r>
    </w:p>
    <w:p w14:paraId="316A2BC3"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Students should distinguish three audit questions. First, what control failures contributed to the 2022 incident? Second, are management’s remediation actions properly designed and operating effectively? Third, what areas should be audited over the 2024-2027 action-plan period, while also considering longer-term projections through 2030, based on risk, regulatory exposure, business criticality, and prior findings?</w:t>
      </w:r>
    </w:p>
    <w:p w14:paraId="511DA610"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Audit universe</w:t>
      </w:r>
    </w:p>
    <w:tbl>
      <w:tblPr>
        <w:tblStyle w:val="Grilledutableau"/>
        <w:tblW w:w="0" w:type="auto"/>
        <w:jc w:val="center"/>
        <w:tblLook w:val="04A0" w:firstRow="1" w:lastRow="0" w:firstColumn="1" w:lastColumn="0" w:noHBand="0" w:noVBand="1"/>
      </w:tblPr>
      <w:tblGrid>
        <w:gridCol w:w="2377"/>
        <w:gridCol w:w="3832"/>
        <w:gridCol w:w="3753"/>
      </w:tblGrid>
      <w:tr w:rsidR="00575A93" w:rsidRPr="001570F6" w14:paraId="256CF98F" w14:textId="77777777">
        <w:trPr>
          <w:jc w:val="center"/>
        </w:trPr>
        <w:tc>
          <w:tcPr>
            <w:tcW w:w="2448" w:type="dxa"/>
            <w:shd w:val="clear" w:color="auto" w:fill="1F4E79"/>
          </w:tcPr>
          <w:p w14:paraId="7978A5E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Auditable area</w:t>
            </w:r>
          </w:p>
        </w:tc>
        <w:tc>
          <w:tcPr>
            <w:tcW w:w="4032" w:type="dxa"/>
            <w:shd w:val="clear" w:color="auto" w:fill="1F4E79"/>
          </w:tcPr>
          <w:p w14:paraId="2482677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Why it matters</w:t>
            </w:r>
          </w:p>
        </w:tc>
        <w:tc>
          <w:tcPr>
            <w:tcW w:w="3888" w:type="dxa"/>
            <w:shd w:val="clear" w:color="auto" w:fill="1F4E79"/>
          </w:tcPr>
          <w:p w14:paraId="39C7149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Example evidence or procedures</w:t>
            </w:r>
          </w:p>
        </w:tc>
      </w:tr>
      <w:tr w:rsidR="00575A93" w:rsidRPr="001570F6" w14:paraId="16E13032" w14:textId="77777777">
        <w:trPr>
          <w:jc w:val="center"/>
        </w:trPr>
        <w:tc>
          <w:tcPr>
            <w:tcW w:w="2448" w:type="dxa"/>
          </w:tcPr>
          <w:p w14:paraId="60AEB89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Cyber governance and Board reporting</w:t>
            </w:r>
          </w:p>
        </w:tc>
        <w:tc>
          <w:tcPr>
            <w:tcW w:w="4032" w:type="dxa"/>
          </w:tcPr>
          <w:p w14:paraId="29EC6A4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The incident revealed a possible gap between technology operations and enterprise risk oversight.</w:t>
            </w:r>
          </w:p>
        </w:tc>
        <w:tc>
          <w:tcPr>
            <w:tcW w:w="3888" w:type="dxa"/>
          </w:tcPr>
          <w:p w14:paraId="6DB6BF9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Board minutes, risk appetite statements, CISO reports, committee charters, escalation records.</w:t>
            </w:r>
          </w:p>
        </w:tc>
      </w:tr>
      <w:tr w:rsidR="00575A93" w:rsidRPr="001570F6" w14:paraId="081A2C5C" w14:textId="77777777">
        <w:trPr>
          <w:jc w:val="center"/>
        </w:trPr>
        <w:tc>
          <w:tcPr>
            <w:tcW w:w="2448" w:type="dxa"/>
          </w:tcPr>
          <w:p w14:paraId="580298F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response and crisis management</w:t>
            </w:r>
          </w:p>
        </w:tc>
        <w:tc>
          <w:tcPr>
            <w:tcW w:w="4032" w:type="dxa"/>
          </w:tcPr>
          <w:p w14:paraId="76B2714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The bank’s ability to detect, contain, notify, restore, and learn from incidents is central to resilience.</w:t>
            </w:r>
          </w:p>
        </w:tc>
        <w:tc>
          <w:tcPr>
            <w:tcW w:w="3888" w:type="dxa"/>
          </w:tcPr>
          <w:p w14:paraId="36AF8F5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response plan, tabletop results, tickets, timelines, situation reports, decision logs.</w:t>
            </w:r>
          </w:p>
        </w:tc>
      </w:tr>
      <w:tr w:rsidR="00575A93" w:rsidRPr="001570F6" w14:paraId="7B926804" w14:textId="77777777">
        <w:trPr>
          <w:jc w:val="center"/>
        </w:trPr>
        <w:tc>
          <w:tcPr>
            <w:tcW w:w="2448" w:type="dxa"/>
          </w:tcPr>
          <w:p w14:paraId="6F248AA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SOC monitoring and detection</w:t>
            </w:r>
          </w:p>
        </w:tc>
        <w:tc>
          <w:tcPr>
            <w:tcW w:w="4032" w:type="dxa"/>
          </w:tcPr>
          <w:p w14:paraId="67E8229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Malware was reportedly present for two weeks before encryption, suggesting detection or escalation weakness.</w:t>
            </w:r>
          </w:p>
        </w:tc>
        <w:tc>
          <w:tcPr>
            <w:tcW w:w="3888" w:type="dxa"/>
          </w:tcPr>
          <w:p w14:paraId="4F834F9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SIEM rules, EDR alerts, triage records, use cases, threat-hunting results, alert closure rationale.</w:t>
            </w:r>
          </w:p>
        </w:tc>
      </w:tr>
      <w:tr w:rsidR="00575A93" w:rsidRPr="001570F6" w14:paraId="366CD5D9" w14:textId="77777777">
        <w:trPr>
          <w:jc w:val="center"/>
        </w:trPr>
        <w:tc>
          <w:tcPr>
            <w:tcW w:w="2448" w:type="dxa"/>
          </w:tcPr>
          <w:p w14:paraId="3AAD58D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Identity and access management</w:t>
            </w:r>
          </w:p>
        </w:tc>
        <w:tc>
          <w:tcPr>
            <w:tcW w:w="4032" w:type="dxa"/>
          </w:tcPr>
          <w:p w14:paraId="27350B0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Compromised credentials, privileged accounts, and remote access may have enabled lateral movement.</w:t>
            </w:r>
          </w:p>
        </w:tc>
        <w:tc>
          <w:tcPr>
            <w:tcW w:w="3888" w:type="dxa"/>
          </w:tcPr>
          <w:p w14:paraId="38F5528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Access reviews, MFA logs, privileged access management, joiner/mover/leaver samples.</w:t>
            </w:r>
          </w:p>
        </w:tc>
      </w:tr>
      <w:tr w:rsidR="00575A93" w:rsidRPr="001570F6" w14:paraId="4927136A" w14:textId="77777777">
        <w:trPr>
          <w:jc w:val="center"/>
        </w:trPr>
        <w:tc>
          <w:tcPr>
            <w:tcW w:w="2448" w:type="dxa"/>
          </w:tcPr>
          <w:p w14:paraId="0854AB8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Vulnerability and patch management</w:t>
            </w:r>
          </w:p>
        </w:tc>
        <w:tc>
          <w:tcPr>
            <w:tcW w:w="4032" w:type="dxa"/>
          </w:tcPr>
          <w:p w14:paraId="3344BDF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Legacy systems and delayed patching can create exploitable exposure.</w:t>
            </w:r>
          </w:p>
        </w:tc>
        <w:tc>
          <w:tcPr>
            <w:tcW w:w="3888" w:type="dxa"/>
          </w:tcPr>
          <w:p w14:paraId="6F37C25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Asset inventory, vulnerability scans, patch SLAs, exception approvals, remediation evidence.</w:t>
            </w:r>
          </w:p>
        </w:tc>
      </w:tr>
      <w:tr w:rsidR="00575A93" w:rsidRPr="001570F6" w14:paraId="35DD9667" w14:textId="77777777">
        <w:trPr>
          <w:jc w:val="center"/>
        </w:trPr>
        <w:tc>
          <w:tcPr>
            <w:tcW w:w="2448" w:type="dxa"/>
          </w:tcPr>
          <w:p w14:paraId="7B20AFE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Backup and recovery</w:t>
            </w:r>
          </w:p>
        </w:tc>
        <w:tc>
          <w:tcPr>
            <w:tcW w:w="4032" w:type="dxa"/>
          </w:tcPr>
          <w:p w14:paraId="300A494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Ransomware impact depends heavily on backup isolation and recovery readiness.</w:t>
            </w:r>
          </w:p>
        </w:tc>
        <w:tc>
          <w:tcPr>
            <w:tcW w:w="3888" w:type="dxa"/>
          </w:tcPr>
          <w:p w14:paraId="15AA006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Backup job reports, immutable backup configuration, restore tests, RTO/RPO evidence.</w:t>
            </w:r>
          </w:p>
        </w:tc>
      </w:tr>
      <w:tr w:rsidR="00575A93" w:rsidRPr="001570F6" w14:paraId="35CF85DD" w14:textId="77777777">
        <w:trPr>
          <w:jc w:val="center"/>
        </w:trPr>
        <w:tc>
          <w:tcPr>
            <w:tcW w:w="2448" w:type="dxa"/>
          </w:tcPr>
          <w:p w14:paraId="10DFCF5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Network segmentation</w:t>
            </w:r>
          </w:p>
        </w:tc>
        <w:tc>
          <w:tcPr>
            <w:tcW w:w="4032" w:type="dxa"/>
          </w:tcPr>
          <w:p w14:paraId="752272A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Segmentation failures can allow ransomware to spread across branches and data centers.</w:t>
            </w:r>
          </w:p>
        </w:tc>
        <w:tc>
          <w:tcPr>
            <w:tcW w:w="3888" w:type="dxa"/>
          </w:tcPr>
          <w:p w14:paraId="459665E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Network diagrams, firewall rules, segmentation tests, remote access paths.</w:t>
            </w:r>
          </w:p>
        </w:tc>
      </w:tr>
      <w:tr w:rsidR="00575A93" w:rsidRPr="001570F6" w14:paraId="2F098ED5" w14:textId="77777777">
        <w:trPr>
          <w:jc w:val="center"/>
        </w:trPr>
        <w:tc>
          <w:tcPr>
            <w:tcW w:w="2448" w:type="dxa"/>
          </w:tcPr>
          <w:p w14:paraId="754F454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Email security and phishing resilience</w:t>
            </w:r>
          </w:p>
        </w:tc>
        <w:tc>
          <w:tcPr>
            <w:tcW w:w="4032" w:type="dxa"/>
          </w:tcPr>
          <w:p w14:paraId="7D2288E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The initial entry vector was spear-phishing.</w:t>
            </w:r>
          </w:p>
        </w:tc>
        <w:tc>
          <w:tcPr>
            <w:tcW w:w="3888" w:type="dxa"/>
          </w:tcPr>
          <w:p w14:paraId="30EA7EA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Email gateway configuration, SPF/DKIM/DMARC, phishing simulations, user reporting metrics.</w:t>
            </w:r>
          </w:p>
        </w:tc>
      </w:tr>
      <w:tr w:rsidR="00575A93" w:rsidRPr="001570F6" w14:paraId="7BE9B43A" w14:textId="77777777">
        <w:trPr>
          <w:jc w:val="center"/>
        </w:trPr>
        <w:tc>
          <w:tcPr>
            <w:tcW w:w="2448" w:type="dxa"/>
          </w:tcPr>
          <w:p w14:paraId="1CB943C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Mobile and online banking security</w:t>
            </w:r>
          </w:p>
        </w:tc>
        <w:tc>
          <w:tcPr>
            <w:tcW w:w="4032" w:type="dxa"/>
          </w:tcPr>
          <w:p w14:paraId="0A698D8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Customer-facing digital channels are high-value targets and business-critical.</w:t>
            </w:r>
          </w:p>
        </w:tc>
        <w:tc>
          <w:tcPr>
            <w:tcW w:w="3888" w:type="dxa"/>
          </w:tcPr>
          <w:p w14:paraId="0E660C1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Secure SDLC records, penetration tests, API security testing, authentication logs.</w:t>
            </w:r>
          </w:p>
        </w:tc>
      </w:tr>
      <w:tr w:rsidR="00575A93" w:rsidRPr="001570F6" w14:paraId="36208412" w14:textId="77777777">
        <w:trPr>
          <w:jc w:val="center"/>
        </w:trPr>
        <w:tc>
          <w:tcPr>
            <w:tcW w:w="2448" w:type="dxa"/>
          </w:tcPr>
          <w:p w14:paraId="4FB3FCE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Cloud security</w:t>
            </w:r>
          </w:p>
        </w:tc>
        <w:tc>
          <w:tcPr>
            <w:tcW w:w="4032" w:type="dxa"/>
          </w:tcPr>
          <w:p w14:paraId="46FABA2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AWS and Azure adoption creates shared-responsibility and configuration risks.</w:t>
            </w:r>
          </w:p>
        </w:tc>
        <w:tc>
          <w:tcPr>
            <w:tcW w:w="3888" w:type="dxa"/>
          </w:tcPr>
          <w:p w14:paraId="1BC3805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Cloud inventory, IAM policies, logging, storage configuration, security posture management reports.</w:t>
            </w:r>
          </w:p>
        </w:tc>
      </w:tr>
      <w:tr w:rsidR="00575A93" w:rsidRPr="001570F6" w14:paraId="045FFE25" w14:textId="77777777">
        <w:trPr>
          <w:jc w:val="center"/>
        </w:trPr>
        <w:tc>
          <w:tcPr>
            <w:tcW w:w="2448" w:type="dxa"/>
          </w:tcPr>
          <w:p w14:paraId="18776BE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Third-party cyber risk</w:t>
            </w:r>
          </w:p>
        </w:tc>
        <w:tc>
          <w:tcPr>
            <w:tcW w:w="4032" w:type="dxa"/>
          </w:tcPr>
          <w:p w14:paraId="38741E3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Vendors and service providers may introduce breach exposure and response dependencies.</w:t>
            </w:r>
          </w:p>
        </w:tc>
        <w:tc>
          <w:tcPr>
            <w:tcW w:w="3888" w:type="dxa"/>
          </w:tcPr>
          <w:p w14:paraId="59B809E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Vendor risk assessments, SOC reports, contracts, right-to-audit clauses, incident notification clauses.</w:t>
            </w:r>
          </w:p>
        </w:tc>
      </w:tr>
      <w:tr w:rsidR="00575A93" w:rsidRPr="001570F6" w14:paraId="6A271C4D" w14:textId="77777777">
        <w:trPr>
          <w:jc w:val="center"/>
        </w:trPr>
        <w:tc>
          <w:tcPr>
            <w:tcW w:w="2448" w:type="dxa"/>
          </w:tcPr>
          <w:p w14:paraId="71A5792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Data protection and privacy</w:t>
            </w:r>
          </w:p>
        </w:tc>
        <w:tc>
          <w:tcPr>
            <w:tcW w:w="4032" w:type="dxa"/>
          </w:tcPr>
          <w:p w14:paraId="7425B15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The breach involved sensitive customer data and possible privacy notification obligations.</w:t>
            </w:r>
          </w:p>
        </w:tc>
        <w:tc>
          <w:tcPr>
            <w:tcW w:w="3888" w:type="dxa"/>
          </w:tcPr>
          <w:p w14:paraId="651177A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Data classification, encryption, DLP logs, breach assessment, customer notification records.</w:t>
            </w:r>
          </w:p>
        </w:tc>
      </w:tr>
      <w:tr w:rsidR="00575A93" w:rsidRPr="001570F6" w14:paraId="1F7586E8" w14:textId="77777777">
        <w:trPr>
          <w:jc w:val="center"/>
        </w:trPr>
        <w:tc>
          <w:tcPr>
            <w:tcW w:w="2448" w:type="dxa"/>
          </w:tcPr>
          <w:p w14:paraId="7975946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ATM and POS security</w:t>
            </w:r>
          </w:p>
        </w:tc>
        <w:tc>
          <w:tcPr>
            <w:tcW w:w="4032" w:type="dxa"/>
          </w:tcPr>
          <w:p w14:paraId="2ECA485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Distributed payment infrastructure expands the attack surface.</w:t>
            </w:r>
          </w:p>
        </w:tc>
        <w:tc>
          <w:tcPr>
            <w:tcW w:w="3888" w:type="dxa"/>
          </w:tcPr>
          <w:p w14:paraId="2146429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Terminal inventory, patching, network segmentation, monitoring, vendor support evidence.</w:t>
            </w:r>
          </w:p>
        </w:tc>
      </w:tr>
      <w:tr w:rsidR="00575A93" w:rsidRPr="001570F6" w14:paraId="7B18A0C1" w14:textId="77777777">
        <w:trPr>
          <w:jc w:val="center"/>
        </w:trPr>
        <w:tc>
          <w:tcPr>
            <w:tcW w:w="2448" w:type="dxa"/>
          </w:tcPr>
          <w:p w14:paraId="7AC522E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Security awareness and training</w:t>
            </w:r>
          </w:p>
        </w:tc>
        <w:tc>
          <w:tcPr>
            <w:tcW w:w="4032" w:type="dxa"/>
          </w:tcPr>
          <w:p w14:paraId="77D91A0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Human behaviour was part of the attack path, but training alone is insufficient.</w:t>
            </w:r>
          </w:p>
        </w:tc>
        <w:tc>
          <w:tcPr>
            <w:tcW w:w="3888" w:type="dxa"/>
          </w:tcPr>
          <w:p w14:paraId="5EC9B45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Training completion, role-based training, phishing reports, branch communications.</w:t>
            </w:r>
          </w:p>
        </w:tc>
      </w:tr>
      <w:tr w:rsidR="00575A93" w:rsidRPr="001570F6" w14:paraId="1813307C" w14:textId="77777777">
        <w:trPr>
          <w:jc w:val="center"/>
        </w:trPr>
        <w:tc>
          <w:tcPr>
            <w:tcW w:w="2448" w:type="dxa"/>
          </w:tcPr>
          <w:p w14:paraId="7ADC17E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Remediation governance</w:t>
            </w:r>
          </w:p>
        </w:tc>
        <w:tc>
          <w:tcPr>
            <w:tcW w:w="4032" w:type="dxa"/>
          </w:tcPr>
          <w:p w14:paraId="688EDD0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 xml:space="preserve">The Board must know whether management is </w:t>
            </w:r>
            <w:proofErr w:type="gramStart"/>
            <w:r w:rsidRPr="001570F6">
              <w:rPr>
                <w:rFonts w:cs="Arial"/>
                <w:sz w:val="24"/>
                <w:szCs w:val="24"/>
              </w:rPr>
              <w:t>actually fixing</w:t>
            </w:r>
            <w:proofErr w:type="gramEnd"/>
            <w:r w:rsidRPr="001570F6">
              <w:rPr>
                <w:rFonts w:cs="Arial"/>
                <w:sz w:val="24"/>
                <w:szCs w:val="24"/>
              </w:rPr>
              <w:t xml:space="preserve"> root causes.</w:t>
            </w:r>
          </w:p>
        </w:tc>
        <w:tc>
          <w:tcPr>
            <w:tcW w:w="3888" w:type="dxa"/>
          </w:tcPr>
          <w:p w14:paraId="4BC3229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Action plans, owners, due dates, validation evidence, overdue findings, risk acceptance.</w:t>
            </w:r>
          </w:p>
        </w:tc>
      </w:tr>
    </w:tbl>
    <w:p w14:paraId="3337C3EA" w14:textId="77777777" w:rsidR="00575A93" w:rsidRPr="001570F6" w:rsidRDefault="00575A93" w:rsidP="001570F6">
      <w:pPr>
        <w:pStyle w:val="Small"/>
        <w:adjustRightInd w:val="0"/>
        <w:snapToGrid w:val="0"/>
        <w:spacing w:before="240" w:after="240" w:line="240" w:lineRule="auto"/>
        <w:rPr>
          <w:rFonts w:cs="Arial"/>
          <w:sz w:val="24"/>
          <w:szCs w:val="24"/>
        </w:rPr>
      </w:pPr>
    </w:p>
    <w:p w14:paraId="7D63AAB1"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Prior audit findings provided to students</w:t>
      </w:r>
    </w:p>
    <w:p w14:paraId="73983B76"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instructor may provide the following prior findings as part of the audit planning exercise. These findings are intentionally realistic but incomplete. Students should evaluate severity, recurrence, management response, and audit follow-up.</w:t>
      </w:r>
    </w:p>
    <w:tbl>
      <w:tblPr>
        <w:tblStyle w:val="Grilledutableau"/>
        <w:tblW w:w="0" w:type="auto"/>
        <w:jc w:val="center"/>
        <w:tblLook w:val="04A0" w:firstRow="1" w:lastRow="0" w:firstColumn="1" w:lastColumn="0" w:noHBand="0" w:noVBand="1"/>
      </w:tblPr>
      <w:tblGrid>
        <w:gridCol w:w="1146"/>
        <w:gridCol w:w="3276"/>
        <w:gridCol w:w="2897"/>
        <w:gridCol w:w="2643"/>
      </w:tblGrid>
      <w:tr w:rsidR="00575A93" w:rsidRPr="001570F6" w14:paraId="13AF7E49" w14:textId="77777777">
        <w:trPr>
          <w:jc w:val="center"/>
        </w:trPr>
        <w:tc>
          <w:tcPr>
            <w:tcW w:w="1152" w:type="dxa"/>
            <w:shd w:val="clear" w:color="auto" w:fill="1F4E79"/>
          </w:tcPr>
          <w:p w14:paraId="322E251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Finding ID</w:t>
            </w:r>
          </w:p>
        </w:tc>
        <w:tc>
          <w:tcPr>
            <w:tcW w:w="3456" w:type="dxa"/>
            <w:shd w:val="clear" w:color="auto" w:fill="1F4E79"/>
          </w:tcPr>
          <w:p w14:paraId="2F529E2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Prior finding</w:t>
            </w:r>
          </w:p>
        </w:tc>
        <w:tc>
          <w:tcPr>
            <w:tcW w:w="3024" w:type="dxa"/>
            <w:shd w:val="clear" w:color="auto" w:fill="1F4E79"/>
          </w:tcPr>
          <w:p w14:paraId="0F89349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Management response before incident</w:t>
            </w:r>
          </w:p>
        </w:tc>
        <w:tc>
          <w:tcPr>
            <w:tcW w:w="2736" w:type="dxa"/>
            <w:shd w:val="clear" w:color="auto" w:fill="1F4E79"/>
          </w:tcPr>
          <w:p w14:paraId="1DB3BEE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Audit planning implication</w:t>
            </w:r>
          </w:p>
        </w:tc>
      </w:tr>
      <w:tr w:rsidR="00575A93" w:rsidRPr="001570F6" w14:paraId="2DD88DD3" w14:textId="77777777">
        <w:trPr>
          <w:jc w:val="center"/>
        </w:trPr>
        <w:tc>
          <w:tcPr>
            <w:tcW w:w="1152" w:type="dxa"/>
          </w:tcPr>
          <w:p w14:paraId="4E8C6C3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IA-21-01</w:t>
            </w:r>
          </w:p>
        </w:tc>
        <w:tc>
          <w:tcPr>
            <w:tcW w:w="3456" w:type="dxa"/>
          </w:tcPr>
          <w:p w14:paraId="7C21696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Asset inventory incomplete for branch servers, ATMs, POS terminals, and cloud workloads.</w:t>
            </w:r>
          </w:p>
        </w:tc>
        <w:tc>
          <w:tcPr>
            <w:tcW w:w="3024" w:type="dxa"/>
          </w:tcPr>
          <w:p w14:paraId="28D671C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Management stated that discovery tools would be implemented during the next budget cycle.</w:t>
            </w:r>
          </w:p>
        </w:tc>
        <w:tc>
          <w:tcPr>
            <w:tcW w:w="2736" w:type="dxa"/>
          </w:tcPr>
          <w:p w14:paraId="45D8EBB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should test whether critical assets are known, owned, classified, monitored, and patched.</w:t>
            </w:r>
          </w:p>
        </w:tc>
      </w:tr>
      <w:tr w:rsidR="00575A93" w:rsidRPr="001570F6" w14:paraId="6AA9349A" w14:textId="77777777">
        <w:trPr>
          <w:jc w:val="center"/>
        </w:trPr>
        <w:tc>
          <w:tcPr>
            <w:tcW w:w="1152" w:type="dxa"/>
          </w:tcPr>
          <w:p w14:paraId="67C59B2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IA-21-02</w:t>
            </w:r>
          </w:p>
        </w:tc>
        <w:tc>
          <w:tcPr>
            <w:tcW w:w="3456" w:type="dxa"/>
          </w:tcPr>
          <w:p w14:paraId="22DE66F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Phishing reporting rates were low and executive participation in awareness exercises was inconsistent.</w:t>
            </w:r>
          </w:p>
        </w:tc>
        <w:tc>
          <w:tcPr>
            <w:tcW w:w="3024" w:type="dxa"/>
          </w:tcPr>
          <w:p w14:paraId="4921AB6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Management proposed annual training but no role-based exercises.</w:t>
            </w:r>
          </w:p>
        </w:tc>
        <w:tc>
          <w:tcPr>
            <w:tcW w:w="2736" w:type="dxa"/>
          </w:tcPr>
          <w:p w14:paraId="2BB8C6A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should assess whether training is risk-based and whether reported emails are actioned by SOC.</w:t>
            </w:r>
          </w:p>
        </w:tc>
      </w:tr>
      <w:tr w:rsidR="00575A93" w:rsidRPr="001570F6" w14:paraId="385D336B" w14:textId="77777777">
        <w:trPr>
          <w:jc w:val="center"/>
        </w:trPr>
        <w:tc>
          <w:tcPr>
            <w:tcW w:w="1152" w:type="dxa"/>
          </w:tcPr>
          <w:p w14:paraId="7853EC8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IA-21-03</w:t>
            </w:r>
          </w:p>
        </w:tc>
        <w:tc>
          <w:tcPr>
            <w:tcW w:w="3456" w:type="dxa"/>
          </w:tcPr>
          <w:p w14:paraId="46A60F8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Critical vulnerability remediation exceeded internal target dates for legacy applications.</w:t>
            </w:r>
          </w:p>
        </w:tc>
        <w:tc>
          <w:tcPr>
            <w:tcW w:w="3024" w:type="dxa"/>
          </w:tcPr>
          <w:p w14:paraId="6BAE53B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Management accepted exceptions due to core banking system stability concerns.</w:t>
            </w:r>
          </w:p>
        </w:tc>
        <w:tc>
          <w:tcPr>
            <w:tcW w:w="2736" w:type="dxa"/>
          </w:tcPr>
          <w:p w14:paraId="19CF14C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should determine whether exceptions were approved at the right level and compensated by controls.</w:t>
            </w:r>
          </w:p>
        </w:tc>
      </w:tr>
      <w:tr w:rsidR="00575A93" w:rsidRPr="001570F6" w14:paraId="1B91EE78" w14:textId="77777777">
        <w:trPr>
          <w:jc w:val="center"/>
        </w:trPr>
        <w:tc>
          <w:tcPr>
            <w:tcW w:w="1152" w:type="dxa"/>
          </w:tcPr>
          <w:p w14:paraId="6A8A65E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IA-21-04</w:t>
            </w:r>
          </w:p>
        </w:tc>
        <w:tc>
          <w:tcPr>
            <w:tcW w:w="3456" w:type="dxa"/>
          </w:tcPr>
          <w:p w14:paraId="5A73A36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response plan existed but had not been tested in an enterprise-wide ransomware tabletop.</w:t>
            </w:r>
          </w:p>
        </w:tc>
        <w:tc>
          <w:tcPr>
            <w:tcW w:w="3024" w:type="dxa"/>
          </w:tcPr>
          <w:p w14:paraId="214FD25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Management scheduled a tabletop exercise but postponed it twice.</w:t>
            </w:r>
          </w:p>
        </w:tc>
        <w:tc>
          <w:tcPr>
            <w:tcW w:w="2736" w:type="dxa"/>
          </w:tcPr>
          <w:p w14:paraId="0E4581D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should assess preparedness, role clarity, decision rights, and lessons learned.</w:t>
            </w:r>
          </w:p>
        </w:tc>
      </w:tr>
      <w:tr w:rsidR="00575A93" w:rsidRPr="001570F6" w14:paraId="1703262C" w14:textId="77777777">
        <w:trPr>
          <w:jc w:val="center"/>
        </w:trPr>
        <w:tc>
          <w:tcPr>
            <w:tcW w:w="1152" w:type="dxa"/>
          </w:tcPr>
          <w:p w14:paraId="4876264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IA-21-05</w:t>
            </w:r>
          </w:p>
        </w:tc>
        <w:tc>
          <w:tcPr>
            <w:tcW w:w="3456" w:type="dxa"/>
          </w:tcPr>
          <w:p w14:paraId="77A6F323" w14:textId="68154B15" w:rsidR="00575A93" w:rsidRPr="001570F6" w:rsidRDefault="005760E8" w:rsidP="001570F6">
            <w:pPr>
              <w:pStyle w:val="TableText"/>
              <w:adjustRightInd w:val="0"/>
              <w:snapToGrid w:val="0"/>
              <w:spacing w:before="240" w:after="240" w:line="240" w:lineRule="auto"/>
              <w:rPr>
                <w:rFonts w:cs="Arial"/>
                <w:sz w:val="24"/>
                <w:szCs w:val="24"/>
              </w:rPr>
            </w:pPr>
            <w:r w:rsidRPr="001570F6">
              <w:rPr>
                <w:rFonts w:cs="Arial"/>
                <w:sz w:val="24"/>
                <w:szCs w:val="24"/>
              </w:rPr>
              <w:t xml:space="preserve">Backups restore testing was limited to small file-level restores and did not include </w:t>
            </w:r>
            <w:proofErr w:type="gramStart"/>
            <w:r w:rsidRPr="001570F6">
              <w:rPr>
                <w:rFonts w:cs="Arial"/>
                <w:sz w:val="24"/>
                <w:szCs w:val="24"/>
              </w:rPr>
              <w:t>full service</w:t>
            </w:r>
            <w:proofErr w:type="gramEnd"/>
            <w:r w:rsidRPr="001570F6">
              <w:rPr>
                <w:rFonts w:cs="Arial"/>
                <w:sz w:val="24"/>
                <w:szCs w:val="24"/>
              </w:rPr>
              <w:t xml:space="preserve"> recovery.</w:t>
            </w:r>
          </w:p>
        </w:tc>
        <w:tc>
          <w:tcPr>
            <w:tcW w:w="3024" w:type="dxa"/>
          </w:tcPr>
          <w:p w14:paraId="5ACA904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Management considered current backups adequate.</w:t>
            </w:r>
          </w:p>
        </w:tc>
        <w:tc>
          <w:tcPr>
            <w:tcW w:w="2736" w:type="dxa"/>
          </w:tcPr>
          <w:p w14:paraId="280D084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should test ransomware-resilient recovery, not only existence of backups.</w:t>
            </w:r>
          </w:p>
        </w:tc>
      </w:tr>
    </w:tbl>
    <w:p w14:paraId="6EDC170F" w14:textId="77777777" w:rsidR="00575A93" w:rsidRPr="001570F6" w:rsidRDefault="00575A93" w:rsidP="001570F6">
      <w:pPr>
        <w:pStyle w:val="Small"/>
        <w:adjustRightInd w:val="0"/>
        <w:snapToGrid w:val="0"/>
        <w:spacing w:before="240" w:after="240" w:line="240" w:lineRule="auto"/>
        <w:rPr>
          <w:rFonts w:cs="Arial"/>
          <w:sz w:val="24"/>
          <w:szCs w:val="24"/>
        </w:rPr>
      </w:pPr>
    </w:p>
    <w:p w14:paraId="0C6D99AE"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Required audit planning deliverables</w:t>
      </w:r>
    </w:p>
    <w:p w14:paraId="63AD6C05"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1. A concise audit planning memo to the Audit Committee explaining audit priorities for the next 12 months.</w:t>
      </w:r>
    </w:p>
    <w:p w14:paraId="0F15E46B"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2. A cybersecurity audit universe with inherent risk ratings and proposed audit frequency.</w:t>
      </w:r>
    </w:p>
    <w:p w14:paraId="55E8A63A"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3. One detailed audit program for a selected high-risk area, including objectives, scope, criteria, evidence, sampling, and expected control tests.</w:t>
      </w:r>
    </w:p>
    <w:p w14:paraId="593DD23D"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4. A preliminary root-cause analysis connecting the 2022 incident to governance, process, people, technology, and third-party control gaps.</w:t>
      </w:r>
    </w:p>
    <w:p w14:paraId="33B75FD4"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5. A remediation follow-up plan identifying which management actions require independent validation.</w:t>
      </w:r>
    </w:p>
    <w:p w14:paraId="1CE4108C" w14:textId="77777777" w:rsidR="00AB2579" w:rsidRPr="001570F6" w:rsidRDefault="00AB2579" w:rsidP="001570F6">
      <w:pPr>
        <w:adjustRightInd w:val="0"/>
        <w:snapToGrid w:val="0"/>
        <w:spacing w:before="240" w:after="240" w:line="240" w:lineRule="auto"/>
        <w:rPr>
          <w:rFonts w:eastAsiaTheme="majorEastAsia" w:cs="Arial"/>
          <w:b/>
          <w:bCs/>
          <w:color w:val="1F4E79"/>
          <w:sz w:val="24"/>
          <w:szCs w:val="24"/>
        </w:rPr>
      </w:pPr>
      <w:r w:rsidRPr="001570F6">
        <w:rPr>
          <w:rFonts w:cs="Arial"/>
          <w:sz w:val="24"/>
          <w:szCs w:val="24"/>
        </w:rPr>
        <w:br w:type="page"/>
      </w:r>
    </w:p>
    <w:p w14:paraId="745B9E1A" w14:textId="77777777" w:rsidR="00575A93" w:rsidRPr="005760E8" w:rsidRDefault="00000000" w:rsidP="005760E8">
      <w:pPr>
        <w:pStyle w:val="Titre1"/>
      </w:pPr>
      <w:r w:rsidRPr="005760E8">
        <w:lastRenderedPageBreak/>
        <w:t>8. Module C: Scenario-Based Risk Management Exercise</w:t>
      </w:r>
    </w:p>
    <w:p w14:paraId="79CD4414" w14:textId="5A0C0DD3"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In this module, students act as cybersecurity risk analysts working for the CISO. The objective is to produce a scenario-based cybersecurity risk assessment t</w:t>
      </w:r>
      <w:r w:rsidR="006A27A5">
        <w:rPr>
          <w:rFonts w:cs="Arial"/>
          <w:sz w:val="24"/>
          <w:szCs w:val="24"/>
        </w:rPr>
        <w:t>o</w:t>
      </w:r>
      <w:r w:rsidRPr="001570F6">
        <w:rPr>
          <w:rFonts w:cs="Arial"/>
          <w:sz w:val="24"/>
          <w:szCs w:val="24"/>
        </w:rPr>
        <w:t xml:space="preserve"> support a 202</w:t>
      </w:r>
      <w:r w:rsidR="006A27A5">
        <w:rPr>
          <w:rFonts w:cs="Arial"/>
          <w:sz w:val="24"/>
          <w:szCs w:val="24"/>
        </w:rPr>
        <w:t>7</w:t>
      </w:r>
      <w:r w:rsidRPr="001570F6">
        <w:rPr>
          <w:rFonts w:cs="Arial"/>
          <w:sz w:val="24"/>
          <w:szCs w:val="24"/>
        </w:rPr>
        <w:t>-20</w:t>
      </w:r>
      <w:r w:rsidR="006A27A5">
        <w:rPr>
          <w:rFonts w:cs="Arial"/>
          <w:sz w:val="24"/>
          <w:szCs w:val="24"/>
        </w:rPr>
        <w:t>30</w:t>
      </w:r>
      <w:r w:rsidRPr="001570F6">
        <w:rPr>
          <w:rFonts w:cs="Arial"/>
          <w:sz w:val="24"/>
          <w:szCs w:val="24"/>
        </w:rPr>
        <w:t xml:space="preserve"> action plan, </w:t>
      </w:r>
      <w:r w:rsidR="006A27A5">
        <w:rPr>
          <w:rFonts w:cs="Arial"/>
          <w:sz w:val="24"/>
          <w:szCs w:val="24"/>
        </w:rPr>
        <w:t>including</w:t>
      </w:r>
      <w:r w:rsidRPr="001570F6">
        <w:rPr>
          <w:rFonts w:cs="Arial"/>
          <w:sz w:val="24"/>
          <w:szCs w:val="24"/>
        </w:rPr>
        <w:t xml:space="preserve"> longer-term budget projections. Students should identify credible risk scenarios, assess inherent and residual risk, recommend treatment options, estimate cost and implementation complexity, and identify risks requiring executive or Board acceptance.</w:t>
      </w:r>
    </w:p>
    <w:p w14:paraId="52B99E0A"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Risk appetite statement</w:t>
      </w:r>
    </w:p>
    <w:p w14:paraId="35F0B954"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ACRB has moved toward a more risk-averse posture after the 2022 incident. The Board is willing to accept limited cyber risk when it supports innovation and customer service, but it will not accept unmanaged risk to customer data, critical banking services, regulatory standing, or community trust. For teaching purposes, ACRB’s normalized risk tolerance is 0.30 on a 0-to-1 scale, but any residual risk above 0.20 requires executive review and any residual risk above 0.30 requires explicit Board acceptance.</w:t>
      </w:r>
    </w:p>
    <w:tbl>
      <w:tblPr>
        <w:tblStyle w:val="Grilledutableau"/>
        <w:tblW w:w="0" w:type="auto"/>
        <w:jc w:val="center"/>
        <w:tblLook w:val="04A0" w:firstRow="1" w:lastRow="0" w:firstColumn="1" w:lastColumn="0" w:noHBand="0" w:noVBand="1"/>
      </w:tblPr>
      <w:tblGrid>
        <w:gridCol w:w="3081"/>
        <w:gridCol w:w="6881"/>
      </w:tblGrid>
      <w:tr w:rsidR="00575A93" w:rsidRPr="001570F6" w14:paraId="67C0D069" w14:textId="77777777">
        <w:trPr>
          <w:jc w:val="center"/>
        </w:trPr>
        <w:tc>
          <w:tcPr>
            <w:tcW w:w="3168" w:type="dxa"/>
            <w:shd w:val="clear" w:color="auto" w:fill="1F4E79"/>
          </w:tcPr>
          <w:p w14:paraId="6F02A13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Risk appetite area</w:t>
            </w:r>
          </w:p>
        </w:tc>
        <w:tc>
          <w:tcPr>
            <w:tcW w:w="7200" w:type="dxa"/>
            <w:shd w:val="clear" w:color="auto" w:fill="1F4E79"/>
          </w:tcPr>
          <w:p w14:paraId="52F04CD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Operational threshold for students to use</w:t>
            </w:r>
          </w:p>
        </w:tc>
      </w:tr>
      <w:tr w:rsidR="00575A93" w:rsidRPr="001570F6" w14:paraId="086BCEAE" w14:textId="77777777">
        <w:trPr>
          <w:jc w:val="center"/>
        </w:trPr>
        <w:tc>
          <w:tcPr>
            <w:tcW w:w="3168" w:type="dxa"/>
          </w:tcPr>
          <w:p w14:paraId="6B08331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Customer data protection</w:t>
            </w:r>
          </w:p>
        </w:tc>
        <w:tc>
          <w:tcPr>
            <w:tcW w:w="7200" w:type="dxa"/>
          </w:tcPr>
          <w:p w14:paraId="349D0F9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No uncontrolled exposure of sensitive customer data. High-risk data stores must have encryption, access control, logging, and monitoring.</w:t>
            </w:r>
          </w:p>
        </w:tc>
      </w:tr>
      <w:tr w:rsidR="00575A93" w:rsidRPr="001570F6" w14:paraId="3E483C22" w14:textId="77777777">
        <w:trPr>
          <w:jc w:val="center"/>
        </w:trPr>
        <w:tc>
          <w:tcPr>
            <w:tcW w:w="3168" w:type="dxa"/>
          </w:tcPr>
          <w:p w14:paraId="2AE48CE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Critical service availability</w:t>
            </w:r>
          </w:p>
        </w:tc>
        <w:tc>
          <w:tcPr>
            <w:tcW w:w="7200" w:type="dxa"/>
          </w:tcPr>
          <w:p w14:paraId="1CFD58E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Core banking, online banking, ATM services, and branch operations must have tested recovery plans aligned with defined RTO/RPO targets.</w:t>
            </w:r>
          </w:p>
        </w:tc>
      </w:tr>
      <w:tr w:rsidR="00575A93" w:rsidRPr="001570F6" w14:paraId="79691EAE" w14:textId="77777777">
        <w:trPr>
          <w:jc w:val="center"/>
        </w:trPr>
        <w:tc>
          <w:tcPr>
            <w:tcW w:w="3168" w:type="dxa"/>
          </w:tcPr>
          <w:p w14:paraId="7437B04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Critical vulnerabilities</w:t>
            </w:r>
          </w:p>
        </w:tc>
        <w:tc>
          <w:tcPr>
            <w:tcW w:w="7200" w:type="dxa"/>
          </w:tcPr>
          <w:p w14:paraId="1771878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Critical internet-facing vulnerabilities should be remediated or mitigated within a short, defined timeframe unless risk acceptance is approved by the CISO and CIO.</w:t>
            </w:r>
          </w:p>
        </w:tc>
      </w:tr>
      <w:tr w:rsidR="00575A93" w:rsidRPr="001570F6" w14:paraId="00A467C6" w14:textId="77777777">
        <w:trPr>
          <w:jc w:val="center"/>
        </w:trPr>
        <w:tc>
          <w:tcPr>
            <w:tcW w:w="3168" w:type="dxa"/>
          </w:tcPr>
          <w:p w14:paraId="50CAF4D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Privileged access</w:t>
            </w:r>
          </w:p>
        </w:tc>
        <w:tc>
          <w:tcPr>
            <w:tcW w:w="7200" w:type="dxa"/>
          </w:tcPr>
          <w:p w14:paraId="151FD11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Privileged accounts must use MFA, be reviewed regularly, be logged, and be limited by least privilege. Exceptions require documented approval.</w:t>
            </w:r>
          </w:p>
        </w:tc>
      </w:tr>
      <w:tr w:rsidR="00575A93" w:rsidRPr="001570F6" w14:paraId="681CCE4E" w14:textId="77777777">
        <w:trPr>
          <w:jc w:val="center"/>
        </w:trPr>
        <w:tc>
          <w:tcPr>
            <w:tcW w:w="3168" w:type="dxa"/>
          </w:tcPr>
          <w:p w14:paraId="3E2DCE4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reporting</w:t>
            </w:r>
          </w:p>
        </w:tc>
        <w:tc>
          <w:tcPr>
            <w:tcW w:w="7200" w:type="dxa"/>
          </w:tcPr>
          <w:p w14:paraId="7E5042B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Potential material technology or cyber incidents must be escalated quickly, documented, and assessed for regulatory, privacy, and customer notification.</w:t>
            </w:r>
          </w:p>
        </w:tc>
      </w:tr>
      <w:tr w:rsidR="00575A93" w:rsidRPr="001570F6" w14:paraId="36763D72" w14:textId="77777777">
        <w:trPr>
          <w:jc w:val="center"/>
        </w:trPr>
        <w:tc>
          <w:tcPr>
            <w:tcW w:w="3168" w:type="dxa"/>
          </w:tcPr>
          <w:p w14:paraId="3423866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Third-party risk</w:t>
            </w:r>
          </w:p>
        </w:tc>
        <w:tc>
          <w:tcPr>
            <w:tcW w:w="7200" w:type="dxa"/>
          </w:tcPr>
          <w:p w14:paraId="51E76E1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Critical suppliers must meet defined security expectations, support incident notification, and provide assurance evidence.</w:t>
            </w:r>
          </w:p>
        </w:tc>
      </w:tr>
    </w:tbl>
    <w:p w14:paraId="71200BE3" w14:textId="77777777" w:rsidR="00575A93" w:rsidRPr="001570F6" w:rsidRDefault="00575A93" w:rsidP="001570F6">
      <w:pPr>
        <w:pStyle w:val="Small"/>
        <w:adjustRightInd w:val="0"/>
        <w:snapToGrid w:val="0"/>
        <w:spacing w:before="240" w:after="240" w:line="240" w:lineRule="auto"/>
        <w:rPr>
          <w:rFonts w:cs="Arial"/>
          <w:sz w:val="24"/>
          <w:szCs w:val="24"/>
        </w:rPr>
      </w:pPr>
    </w:p>
    <w:p w14:paraId="7574FC9F"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Risk scoring methodology</w:t>
      </w:r>
    </w:p>
    <w:p w14:paraId="240C5507"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Students may use either qualitative ratings or the normalized quantitative method below. The method is intentionally simple enough for teaching while still forcing students to separate threat likelihood, exploitability, impact, control maturity, and residual risk.</w:t>
      </w:r>
    </w:p>
    <w:tbl>
      <w:tblPr>
        <w:tblStyle w:val="Grilledutableau"/>
        <w:tblW w:w="0" w:type="auto"/>
        <w:jc w:val="center"/>
        <w:tblLook w:val="04A0" w:firstRow="1" w:lastRow="0" w:firstColumn="1" w:lastColumn="0" w:noHBand="0" w:noVBand="1"/>
      </w:tblPr>
      <w:tblGrid>
        <w:gridCol w:w="2116"/>
        <w:gridCol w:w="4391"/>
        <w:gridCol w:w="3455"/>
      </w:tblGrid>
      <w:tr w:rsidR="00575A93" w:rsidRPr="001570F6" w14:paraId="66FC84AD" w14:textId="77777777">
        <w:trPr>
          <w:jc w:val="center"/>
        </w:trPr>
        <w:tc>
          <w:tcPr>
            <w:tcW w:w="2160" w:type="dxa"/>
            <w:shd w:val="clear" w:color="auto" w:fill="1F4E79"/>
          </w:tcPr>
          <w:p w14:paraId="0826AB5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Variable</w:t>
            </w:r>
          </w:p>
        </w:tc>
        <w:tc>
          <w:tcPr>
            <w:tcW w:w="4608" w:type="dxa"/>
            <w:shd w:val="clear" w:color="auto" w:fill="1F4E79"/>
          </w:tcPr>
          <w:p w14:paraId="4E88BCA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Meaning</w:t>
            </w:r>
          </w:p>
        </w:tc>
        <w:tc>
          <w:tcPr>
            <w:tcW w:w="3600" w:type="dxa"/>
            <w:shd w:val="clear" w:color="auto" w:fill="1F4E79"/>
          </w:tcPr>
          <w:p w14:paraId="6EB9BFB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Scale guidance</w:t>
            </w:r>
          </w:p>
        </w:tc>
      </w:tr>
      <w:tr w:rsidR="00575A93" w:rsidRPr="001570F6" w14:paraId="36BF30B5" w14:textId="77777777">
        <w:trPr>
          <w:jc w:val="center"/>
        </w:trPr>
        <w:tc>
          <w:tcPr>
            <w:tcW w:w="2160" w:type="dxa"/>
          </w:tcPr>
          <w:p w14:paraId="007ADFB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 - Threat presence</w:t>
            </w:r>
          </w:p>
        </w:tc>
        <w:tc>
          <w:tcPr>
            <w:tcW w:w="4608" w:type="dxa"/>
          </w:tcPr>
          <w:p w14:paraId="04E4C3B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Likelihood that the threat actor, threat event, or adverse condition is present in the environment.</w:t>
            </w:r>
          </w:p>
        </w:tc>
        <w:tc>
          <w:tcPr>
            <w:tcW w:w="3600" w:type="dxa"/>
          </w:tcPr>
          <w:p w14:paraId="5735670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0.0 very unlikely; 0.5 plausible; 1.0 highly likely or already observed.</w:t>
            </w:r>
          </w:p>
        </w:tc>
      </w:tr>
      <w:tr w:rsidR="00575A93" w:rsidRPr="001570F6" w14:paraId="5EF4C919" w14:textId="77777777">
        <w:trPr>
          <w:jc w:val="center"/>
        </w:trPr>
        <w:tc>
          <w:tcPr>
            <w:tcW w:w="2160" w:type="dxa"/>
          </w:tcPr>
          <w:p w14:paraId="5FBC5CD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 - Exploitability</w:t>
            </w:r>
          </w:p>
        </w:tc>
        <w:tc>
          <w:tcPr>
            <w:tcW w:w="4608" w:type="dxa"/>
          </w:tcPr>
          <w:p w14:paraId="584313E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Likelihood that the threat can exploit the weakness, given current exposure and controls.</w:t>
            </w:r>
          </w:p>
        </w:tc>
        <w:tc>
          <w:tcPr>
            <w:tcW w:w="3600" w:type="dxa"/>
          </w:tcPr>
          <w:p w14:paraId="205E5BC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0.0 very difficult; 0.5 feasible; 1.0 easy or already exploited.</w:t>
            </w:r>
          </w:p>
        </w:tc>
      </w:tr>
      <w:tr w:rsidR="00575A93" w:rsidRPr="001570F6" w14:paraId="2491E9F3" w14:textId="77777777">
        <w:trPr>
          <w:jc w:val="center"/>
        </w:trPr>
        <w:tc>
          <w:tcPr>
            <w:tcW w:w="2160" w:type="dxa"/>
          </w:tcPr>
          <w:p w14:paraId="6FD3A70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 - Business impact</w:t>
            </w:r>
          </w:p>
        </w:tc>
        <w:tc>
          <w:tcPr>
            <w:tcW w:w="4608" w:type="dxa"/>
          </w:tcPr>
          <w:p w14:paraId="25BCE8A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Expected business impact if the scenario occurs.</w:t>
            </w:r>
          </w:p>
        </w:tc>
        <w:tc>
          <w:tcPr>
            <w:tcW w:w="3600" w:type="dxa"/>
          </w:tcPr>
          <w:p w14:paraId="5B353DD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0.0 negligible; 0.5 material; 1.0 severe enterprise impact.</w:t>
            </w:r>
          </w:p>
        </w:tc>
      </w:tr>
      <w:tr w:rsidR="00575A93" w:rsidRPr="001570F6" w14:paraId="5B805E62" w14:textId="77777777">
        <w:trPr>
          <w:jc w:val="center"/>
        </w:trPr>
        <w:tc>
          <w:tcPr>
            <w:tcW w:w="2160" w:type="dxa"/>
          </w:tcPr>
          <w:p w14:paraId="0CC8D36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 - Control maturity</w:t>
            </w:r>
          </w:p>
        </w:tc>
        <w:tc>
          <w:tcPr>
            <w:tcW w:w="4608" w:type="dxa"/>
          </w:tcPr>
          <w:p w14:paraId="0F625B1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Effectiveness of existing preventive, detective, corrective, and governance controls.</w:t>
            </w:r>
          </w:p>
        </w:tc>
        <w:tc>
          <w:tcPr>
            <w:tcW w:w="3600" w:type="dxa"/>
          </w:tcPr>
          <w:p w14:paraId="4B4CC72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0.0 absent; 0.5 partially effective; 1.0 highly effective.</w:t>
            </w:r>
          </w:p>
        </w:tc>
      </w:tr>
      <w:tr w:rsidR="00575A93" w:rsidRPr="001570F6" w14:paraId="3B99AB2B" w14:textId="77777777">
        <w:trPr>
          <w:jc w:val="center"/>
        </w:trPr>
        <w:tc>
          <w:tcPr>
            <w:tcW w:w="2160" w:type="dxa"/>
          </w:tcPr>
          <w:p w14:paraId="66B1B92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Inherent risk</w:t>
            </w:r>
          </w:p>
        </w:tc>
        <w:tc>
          <w:tcPr>
            <w:tcW w:w="4608" w:type="dxa"/>
          </w:tcPr>
          <w:p w14:paraId="4B1A02E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Risk before considering current controls.</w:t>
            </w:r>
          </w:p>
        </w:tc>
        <w:tc>
          <w:tcPr>
            <w:tcW w:w="3600" w:type="dxa"/>
          </w:tcPr>
          <w:p w14:paraId="3FEE7F6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 x E x I.</w:t>
            </w:r>
          </w:p>
        </w:tc>
      </w:tr>
      <w:tr w:rsidR="00575A93" w:rsidRPr="001570F6" w14:paraId="0B1D40AF" w14:textId="77777777">
        <w:trPr>
          <w:jc w:val="center"/>
        </w:trPr>
        <w:tc>
          <w:tcPr>
            <w:tcW w:w="2160" w:type="dxa"/>
          </w:tcPr>
          <w:p w14:paraId="11485EE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Residual risk</w:t>
            </w:r>
          </w:p>
        </w:tc>
        <w:tc>
          <w:tcPr>
            <w:tcW w:w="4608" w:type="dxa"/>
          </w:tcPr>
          <w:p w14:paraId="206E567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Risk after considering current controls.</w:t>
            </w:r>
          </w:p>
        </w:tc>
        <w:tc>
          <w:tcPr>
            <w:tcW w:w="3600" w:type="dxa"/>
          </w:tcPr>
          <w:p w14:paraId="43F78E5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Inherent risk x (1 - control effectiveness adjustment). Students must explain their adjustment.</w:t>
            </w:r>
          </w:p>
        </w:tc>
      </w:tr>
    </w:tbl>
    <w:p w14:paraId="7C472434" w14:textId="77777777" w:rsidR="00575A93" w:rsidRPr="001570F6" w:rsidRDefault="00575A93" w:rsidP="001570F6">
      <w:pPr>
        <w:pStyle w:val="Small"/>
        <w:adjustRightInd w:val="0"/>
        <w:snapToGrid w:val="0"/>
        <w:spacing w:before="240" w:after="240" w:line="240" w:lineRule="auto"/>
        <w:rPr>
          <w:rFonts w:cs="Arial"/>
          <w:sz w:val="24"/>
          <w:szCs w:val="24"/>
        </w:rPr>
      </w:pPr>
    </w:p>
    <w:tbl>
      <w:tblPr>
        <w:tblStyle w:val="Grilledutableau"/>
        <w:tblW w:w="0" w:type="auto"/>
        <w:jc w:val="center"/>
        <w:tblLook w:val="04A0" w:firstRow="1" w:lastRow="0" w:firstColumn="1" w:lastColumn="0" w:noHBand="0" w:noVBand="1"/>
      </w:tblPr>
      <w:tblGrid>
        <w:gridCol w:w="1694"/>
        <w:gridCol w:w="2920"/>
        <w:gridCol w:w="5348"/>
      </w:tblGrid>
      <w:tr w:rsidR="00575A93" w:rsidRPr="001570F6" w14:paraId="0B8D0BC6" w14:textId="77777777">
        <w:trPr>
          <w:jc w:val="center"/>
        </w:trPr>
        <w:tc>
          <w:tcPr>
            <w:tcW w:w="1728" w:type="dxa"/>
            <w:shd w:val="clear" w:color="auto" w:fill="1F4E79"/>
          </w:tcPr>
          <w:p w14:paraId="5044ECA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Risk level</w:t>
            </w:r>
          </w:p>
        </w:tc>
        <w:tc>
          <w:tcPr>
            <w:tcW w:w="3024" w:type="dxa"/>
            <w:shd w:val="clear" w:color="auto" w:fill="1F4E79"/>
          </w:tcPr>
          <w:p w14:paraId="7F37B5F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Normalized score range</w:t>
            </w:r>
          </w:p>
        </w:tc>
        <w:tc>
          <w:tcPr>
            <w:tcW w:w="5616" w:type="dxa"/>
            <w:shd w:val="clear" w:color="auto" w:fill="1F4E79"/>
          </w:tcPr>
          <w:p w14:paraId="174D4CE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Expected management action</w:t>
            </w:r>
          </w:p>
        </w:tc>
      </w:tr>
      <w:tr w:rsidR="00575A93" w:rsidRPr="001570F6" w14:paraId="26842575" w14:textId="77777777">
        <w:trPr>
          <w:jc w:val="center"/>
        </w:trPr>
        <w:tc>
          <w:tcPr>
            <w:tcW w:w="1728" w:type="dxa"/>
          </w:tcPr>
          <w:p w14:paraId="3D095F1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Low</w:t>
            </w:r>
          </w:p>
        </w:tc>
        <w:tc>
          <w:tcPr>
            <w:tcW w:w="3024" w:type="dxa"/>
          </w:tcPr>
          <w:p w14:paraId="2B916C4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0.00 to 0.07</w:t>
            </w:r>
          </w:p>
        </w:tc>
        <w:tc>
          <w:tcPr>
            <w:tcW w:w="5616" w:type="dxa"/>
          </w:tcPr>
          <w:p w14:paraId="04F42D8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Monitor through normal operations.</w:t>
            </w:r>
          </w:p>
        </w:tc>
      </w:tr>
      <w:tr w:rsidR="00575A93" w:rsidRPr="001570F6" w14:paraId="3F64183F" w14:textId="77777777">
        <w:trPr>
          <w:jc w:val="center"/>
        </w:trPr>
        <w:tc>
          <w:tcPr>
            <w:tcW w:w="1728" w:type="dxa"/>
          </w:tcPr>
          <w:p w14:paraId="369DCBE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Moderate</w:t>
            </w:r>
          </w:p>
        </w:tc>
        <w:tc>
          <w:tcPr>
            <w:tcW w:w="3024" w:type="dxa"/>
          </w:tcPr>
          <w:p w14:paraId="5EA5157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&gt;0.07 to 0.15</w:t>
            </w:r>
          </w:p>
        </w:tc>
        <w:tc>
          <w:tcPr>
            <w:tcW w:w="5616" w:type="dxa"/>
          </w:tcPr>
          <w:p w14:paraId="7E3481C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Assign owner, confirm controls, and track as part of regular risk reporting.</w:t>
            </w:r>
          </w:p>
        </w:tc>
      </w:tr>
      <w:tr w:rsidR="00575A93" w:rsidRPr="001570F6" w14:paraId="49571C71" w14:textId="77777777">
        <w:trPr>
          <w:jc w:val="center"/>
        </w:trPr>
        <w:tc>
          <w:tcPr>
            <w:tcW w:w="1728" w:type="dxa"/>
          </w:tcPr>
          <w:p w14:paraId="7E02F81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High</w:t>
            </w:r>
          </w:p>
        </w:tc>
        <w:tc>
          <w:tcPr>
            <w:tcW w:w="3024" w:type="dxa"/>
          </w:tcPr>
          <w:p w14:paraId="52F43D9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&gt;0.15 to 0.25</w:t>
            </w:r>
          </w:p>
        </w:tc>
        <w:tc>
          <w:tcPr>
            <w:tcW w:w="5616" w:type="dxa"/>
          </w:tcPr>
          <w:p w14:paraId="7EEC466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Treat through a funded action plan or obtain executive risk acceptance.</w:t>
            </w:r>
          </w:p>
        </w:tc>
      </w:tr>
      <w:tr w:rsidR="00575A93" w:rsidRPr="001570F6" w14:paraId="2254E196" w14:textId="77777777">
        <w:trPr>
          <w:jc w:val="center"/>
        </w:trPr>
        <w:tc>
          <w:tcPr>
            <w:tcW w:w="1728" w:type="dxa"/>
          </w:tcPr>
          <w:p w14:paraId="2DEAE82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Critical</w:t>
            </w:r>
          </w:p>
        </w:tc>
        <w:tc>
          <w:tcPr>
            <w:tcW w:w="3024" w:type="dxa"/>
          </w:tcPr>
          <w:p w14:paraId="27D8F67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&gt;0.25</w:t>
            </w:r>
          </w:p>
        </w:tc>
        <w:tc>
          <w:tcPr>
            <w:tcW w:w="5616" w:type="dxa"/>
          </w:tcPr>
          <w:p w14:paraId="4974D67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Immediate escalation; treatment plan required; Board visibility if residual risk remains above tolerance.</w:t>
            </w:r>
          </w:p>
        </w:tc>
      </w:tr>
    </w:tbl>
    <w:p w14:paraId="2D5EF41C" w14:textId="77777777" w:rsidR="00575A93" w:rsidRPr="001570F6" w:rsidRDefault="00575A93" w:rsidP="001570F6">
      <w:pPr>
        <w:pStyle w:val="Small"/>
        <w:adjustRightInd w:val="0"/>
        <w:snapToGrid w:val="0"/>
        <w:spacing w:before="240" w:after="240" w:line="240" w:lineRule="auto"/>
        <w:rPr>
          <w:rFonts w:cs="Arial"/>
          <w:sz w:val="24"/>
          <w:szCs w:val="24"/>
        </w:rPr>
      </w:pPr>
    </w:p>
    <w:p w14:paraId="2EC7ADFD"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Risk register template</w:t>
      </w:r>
    </w:p>
    <w:tbl>
      <w:tblPr>
        <w:tblStyle w:val="Grilledutableau"/>
        <w:tblW w:w="0" w:type="auto"/>
        <w:jc w:val="center"/>
        <w:tblLook w:val="04A0" w:firstRow="1" w:lastRow="0" w:firstColumn="1" w:lastColumn="0" w:noHBand="0" w:noVBand="1"/>
      </w:tblPr>
      <w:tblGrid>
        <w:gridCol w:w="2813"/>
        <w:gridCol w:w="7149"/>
      </w:tblGrid>
      <w:tr w:rsidR="00575A93" w:rsidRPr="001570F6" w14:paraId="1F028E30" w14:textId="77777777">
        <w:trPr>
          <w:jc w:val="center"/>
        </w:trPr>
        <w:tc>
          <w:tcPr>
            <w:tcW w:w="2880" w:type="dxa"/>
            <w:shd w:val="clear" w:color="auto" w:fill="1F4E79"/>
          </w:tcPr>
          <w:p w14:paraId="3D6A984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Field</w:t>
            </w:r>
          </w:p>
        </w:tc>
        <w:tc>
          <w:tcPr>
            <w:tcW w:w="7488" w:type="dxa"/>
            <w:shd w:val="clear" w:color="auto" w:fill="1F4E79"/>
          </w:tcPr>
          <w:p w14:paraId="3D5FCB2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Expected content</w:t>
            </w:r>
          </w:p>
        </w:tc>
      </w:tr>
      <w:tr w:rsidR="00575A93" w:rsidRPr="001570F6" w14:paraId="56B4645E" w14:textId="77777777">
        <w:trPr>
          <w:jc w:val="center"/>
        </w:trPr>
        <w:tc>
          <w:tcPr>
            <w:tcW w:w="2880" w:type="dxa"/>
          </w:tcPr>
          <w:p w14:paraId="40157F2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Risk ID</w:t>
            </w:r>
          </w:p>
        </w:tc>
        <w:tc>
          <w:tcPr>
            <w:tcW w:w="7488" w:type="dxa"/>
          </w:tcPr>
          <w:p w14:paraId="13BD0D5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Unique identifier such as CYR-01.</w:t>
            </w:r>
          </w:p>
        </w:tc>
      </w:tr>
      <w:tr w:rsidR="00575A93" w:rsidRPr="001570F6" w14:paraId="0B537D4F" w14:textId="77777777">
        <w:trPr>
          <w:jc w:val="center"/>
        </w:trPr>
        <w:tc>
          <w:tcPr>
            <w:tcW w:w="2880" w:type="dxa"/>
          </w:tcPr>
          <w:p w14:paraId="617B4DB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Scenario statement</w:t>
            </w:r>
          </w:p>
        </w:tc>
        <w:tc>
          <w:tcPr>
            <w:tcW w:w="7488" w:type="dxa"/>
          </w:tcPr>
          <w:p w14:paraId="5261C1C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Threat actor/event exploits vulnerability/control weakness causing business impact.</w:t>
            </w:r>
          </w:p>
        </w:tc>
      </w:tr>
      <w:tr w:rsidR="00575A93" w:rsidRPr="001570F6" w14:paraId="594BAC10" w14:textId="77777777">
        <w:trPr>
          <w:jc w:val="center"/>
        </w:trPr>
        <w:tc>
          <w:tcPr>
            <w:tcW w:w="2880" w:type="dxa"/>
          </w:tcPr>
          <w:p w14:paraId="1CFAF1E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Assets and business processes affected</w:t>
            </w:r>
          </w:p>
        </w:tc>
        <w:tc>
          <w:tcPr>
            <w:tcW w:w="7488" w:type="dxa"/>
          </w:tcPr>
          <w:p w14:paraId="621EF93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Systems, data, branches, customers, vendors, or business functions.</w:t>
            </w:r>
          </w:p>
        </w:tc>
      </w:tr>
      <w:tr w:rsidR="00575A93" w:rsidRPr="001570F6" w14:paraId="630FB041" w14:textId="77777777">
        <w:trPr>
          <w:jc w:val="center"/>
        </w:trPr>
        <w:tc>
          <w:tcPr>
            <w:tcW w:w="2880" w:type="dxa"/>
          </w:tcPr>
          <w:p w14:paraId="4714D00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Existing controls</w:t>
            </w:r>
          </w:p>
        </w:tc>
        <w:tc>
          <w:tcPr>
            <w:tcW w:w="7488" w:type="dxa"/>
          </w:tcPr>
          <w:p w14:paraId="047DA42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Preventive, detective, corrective, and governance controls currently in place.</w:t>
            </w:r>
          </w:p>
        </w:tc>
      </w:tr>
      <w:tr w:rsidR="00575A93" w:rsidRPr="001570F6" w14:paraId="4485693D" w14:textId="77777777">
        <w:trPr>
          <w:jc w:val="center"/>
        </w:trPr>
        <w:tc>
          <w:tcPr>
            <w:tcW w:w="2880" w:type="dxa"/>
          </w:tcPr>
          <w:p w14:paraId="6BE9950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Inherent risk</w:t>
            </w:r>
          </w:p>
        </w:tc>
        <w:tc>
          <w:tcPr>
            <w:tcW w:w="7488" w:type="dxa"/>
          </w:tcPr>
          <w:p w14:paraId="7B06876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Likelihood and impact before controls.</w:t>
            </w:r>
          </w:p>
        </w:tc>
      </w:tr>
      <w:tr w:rsidR="00575A93" w:rsidRPr="001570F6" w14:paraId="6ABF938D" w14:textId="77777777">
        <w:trPr>
          <w:jc w:val="center"/>
        </w:trPr>
        <w:tc>
          <w:tcPr>
            <w:tcW w:w="2880" w:type="dxa"/>
          </w:tcPr>
          <w:p w14:paraId="4D23158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Control assessment</w:t>
            </w:r>
          </w:p>
        </w:tc>
        <w:tc>
          <w:tcPr>
            <w:tcW w:w="7488" w:type="dxa"/>
          </w:tcPr>
          <w:p w14:paraId="55FD1FF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Control maturity, gaps, evidence quality, and assurance level.</w:t>
            </w:r>
          </w:p>
        </w:tc>
      </w:tr>
      <w:tr w:rsidR="00575A93" w:rsidRPr="001570F6" w14:paraId="76B050D8" w14:textId="77777777">
        <w:trPr>
          <w:jc w:val="center"/>
        </w:trPr>
        <w:tc>
          <w:tcPr>
            <w:tcW w:w="2880" w:type="dxa"/>
          </w:tcPr>
          <w:p w14:paraId="528C861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Residual risk</w:t>
            </w:r>
          </w:p>
        </w:tc>
        <w:tc>
          <w:tcPr>
            <w:tcW w:w="7488" w:type="dxa"/>
          </w:tcPr>
          <w:p w14:paraId="7401734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Risk remaining after current controls.</w:t>
            </w:r>
          </w:p>
        </w:tc>
      </w:tr>
      <w:tr w:rsidR="00575A93" w:rsidRPr="001570F6" w14:paraId="205D13B0" w14:textId="77777777">
        <w:trPr>
          <w:jc w:val="center"/>
        </w:trPr>
        <w:tc>
          <w:tcPr>
            <w:tcW w:w="2880" w:type="dxa"/>
          </w:tcPr>
          <w:p w14:paraId="651A577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Risk treatment</w:t>
            </w:r>
          </w:p>
        </w:tc>
        <w:tc>
          <w:tcPr>
            <w:tcW w:w="7488" w:type="dxa"/>
          </w:tcPr>
          <w:p w14:paraId="3E99765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Avoid, mitigate, transfer, or accept; include rationale.</w:t>
            </w:r>
          </w:p>
        </w:tc>
      </w:tr>
      <w:tr w:rsidR="00575A93" w:rsidRPr="001570F6" w14:paraId="1FCE8C9D" w14:textId="77777777">
        <w:trPr>
          <w:jc w:val="center"/>
        </w:trPr>
        <w:tc>
          <w:tcPr>
            <w:tcW w:w="2880" w:type="dxa"/>
          </w:tcPr>
          <w:p w14:paraId="2DC90FF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Recommended actions</w:t>
            </w:r>
          </w:p>
        </w:tc>
        <w:tc>
          <w:tcPr>
            <w:tcW w:w="7488" w:type="dxa"/>
          </w:tcPr>
          <w:p w14:paraId="157760F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Specific, sequenced actions with owners, cost, timeline, and dependencies.</w:t>
            </w:r>
          </w:p>
        </w:tc>
      </w:tr>
      <w:tr w:rsidR="00575A93" w:rsidRPr="001570F6" w14:paraId="6968E631" w14:textId="77777777">
        <w:trPr>
          <w:jc w:val="center"/>
        </w:trPr>
        <w:tc>
          <w:tcPr>
            <w:tcW w:w="2880" w:type="dxa"/>
          </w:tcPr>
          <w:p w14:paraId="51F52A1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Risk owner</w:t>
            </w:r>
          </w:p>
        </w:tc>
        <w:tc>
          <w:tcPr>
            <w:tcW w:w="7488" w:type="dxa"/>
          </w:tcPr>
          <w:p w14:paraId="455BAF8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Business or technology executive accountable for the risk.</w:t>
            </w:r>
          </w:p>
        </w:tc>
      </w:tr>
      <w:tr w:rsidR="00575A93" w:rsidRPr="001570F6" w14:paraId="1A1636DE" w14:textId="77777777">
        <w:trPr>
          <w:jc w:val="center"/>
        </w:trPr>
        <w:tc>
          <w:tcPr>
            <w:tcW w:w="2880" w:type="dxa"/>
          </w:tcPr>
          <w:p w14:paraId="7853C91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Acceptance authority</w:t>
            </w:r>
          </w:p>
        </w:tc>
        <w:tc>
          <w:tcPr>
            <w:tcW w:w="7488" w:type="dxa"/>
          </w:tcPr>
          <w:p w14:paraId="4155F7F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CISO, CIO, CEO, executive committee, or Board depending on residual risk.</w:t>
            </w:r>
          </w:p>
        </w:tc>
      </w:tr>
    </w:tbl>
    <w:p w14:paraId="6143935A" w14:textId="77777777" w:rsidR="00575A93" w:rsidRPr="001570F6" w:rsidRDefault="00575A93" w:rsidP="001570F6">
      <w:pPr>
        <w:pStyle w:val="Small"/>
        <w:adjustRightInd w:val="0"/>
        <w:snapToGrid w:val="0"/>
        <w:spacing w:before="240" w:after="240" w:line="240" w:lineRule="auto"/>
        <w:rPr>
          <w:rFonts w:cs="Arial"/>
          <w:sz w:val="24"/>
          <w:szCs w:val="24"/>
        </w:rPr>
      </w:pPr>
    </w:p>
    <w:p w14:paraId="7878C014" w14:textId="77777777" w:rsidR="00AB2579" w:rsidRPr="001570F6" w:rsidRDefault="00AB2579" w:rsidP="001570F6">
      <w:pPr>
        <w:adjustRightInd w:val="0"/>
        <w:snapToGrid w:val="0"/>
        <w:spacing w:before="240" w:after="240" w:line="240" w:lineRule="auto"/>
        <w:rPr>
          <w:rFonts w:eastAsiaTheme="majorEastAsia" w:cs="Arial"/>
          <w:b/>
          <w:bCs/>
          <w:color w:val="1F4E79"/>
          <w:sz w:val="24"/>
          <w:szCs w:val="24"/>
        </w:rPr>
      </w:pPr>
      <w:r w:rsidRPr="001570F6">
        <w:rPr>
          <w:rFonts w:cs="Arial"/>
          <w:sz w:val="24"/>
          <w:szCs w:val="24"/>
        </w:rPr>
        <w:br w:type="page"/>
      </w:r>
    </w:p>
    <w:p w14:paraId="4B6DBE0B" w14:textId="77777777" w:rsidR="00575A93" w:rsidRPr="005760E8" w:rsidRDefault="00000000" w:rsidP="005760E8">
      <w:pPr>
        <w:pStyle w:val="Titre1"/>
      </w:pPr>
      <w:r w:rsidRPr="005760E8">
        <w:lastRenderedPageBreak/>
        <w:t>9. Scenario Library</w:t>
      </w:r>
    </w:p>
    <w:p w14:paraId="4C2092B9"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The following scenarios are designed </w:t>
      </w:r>
      <w:r w:rsidR="00613EEC" w:rsidRPr="001570F6">
        <w:rPr>
          <w:rFonts w:cs="Arial"/>
          <w:sz w:val="24"/>
          <w:szCs w:val="24"/>
        </w:rPr>
        <w:t>for</w:t>
      </w:r>
      <w:r w:rsidRPr="001570F6">
        <w:rPr>
          <w:rFonts w:cs="Arial"/>
          <w:sz w:val="24"/>
          <w:szCs w:val="24"/>
        </w:rPr>
        <w:t xml:space="preserve"> </w:t>
      </w:r>
      <w:r w:rsidR="00613EEC" w:rsidRPr="001570F6">
        <w:rPr>
          <w:rFonts w:cs="Arial"/>
          <w:sz w:val="24"/>
          <w:szCs w:val="24"/>
        </w:rPr>
        <w:t>students</w:t>
      </w:r>
      <w:r w:rsidRPr="001570F6">
        <w:rPr>
          <w:rFonts w:cs="Arial"/>
          <w:sz w:val="24"/>
          <w:szCs w:val="24"/>
        </w:rPr>
        <w:t xml:space="preserve"> </w:t>
      </w:r>
      <w:r w:rsidR="00613EEC" w:rsidRPr="001570F6">
        <w:rPr>
          <w:rFonts w:cs="Arial"/>
          <w:sz w:val="24"/>
          <w:szCs w:val="24"/>
        </w:rPr>
        <w:t>to</w:t>
      </w:r>
      <w:r w:rsidRPr="001570F6">
        <w:rPr>
          <w:rFonts w:cs="Arial"/>
          <w:sz w:val="24"/>
          <w:szCs w:val="24"/>
        </w:rPr>
        <w:t xml:space="preserve"> </w:t>
      </w:r>
      <w:r w:rsidR="00613EEC" w:rsidRPr="001570F6">
        <w:rPr>
          <w:rFonts w:cs="Arial"/>
          <w:sz w:val="24"/>
          <w:szCs w:val="24"/>
        </w:rPr>
        <w:t>analyze</w:t>
      </w:r>
      <w:r w:rsidRPr="001570F6">
        <w:rPr>
          <w:rFonts w:cs="Arial"/>
          <w:sz w:val="24"/>
          <w:szCs w:val="24"/>
        </w:rPr>
        <w:t xml:space="preserve">. </w:t>
      </w:r>
      <w:r w:rsidR="00613EEC" w:rsidRPr="001570F6">
        <w:rPr>
          <w:rFonts w:cs="Arial"/>
          <w:sz w:val="24"/>
          <w:szCs w:val="24"/>
        </w:rPr>
        <w:t>T</w:t>
      </w:r>
      <w:r w:rsidRPr="001570F6">
        <w:rPr>
          <w:rFonts w:cs="Arial"/>
          <w:sz w:val="24"/>
          <w:szCs w:val="24"/>
        </w:rPr>
        <w:t>his library does not provide all risk scores, CVSS values, mitigation costs, or post-mitigation reductions. Students must develop their own defensible analysis. The instructor may provide selected scoring assumptions separately if desired.</w:t>
      </w:r>
    </w:p>
    <w:tbl>
      <w:tblPr>
        <w:tblStyle w:val="Grilledutableau"/>
        <w:tblW w:w="0" w:type="auto"/>
        <w:jc w:val="center"/>
        <w:tblLook w:val="04A0" w:firstRow="1" w:lastRow="0" w:firstColumn="1" w:lastColumn="0" w:noHBand="0" w:noVBand="1"/>
      </w:tblPr>
      <w:tblGrid>
        <w:gridCol w:w="854"/>
        <w:gridCol w:w="2485"/>
        <w:gridCol w:w="3890"/>
        <w:gridCol w:w="2733"/>
      </w:tblGrid>
      <w:tr w:rsidR="00575A93" w:rsidRPr="001570F6" w14:paraId="2BE9F808" w14:textId="77777777">
        <w:trPr>
          <w:jc w:val="center"/>
        </w:trPr>
        <w:tc>
          <w:tcPr>
            <w:tcW w:w="864" w:type="dxa"/>
            <w:shd w:val="clear" w:color="auto" w:fill="1F4E79"/>
          </w:tcPr>
          <w:p w14:paraId="18A99E2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ID</w:t>
            </w:r>
          </w:p>
        </w:tc>
        <w:tc>
          <w:tcPr>
            <w:tcW w:w="2592" w:type="dxa"/>
            <w:shd w:val="clear" w:color="auto" w:fill="1F4E79"/>
          </w:tcPr>
          <w:p w14:paraId="3E25C51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Scenario</w:t>
            </w:r>
          </w:p>
        </w:tc>
        <w:tc>
          <w:tcPr>
            <w:tcW w:w="4320" w:type="dxa"/>
            <w:shd w:val="clear" w:color="auto" w:fill="1F4E79"/>
          </w:tcPr>
          <w:p w14:paraId="4A06EBA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Short description</w:t>
            </w:r>
          </w:p>
        </w:tc>
        <w:tc>
          <w:tcPr>
            <w:tcW w:w="2880" w:type="dxa"/>
            <w:shd w:val="clear" w:color="auto" w:fill="1F4E79"/>
          </w:tcPr>
          <w:p w14:paraId="068B5FE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Controls students should consider</w:t>
            </w:r>
          </w:p>
        </w:tc>
      </w:tr>
      <w:tr w:rsidR="00575A93" w:rsidRPr="001570F6" w14:paraId="3C941EAB" w14:textId="77777777">
        <w:trPr>
          <w:jc w:val="center"/>
        </w:trPr>
        <w:tc>
          <w:tcPr>
            <w:tcW w:w="864" w:type="dxa"/>
          </w:tcPr>
          <w:p w14:paraId="49DD14B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CYR-01</w:t>
            </w:r>
          </w:p>
        </w:tc>
        <w:tc>
          <w:tcPr>
            <w:tcW w:w="2592" w:type="dxa"/>
          </w:tcPr>
          <w:p w14:paraId="417060B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Spear-phishing leads to ransomware and data exfiltration</w:t>
            </w:r>
          </w:p>
        </w:tc>
        <w:tc>
          <w:tcPr>
            <w:tcW w:w="4320" w:type="dxa"/>
          </w:tcPr>
          <w:p w14:paraId="0F3BE53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branch manager opens a malicious attachment purporting to be an updated compliance template. The attacker gains a foothold, harvests credentials, stages customer data, and deploys ransomware against shared drives and core banking support systems.</w:t>
            </w:r>
          </w:p>
        </w:tc>
        <w:tc>
          <w:tcPr>
            <w:tcW w:w="2880" w:type="dxa"/>
          </w:tcPr>
          <w:p w14:paraId="07D61FF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Email security, awareness, EDR, SOC triage, identity controls, segmentation, backup isolation, incident response playbooks.</w:t>
            </w:r>
          </w:p>
        </w:tc>
      </w:tr>
      <w:tr w:rsidR="00575A93" w:rsidRPr="001570F6" w14:paraId="3DA2C033" w14:textId="77777777">
        <w:trPr>
          <w:jc w:val="center"/>
        </w:trPr>
        <w:tc>
          <w:tcPr>
            <w:tcW w:w="864" w:type="dxa"/>
          </w:tcPr>
          <w:p w14:paraId="19694FD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CYR-02</w:t>
            </w:r>
          </w:p>
        </w:tc>
        <w:tc>
          <w:tcPr>
            <w:tcW w:w="2592" w:type="dxa"/>
          </w:tcPr>
          <w:p w14:paraId="78292DD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Compromised privileged account enables lateral movement</w:t>
            </w:r>
          </w:p>
        </w:tc>
        <w:tc>
          <w:tcPr>
            <w:tcW w:w="4320" w:type="dxa"/>
          </w:tcPr>
          <w:p w14:paraId="5ED0948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privileged administrator account is used from an unusual location. The attacker disables security tools on several servers and creates persistence.</w:t>
            </w:r>
          </w:p>
        </w:tc>
        <w:tc>
          <w:tcPr>
            <w:tcW w:w="2880" w:type="dxa"/>
          </w:tcPr>
          <w:p w14:paraId="02DEEFD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Privileged access management, MFA, conditional access, session monitoring, break-glass account governance, log review.</w:t>
            </w:r>
          </w:p>
        </w:tc>
      </w:tr>
      <w:tr w:rsidR="00575A93" w:rsidRPr="001570F6" w14:paraId="5C89B3D4" w14:textId="77777777">
        <w:trPr>
          <w:jc w:val="center"/>
        </w:trPr>
        <w:tc>
          <w:tcPr>
            <w:tcW w:w="864" w:type="dxa"/>
          </w:tcPr>
          <w:p w14:paraId="27B442D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CYR-03</w:t>
            </w:r>
          </w:p>
        </w:tc>
        <w:tc>
          <w:tcPr>
            <w:tcW w:w="2592" w:type="dxa"/>
          </w:tcPr>
          <w:p w14:paraId="4975FD1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Unpatched legacy core banking component is exploited</w:t>
            </w:r>
          </w:p>
        </w:tc>
        <w:tc>
          <w:tcPr>
            <w:tcW w:w="4320" w:type="dxa"/>
          </w:tcPr>
          <w:p w14:paraId="4E7A346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known vulnerability in a legacy core banking middleware component remains unpatched due to fear of business disruption. Attackers exploit it after public proof-of-concept code is released.</w:t>
            </w:r>
          </w:p>
        </w:tc>
        <w:tc>
          <w:tcPr>
            <w:tcW w:w="2880" w:type="dxa"/>
          </w:tcPr>
          <w:p w14:paraId="4139AC0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Asset inventory, patch SLAs, compensating controls, change management, vulnerability scanning, exception governance.</w:t>
            </w:r>
          </w:p>
        </w:tc>
      </w:tr>
      <w:tr w:rsidR="00575A93" w:rsidRPr="001570F6" w14:paraId="17A0F8E8" w14:textId="77777777">
        <w:trPr>
          <w:jc w:val="center"/>
        </w:trPr>
        <w:tc>
          <w:tcPr>
            <w:tcW w:w="864" w:type="dxa"/>
          </w:tcPr>
          <w:p w14:paraId="29C4AEB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CYR-04</w:t>
            </w:r>
          </w:p>
        </w:tc>
        <w:tc>
          <w:tcPr>
            <w:tcW w:w="2592" w:type="dxa"/>
          </w:tcPr>
          <w:p w14:paraId="796EC4F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Cloud storage misconfiguration exposes customer analytics data</w:t>
            </w:r>
          </w:p>
        </w:tc>
        <w:tc>
          <w:tcPr>
            <w:tcW w:w="4320" w:type="dxa"/>
          </w:tcPr>
          <w:p w14:paraId="298743E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cloud storage container used by the marketing analytics team is accidentally exposed. The data includes customer segmentation, contact information, and transaction-derived attributes.</w:t>
            </w:r>
          </w:p>
        </w:tc>
        <w:tc>
          <w:tcPr>
            <w:tcW w:w="2880" w:type="dxa"/>
          </w:tcPr>
          <w:p w14:paraId="454588E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Cloud security posture management, data classification, encryption, IAM, logging, DLP, privacy review.</w:t>
            </w:r>
          </w:p>
        </w:tc>
      </w:tr>
      <w:tr w:rsidR="00575A93" w:rsidRPr="001570F6" w14:paraId="1FAE38BC" w14:textId="77777777">
        <w:trPr>
          <w:jc w:val="center"/>
        </w:trPr>
        <w:tc>
          <w:tcPr>
            <w:tcW w:w="864" w:type="dxa"/>
          </w:tcPr>
          <w:p w14:paraId="1579959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CYR-05</w:t>
            </w:r>
          </w:p>
        </w:tc>
        <w:tc>
          <w:tcPr>
            <w:tcW w:w="2592" w:type="dxa"/>
          </w:tcPr>
          <w:p w14:paraId="746D0D0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Third-party payment processor compromise affects ACRB customers</w:t>
            </w:r>
          </w:p>
        </w:tc>
        <w:tc>
          <w:tcPr>
            <w:tcW w:w="4320" w:type="dxa"/>
          </w:tcPr>
          <w:p w14:paraId="169AE9A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payment processing vendor used by ACRB suffers a breach. ACRB learns of the incident through customer complaints before receiving a vendor notification.</w:t>
            </w:r>
          </w:p>
        </w:tc>
        <w:tc>
          <w:tcPr>
            <w:tcW w:w="2880" w:type="dxa"/>
          </w:tcPr>
          <w:p w14:paraId="50030A4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Vendor due diligence, contractual notification clauses, monitoring, vendor incident playbooks, compensating fraud controls.</w:t>
            </w:r>
          </w:p>
        </w:tc>
      </w:tr>
      <w:tr w:rsidR="00575A93" w:rsidRPr="001570F6" w14:paraId="70B7C3A3" w14:textId="77777777">
        <w:trPr>
          <w:jc w:val="center"/>
        </w:trPr>
        <w:tc>
          <w:tcPr>
            <w:tcW w:w="864" w:type="dxa"/>
          </w:tcPr>
          <w:p w14:paraId="79C3503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CYR-06</w:t>
            </w:r>
          </w:p>
        </w:tc>
        <w:tc>
          <w:tcPr>
            <w:tcW w:w="2592" w:type="dxa"/>
          </w:tcPr>
          <w:p w14:paraId="54E88E7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Mobile banking API weakness allows account enumeration</w:t>
            </w:r>
          </w:p>
        </w:tc>
        <w:tc>
          <w:tcPr>
            <w:tcW w:w="4320" w:type="dxa"/>
          </w:tcPr>
          <w:p w14:paraId="78AD5DB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An API used by the mobile application responds differently to valid and invalid customer identifiers. Attackers automate requests and build a list of valid users for fraud campaigns.</w:t>
            </w:r>
          </w:p>
        </w:tc>
        <w:tc>
          <w:tcPr>
            <w:tcW w:w="2880" w:type="dxa"/>
          </w:tcPr>
          <w:p w14:paraId="2DF0249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Secure SDLC, API testing, rate limiting, authentication controls, fraud analytics, bug bounty handling.</w:t>
            </w:r>
          </w:p>
        </w:tc>
      </w:tr>
      <w:tr w:rsidR="00575A93" w:rsidRPr="001570F6" w14:paraId="05768358" w14:textId="77777777">
        <w:trPr>
          <w:jc w:val="center"/>
        </w:trPr>
        <w:tc>
          <w:tcPr>
            <w:tcW w:w="864" w:type="dxa"/>
          </w:tcPr>
          <w:p w14:paraId="54D932C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CYR-07</w:t>
            </w:r>
          </w:p>
        </w:tc>
        <w:tc>
          <w:tcPr>
            <w:tcW w:w="2592" w:type="dxa"/>
          </w:tcPr>
          <w:p w14:paraId="2B7F0CF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Insider extracts customer data before leaving the bank</w:t>
            </w:r>
          </w:p>
        </w:tc>
        <w:tc>
          <w:tcPr>
            <w:tcW w:w="4320" w:type="dxa"/>
          </w:tcPr>
          <w:p w14:paraId="44200F9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disgruntled employee with broad access exports customer records before resigning. The activity is discovered only after a customer complaint.</w:t>
            </w:r>
          </w:p>
        </w:tc>
        <w:tc>
          <w:tcPr>
            <w:tcW w:w="2880" w:type="dxa"/>
          </w:tcPr>
          <w:p w14:paraId="1D028A0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Least privilege, user behaviour analytics, DLP, access reviews, HR offboarding, logging and monitoring.</w:t>
            </w:r>
          </w:p>
        </w:tc>
      </w:tr>
      <w:tr w:rsidR="00575A93" w:rsidRPr="001570F6" w14:paraId="45E89133" w14:textId="77777777">
        <w:trPr>
          <w:jc w:val="center"/>
        </w:trPr>
        <w:tc>
          <w:tcPr>
            <w:tcW w:w="864" w:type="dxa"/>
          </w:tcPr>
          <w:p w14:paraId="2E99750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CYR-08</w:t>
            </w:r>
          </w:p>
        </w:tc>
        <w:tc>
          <w:tcPr>
            <w:tcW w:w="2592" w:type="dxa"/>
          </w:tcPr>
          <w:p w14:paraId="502C426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SOC alert fatigue causes missed early warning signs</w:t>
            </w:r>
          </w:p>
        </w:tc>
        <w:tc>
          <w:tcPr>
            <w:tcW w:w="4320" w:type="dxa"/>
          </w:tcPr>
          <w:p w14:paraId="4CFC124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The SOC receives thousands of low-quality alerts daily. Analysts close a series of alerts that later prove to be part of the ransomware kill chain.</w:t>
            </w:r>
          </w:p>
        </w:tc>
        <w:tc>
          <w:tcPr>
            <w:tcW w:w="2880" w:type="dxa"/>
          </w:tcPr>
          <w:p w14:paraId="7D55213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SIEM tuning, use case governance, analyst workload, escalation criteria, metrics, threat hunting, quality review.</w:t>
            </w:r>
          </w:p>
        </w:tc>
      </w:tr>
      <w:tr w:rsidR="00575A93" w:rsidRPr="001570F6" w14:paraId="7AF8237A" w14:textId="77777777">
        <w:trPr>
          <w:jc w:val="center"/>
        </w:trPr>
        <w:tc>
          <w:tcPr>
            <w:tcW w:w="864" w:type="dxa"/>
          </w:tcPr>
          <w:p w14:paraId="0617375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CYR-09</w:t>
            </w:r>
          </w:p>
        </w:tc>
        <w:tc>
          <w:tcPr>
            <w:tcW w:w="2592" w:type="dxa"/>
          </w:tcPr>
          <w:p w14:paraId="43B3722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Backup compromise prevents timely ransomware recovery</w:t>
            </w:r>
          </w:p>
        </w:tc>
        <w:tc>
          <w:tcPr>
            <w:tcW w:w="4320" w:type="dxa"/>
          </w:tcPr>
          <w:p w14:paraId="562E2E2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Backups exist, but several backup repositories are reachable from the same administrative domain compromised by attackers. Restoration takes far longer than expected.</w:t>
            </w:r>
          </w:p>
        </w:tc>
        <w:tc>
          <w:tcPr>
            <w:tcW w:w="2880" w:type="dxa"/>
          </w:tcPr>
          <w:p w14:paraId="44AEA4E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Immutable backups, offline copies, restore testing, privileged separation, ransomware recovery planning, RTO/RPO validation.</w:t>
            </w:r>
          </w:p>
        </w:tc>
      </w:tr>
      <w:tr w:rsidR="00575A93" w:rsidRPr="001570F6" w14:paraId="24181DA4" w14:textId="77777777">
        <w:trPr>
          <w:jc w:val="center"/>
        </w:trPr>
        <w:tc>
          <w:tcPr>
            <w:tcW w:w="864" w:type="dxa"/>
          </w:tcPr>
          <w:p w14:paraId="1C75F41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CYR-10</w:t>
            </w:r>
          </w:p>
        </w:tc>
        <w:tc>
          <w:tcPr>
            <w:tcW w:w="2592" w:type="dxa"/>
          </w:tcPr>
          <w:p w14:paraId="7420BD2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ATM or POS malware compromises transaction integrity</w:t>
            </w:r>
          </w:p>
        </w:tc>
        <w:tc>
          <w:tcPr>
            <w:tcW w:w="4320" w:type="dxa"/>
          </w:tcPr>
          <w:p w14:paraId="2704D1D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Malware affects a subset of ATMs or merchant POS terminals, creating transaction discrepancies and customer complaints.</w:t>
            </w:r>
          </w:p>
        </w:tc>
        <w:tc>
          <w:tcPr>
            <w:tcW w:w="2880" w:type="dxa"/>
          </w:tcPr>
          <w:p w14:paraId="7EF1FA3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Terminal inventory, vendor patching, network segmentation, transaction monitoring, fraud reconciliation, physical controls.</w:t>
            </w:r>
          </w:p>
        </w:tc>
      </w:tr>
      <w:tr w:rsidR="00575A93" w:rsidRPr="001570F6" w14:paraId="2A58745F" w14:textId="77777777">
        <w:trPr>
          <w:jc w:val="center"/>
        </w:trPr>
        <w:tc>
          <w:tcPr>
            <w:tcW w:w="864" w:type="dxa"/>
          </w:tcPr>
          <w:p w14:paraId="4C35EF6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CYR-11</w:t>
            </w:r>
          </w:p>
        </w:tc>
        <w:tc>
          <w:tcPr>
            <w:tcW w:w="2592" w:type="dxa"/>
          </w:tcPr>
          <w:p w14:paraId="4C2D04B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DDoS attack disrupts online banking during public incident</w:t>
            </w:r>
          </w:p>
        </w:tc>
        <w:tc>
          <w:tcPr>
            <w:tcW w:w="4320" w:type="dxa"/>
          </w:tcPr>
          <w:p w14:paraId="761A242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While ACRB is managing a data breach, attackers launch a DDoS attack against online banking, worsening customer frustration and media attention.</w:t>
            </w:r>
          </w:p>
        </w:tc>
        <w:tc>
          <w:tcPr>
            <w:tcW w:w="2880" w:type="dxa"/>
          </w:tcPr>
          <w:p w14:paraId="63EA30A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DDoS protection, incident coordination, cloud/network provider contracts, communications, service prioritization.</w:t>
            </w:r>
          </w:p>
        </w:tc>
      </w:tr>
      <w:tr w:rsidR="00575A93" w:rsidRPr="001570F6" w14:paraId="7DEB1A3B" w14:textId="77777777">
        <w:trPr>
          <w:jc w:val="center"/>
        </w:trPr>
        <w:tc>
          <w:tcPr>
            <w:tcW w:w="864" w:type="dxa"/>
          </w:tcPr>
          <w:p w14:paraId="1E7518D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CYR-12</w:t>
            </w:r>
          </w:p>
        </w:tc>
        <w:tc>
          <w:tcPr>
            <w:tcW w:w="2592" w:type="dxa"/>
          </w:tcPr>
          <w:p w14:paraId="0D477A2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Unmanaged personal device provides network foothold</w:t>
            </w:r>
          </w:p>
        </w:tc>
        <w:tc>
          <w:tcPr>
            <w:tcW w:w="4320" w:type="dxa"/>
          </w:tcPr>
          <w:p w14:paraId="0A26EA6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An employee uses a personal tablet to access internal files. The device is compromised through a personal email phishing link.</w:t>
            </w:r>
          </w:p>
        </w:tc>
        <w:tc>
          <w:tcPr>
            <w:tcW w:w="2880" w:type="dxa"/>
          </w:tcPr>
          <w:p w14:paraId="11FBA4B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BYOD policy, MDM/MAM, conditional access, MFA, data leakage controls, user training.</w:t>
            </w:r>
          </w:p>
        </w:tc>
      </w:tr>
      <w:tr w:rsidR="00575A93" w:rsidRPr="001570F6" w14:paraId="5DE18A50" w14:textId="77777777">
        <w:trPr>
          <w:jc w:val="center"/>
        </w:trPr>
        <w:tc>
          <w:tcPr>
            <w:tcW w:w="864" w:type="dxa"/>
          </w:tcPr>
          <w:p w14:paraId="3F5A3F2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CYR-13</w:t>
            </w:r>
          </w:p>
        </w:tc>
        <w:tc>
          <w:tcPr>
            <w:tcW w:w="2592" w:type="dxa"/>
          </w:tcPr>
          <w:p w14:paraId="0435561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Certificate and encryption lifecycle failure interrupts digital channels</w:t>
            </w:r>
          </w:p>
        </w:tc>
        <w:tc>
          <w:tcPr>
            <w:tcW w:w="4320" w:type="dxa"/>
          </w:tcPr>
          <w:p w14:paraId="0D33AC0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An expired certificate or obsolete encryption configuration causes service outages and creates exposure to interception or impersonation.</w:t>
            </w:r>
          </w:p>
        </w:tc>
        <w:tc>
          <w:tcPr>
            <w:tcW w:w="2880" w:type="dxa"/>
          </w:tcPr>
          <w:p w14:paraId="125B914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Certificate inventory, cryptographic standards, change monitoring, automated renewal, configuration review.</w:t>
            </w:r>
          </w:p>
        </w:tc>
      </w:tr>
      <w:tr w:rsidR="00575A93" w:rsidRPr="001570F6" w14:paraId="64572481" w14:textId="77777777">
        <w:trPr>
          <w:jc w:val="center"/>
        </w:trPr>
        <w:tc>
          <w:tcPr>
            <w:tcW w:w="864" w:type="dxa"/>
          </w:tcPr>
          <w:p w14:paraId="3084156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CYR-14</w:t>
            </w:r>
          </w:p>
        </w:tc>
        <w:tc>
          <w:tcPr>
            <w:tcW w:w="2592" w:type="dxa"/>
          </w:tcPr>
          <w:p w14:paraId="5634D67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Physical breach at data center supports cyber compromise</w:t>
            </w:r>
          </w:p>
        </w:tc>
        <w:tc>
          <w:tcPr>
            <w:tcW w:w="4320" w:type="dxa"/>
          </w:tcPr>
          <w:p w14:paraId="4413B3B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An unauthorized person tailgates into a restricted area and connects a rogue device to the internal network.</w:t>
            </w:r>
          </w:p>
        </w:tc>
        <w:tc>
          <w:tcPr>
            <w:tcW w:w="2880" w:type="dxa"/>
          </w:tcPr>
          <w:p w14:paraId="42E19D2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Physical access controls, visitor logs, CCTV, network access control, staff awareness, facility audits.</w:t>
            </w:r>
          </w:p>
        </w:tc>
      </w:tr>
      <w:tr w:rsidR="00575A93" w:rsidRPr="001570F6" w14:paraId="310EF404" w14:textId="77777777">
        <w:trPr>
          <w:jc w:val="center"/>
        </w:trPr>
        <w:tc>
          <w:tcPr>
            <w:tcW w:w="864" w:type="dxa"/>
          </w:tcPr>
          <w:p w14:paraId="7E20574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CYR-15</w:t>
            </w:r>
          </w:p>
        </w:tc>
        <w:tc>
          <w:tcPr>
            <w:tcW w:w="2592" w:type="dxa"/>
          </w:tcPr>
          <w:p w14:paraId="39C2418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Vendor remote access tool is abused</w:t>
            </w:r>
          </w:p>
        </w:tc>
        <w:tc>
          <w:tcPr>
            <w:tcW w:w="4320" w:type="dxa"/>
          </w:tcPr>
          <w:p w14:paraId="6C57903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 remote support tool used by an infrastructure vendor is compromised and used to access ACRB systems after hours.</w:t>
            </w:r>
          </w:p>
        </w:tc>
        <w:tc>
          <w:tcPr>
            <w:tcW w:w="2880" w:type="dxa"/>
          </w:tcPr>
          <w:p w14:paraId="764430B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Third-party access governance, just-in-time access, monitoring, MFA, segmentation, contract controls, vendor assurance.</w:t>
            </w:r>
          </w:p>
        </w:tc>
      </w:tr>
    </w:tbl>
    <w:p w14:paraId="25B41532" w14:textId="77777777" w:rsidR="00575A93" w:rsidRPr="001570F6" w:rsidRDefault="00575A93" w:rsidP="001570F6">
      <w:pPr>
        <w:pStyle w:val="Small"/>
        <w:adjustRightInd w:val="0"/>
        <w:snapToGrid w:val="0"/>
        <w:spacing w:before="240" w:after="240" w:line="240" w:lineRule="auto"/>
        <w:rPr>
          <w:rFonts w:cs="Arial"/>
          <w:sz w:val="24"/>
          <w:szCs w:val="24"/>
        </w:rPr>
      </w:pPr>
    </w:p>
    <w:p w14:paraId="089DED8B"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Scenario analysis prompt</w:t>
      </w:r>
    </w:p>
    <w:p w14:paraId="2DAEA0D3"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For each assigned scenario, students should state the threat event, affected assets, vulnerabilities, existing controls, control gaps, inherent risk, residual risk, treatment options, recommended controls, estimated cost category, expected implementation difficulty, risk owner, and residual risk acceptance authority. Students should also explain whether CVSS is appropriate. CVSS may support technical vulnerability analysis, but it does not replace </w:t>
      </w:r>
      <w:r w:rsidRPr="001570F6">
        <w:rPr>
          <w:rFonts w:cs="Arial"/>
          <w:sz w:val="24"/>
          <w:szCs w:val="24"/>
        </w:rPr>
        <w:lastRenderedPageBreak/>
        <w:t xml:space="preserve">enterprise risk analysis </w:t>
      </w:r>
      <w:r w:rsidR="00613EEC" w:rsidRPr="001570F6">
        <w:rPr>
          <w:rFonts w:cs="Arial"/>
          <w:sz w:val="24"/>
          <w:szCs w:val="24"/>
        </w:rPr>
        <w:t>in</w:t>
      </w:r>
      <w:r w:rsidRPr="001570F6">
        <w:rPr>
          <w:rFonts w:cs="Arial"/>
          <w:sz w:val="24"/>
          <w:szCs w:val="24"/>
        </w:rPr>
        <w:t xml:space="preserve"> scenarios such as insider threat</w:t>
      </w:r>
      <w:r w:rsidR="00613EEC" w:rsidRPr="001570F6">
        <w:rPr>
          <w:rFonts w:cs="Arial"/>
          <w:sz w:val="24"/>
          <w:szCs w:val="24"/>
        </w:rPr>
        <w:t>s</w:t>
      </w:r>
      <w:r w:rsidRPr="001570F6">
        <w:rPr>
          <w:rFonts w:cs="Arial"/>
          <w:sz w:val="24"/>
          <w:szCs w:val="24"/>
        </w:rPr>
        <w:t>, weak governance, poor incident response, or vendor dependenc</w:t>
      </w:r>
      <w:r w:rsidR="00613EEC" w:rsidRPr="001570F6">
        <w:rPr>
          <w:rFonts w:cs="Arial"/>
          <w:sz w:val="24"/>
          <w:szCs w:val="24"/>
        </w:rPr>
        <w:t>ies</w:t>
      </w:r>
      <w:r w:rsidRPr="001570F6">
        <w:rPr>
          <w:rFonts w:cs="Arial"/>
          <w:sz w:val="24"/>
          <w:szCs w:val="24"/>
        </w:rPr>
        <w:t>.</w:t>
      </w:r>
    </w:p>
    <w:p w14:paraId="1F5C8264" w14:textId="77777777" w:rsidR="00AB2579" w:rsidRPr="001570F6" w:rsidRDefault="00AB2579" w:rsidP="001570F6">
      <w:pPr>
        <w:adjustRightInd w:val="0"/>
        <w:snapToGrid w:val="0"/>
        <w:spacing w:before="240" w:after="240" w:line="240" w:lineRule="auto"/>
        <w:rPr>
          <w:rFonts w:eastAsiaTheme="majorEastAsia" w:cs="Arial"/>
          <w:b/>
          <w:bCs/>
          <w:color w:val="1F4E79"/>
          <w:sz w:val="24"/>
          <w:szCs w:val="24"/>
        </w:rPr>
      </w:pPr>
      <w:r w:rsidRPr="001570F6">
        <w:rPr>
          <w:rFonts w:cs="Arial"/>
          <w:sz w:val="24"/>
          <w:szCs w:val="24"/>
        </w:rPr>
        <w:br w:type="page"/>
      </w:r>
    </w:p>
    <w:p w14:paraId="3B02F199" w14:textId="77777777" w:rsidR="00575A93" w:rsidRPr="005760E8" w:rsidRDefault="00000000" w:rsidP="005760E8">
      <w:pPr>
        <w:pStyle w:val="Titre1"/>
      </w:pPr>
      <w:r w:rsidRPr="005760E8">
        <w:lastRenderedPageBreak/>
        <w:t>10. Assignment Options and Suggested Deliverables</w:t>
      </w:r>
    </w:p>
    <w:p w14:paraId="7AFB480E"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The instructor can use the case in several formats. The following assignment options are written </w:t>
      </w:r>
      <w:r w:rsidR="00613EEC" w:rsidRPr="001570F6">
        <w:rPr>
          <w:rFonts w:cs="Arial"/>
          <w:sz w:val="24"/>
          <w:szCs w:val="24"/>
        </w:rPr>
        <w:t>to</w:t>
      </w:r>
      <w:r w:rsidRPr="001570F6">
        <w:rPr>
          <w:rFonts w:cs="Arial"/>
          <w:sz w:val="24"/>
          <w:szCs w:val="24"/>
        </w:rPr>
        <w:t xml:space="preserve"> be copied directly into a course outline or assignment sheet.</w:t>
      </w:r>
    </w:p>
    <w:p w14:paraId="15083A3F"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Option 1: Incident response tabletop package</w:t>
      </w:r>
    </w:p>
    <w:p w14:paraId="77AF51C8"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Students work in teams representing the incident response team. Each team receives the incident timeline and evidence appendices. The team must prepare a response package for the CISO within a defined time limit.</w:t>
      </w:r>
    </w:p>
    <w:p w14:paraId="1BE17020"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1. Classify the incident and justify </w:t>
      </w:r>
      <w:r w:rsidR="00613EEC" w:rsidRPr="001570F6">
        <w:rPr>
          <w:rFonts w:cs="Arial"/>
          <w:sz w:val="24"/>
          <w:szCs w:val="24"/>
        </w:rPr>
        <w:t xml:space="preserve">the </w:t>
      </w:r>
      <w:r w:rsidRPr="001570F6">
        <w:rPr>
          <w:rFonts w:cs="Arial"/>
          <w:sz w:val="24"/>
          <w:szCs w:val="24"/>
        </w:rPr>
        <w:t>severity.</w:t>
      </w:r>
    </w:p>
    <w:p w14:paraId="329748E1"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2. Prepare a situation report for the first 24 hours.</w:t>
      </w:r>
    </w:p>
    <w:p w14:paraId="70D39DA0"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3. Recommend immediate containment steps and evidence preservation measures.</w:t>
      </w:r>
    </w:p>
    <w:p w14:paraId="015304AE"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4. Prepare a stakeholder communication matrix.</w:t>
      </w:r>
    </w:p>
    <w:p w14:paraId="68E73CEF"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5. Prepare a short executive briefing on the ransom decision.</w:t>
      </w:r>
    </w:p>
    <w:p w14:paraId="0A197FBC"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6. Identify the top five lessons learned and link each to a control improvement.</w:t>
      </w:r>
    </w:p>
    <w:p w14:paraId="0F460540"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Option 2: Risk-based cybersecurity audit plan</w:t>
      </w:r>
    </w:p>
    <w:p w14:paraId="0C441356"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Students act as internal auditors</w:t>
      </w:r>
      <w:r w:rsidR="00AB2579" w:rsidRPr="001570F6">
        <w:rPr>
          <w:rFonts w:cs="Arial"/>
          <w:sz w:val="24"/>
          <w:szCs w:val="24"/>
        </w:rPr>
        <w:t>,</w:t>
      </w:r>
      <w:r w:rsidRPr="001570F6">
        <w:rPr>
          <w:rFonts w:cs="Arial"/>
          <w:sz w:val="24"/>
          <w:szCs w:val="24"/>
        </w:rPr>
        <w:t xml:space="preserve"> preparing a cybersecurity audit plan for the Audit Committee. They must use the ACRB incident, prior audit findings, and technology environment to identify the highest-priority audit engagements.</w:t>
      </w:r>
    </w:p>
    <w:p w14:paraId="2AA68EBA"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1. Prepare an audit universe and assign inherent risk ratings.</w:t>
      </w:r>
    </w:p>
    <w:p w14:paraId="52BE5028"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2. Select the top five audit priorities for the next 12 months.</w:t>
      </w:r>
    </w:p>
    <w:p w14:paraId="6A15FF85"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3. Develop one detailed audit program for a selected area.</w:t>
      </w:r>
    </w:p>
    <w:p w14:paraId="68F88E38"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4. Explain the evidence needed to test control design and operating effectiveness.</w:t>
      </w:r>
    </w:p>
    <w:p w14:paraId="2274F2AE"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5. Prepare an Audit Committee memo explaining the audit plan and expected assurance value.</w:t>
      </w:r>
    </w:p>
    <w:p w14:paraId="7B8ECC1B"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Option 3: Scenario-based cybersecurity risk assessment</w:t>
      </w:r>
    </w:p>
    <w:p w14:paraId="30393247"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Students act as cybersecurity risk analysts in the CISO organization. Their goal is to develop a defensible 2024-2027 cybersecurity roadmap, with budget projections through 2030.</w:t>
      </w:r>
    </w:p>
    <w:p w14:paraId="1D4A9B0C"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1. Select and analyze at least eight risk scenarios from the scenario library.</w:t>
      </w:r>
    </w:p>
    <w:p w14:paraId="522AD940"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2. Calculate or justify inherent risk and residual risk.</w:t>
      </w:r>
    </w:p>
    <w:p w14:paraId="50DD4770"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3. Recommend risk treatments and identify risk owners.</w:t>
      </w:r>
    </w:p>
    <w:p w14:paraId="540A6FB3"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lastRenderedPageBreak/>
        <w:t>4. Estimate implementation cost category, dependencies, and sequencing.</w:t>
      </w:r>
    </w:p>
    <w:p w14:paraId="2F6C01F7"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 xml:space="preserve">5. Develop a 2024-2027 roadmap linked to risk appetite and budget </w:t>
      </w:r>
      <w:proofErr w:type="gramStart"/>
      <w:r w:rsidRPr="001570F6">
        <w:rPr>
          <w:rFonts w:cs="Arial"/>
          <w:sz w:val="24"/>
          <w:szCs w:val="24"/>
        </w:rPr>
        <w:t>constraints, and</w:t>
      </w:r>
      <w:proofErr w:type="gramEnd"/>
      <w:r w:rsidRPr="001570F6">
        <w:rPr>
          <w:rFonts w:cs="Arial"/>
          <w:sz w:val="24"/>
          <w:szCs w:val="24"/>
        </w:rPr>
        <w:t xml:space="preserve"> explain how the budget projections through 2030 affect longer-term sequencing.</w:t>
      </w:r>
    </w:p>
    <w:p w14:paraId="5D9435B3"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6. Prepare a Board-level executive summary identifying risks to accept, mitigate, transfer, or avoid.</w:t>
      </w:r>
    </w:p>
    <w:p w14:paraId="19DCED1F" w14:textId="77777777" w:rsidR="00AB2579" w:rsidRPr="001570F6" w:rsidRDefault="00AB2579" w:rsidP="001570F6">
      <w:pPr>
        <w:adjustRightInd w:val="0"/>
        <w:snapToGrid w:val="0"/>
        <w:spacing w:before="240" w:after="240" w:line="240" w:lineRule="auto"/>
        <w:rPr>
          <w:rFonts w:eastAsiaTheme="majorEastAsia" w:cs="Arial"/>
          <w:b/>
          <w:bCs/>
          <w:color w:val="2E74B5"/>
          <w:sz w:val="24"/>
          <w:szCs w:val="24"/>
        </w:rPr>
      </w:pPr>
      <w:r w:rsidRPr="001570F6">
        <w:rPr>
          <w:rFonts w:cs="Arial"/>
          <w:sz w:val="24"/>
          <w:szCs w:val="24"/>
        </w:rPr>
        <w:br w:type="page"/>
      </w:r>
    </w:p>
    <w:p w14:paraId="4B81709D" w14:textId="29DC2B88" w:rsidR="00575A93" w:rsidRPr="001570F6" w:rsidRDefault="005760E8" w:rsidP="005760E8">
      <w:pPr>
        <w:pStyle w:val="Titre1"/>
      </w:pPr>
      <w:r>
        <w:lastRenderedPageBreak/>
        <w:t>G</w:t>
      </w:r>
      <w:r w:rsidRPr="001570F6">
        <w:t>rading rubric</w:t>
      </w:r>
    </w:p>
    <w:tbl>
      <w:tblPr>
        <w:tblStyle w:val="Grilledutableau"/>
        <w:tblW w:w="0" w:type="auto"/>
        <w:jc w:val="center"/>
        <w:tblLook w:val="04A0" w:firstRow="1" w:lastRow="0" w:firstColumn="1" w:lastColumn="0" w:noHBand="0" w:noVBand="1"/>
      </w:tblPr>
      <w:tblGrid>
        <w:gridCol w:w="3107"/>
        <w:gridCol w:w="6855"/>
      </w:tblGrid>
      <w:tr w:rsidR="00575A93" w:rsidRPr="001570F6" w14:paraId="59DE6940" w14:textId="77777777">
        <w:trPr>
          <w:jc w:val="center"/>
        </w:trPr>
        <w:tc>
          <w:tcPr>
            <w:tcW w:w="3168" w:type="dxa"/>
            <w:shd w:val="clear" w:color="auto" w:fill="1F4E79"/>
          </w:tcPr>
          <w:p w14:paraId="3FCA134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Criterion</w:t>
            </w:r>
          </w:p>
        </w:tc>
        <w:tc>
          <w:tcPr>
            <w:tcW w:w="7200" w:type="dxa"/>
            <w:shd w:val="clear" w:color="auto" w:fill="1F4E79"/>
          </w:tcPr>
          <w:p w14:paraId="46522EE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Excellent performance indicators</w:t>
            </w:r>
          </w:p>
        </w:tc>
      </w:tr>
      <w:tr w:rsidR="00575A93" w:rsidRPr="001570F6" w14:paraId="34DA7163" w14:textId="77777777">
        <w:trPr>
          <w:jc w:val="center"/>
        </w:trPr>
        <w:tc>
          <w:tcPr>
            <w:tcW w:w="3168" w:type="dxa"/>
          </w:tcPr>
          <w:p w14:paraId="4478967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of case facts</w:t>
            </w:r>
          </w:p>
        </w:tc>
        <w:tc>
          <w:tcPr>
            <w:tcW w:w="7200" w:type="dxa"/>
          </w:tcPr>
          <w:p w14:paraId="6131216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Accurately uses ACRB facts, avoids unsupported claims, and documents assumptions clearly.</w:t>
            </w:r>
          </w:p>
        </w:tc>
      </w:tr>
      <w:tr w:rsidR="00575A93" w:rsidRPr="001570F6" w14:paraId="13D91AD5" w14:textId="77777777">
        <w:trPr>
          <w:jc w:val="center"/>
        </w:trPr>
        <w:tc>
          <w:tcPr>
            <w:tcW w:w="3168" w:type="dxa"/>
          </w:tcPr>
          <w:p w14:paraId="3B3CB31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response reasoning</w:t>
            </w:r>
          </w:p>
        </w:tc>
        <w:tc>
          <w:tcPr>
            <w:tcW w:w="7200" w:type="dxa"/>
          </w:tcPr>
          <w:p w14:paraId="22AE4D5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Prioritizes containment, evidence, restoration, notification, and decision-making under uncertainty.</w:t>
            </w:r>
          </w:p>
        </w:tc>
      </w:tr>
      <w:tr w:rsidR="00575A93" w:rsidRPr="001570F6" w14:paraId="2D540DE1" w14:textId="77777777">
        <w:trPr>
          <w:jc w:val="center"/>
        </w:trPr>
        <w:tc>
          <w:tcPr>
            <w:tcW w:w="3168" w:type="dxa"/>
          </w:tcPr>
          <w:p w14:paraId="0AE7214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planning quality</w:t>
            </w:r>
          </w:p>
        </w:tc>
        <w:tc>
          <w:tcPr>
            <w:tcW w:w="7200" w:type="dxa"/>
          </w:tcPr>
          <w:p w14:paraId="5FF3F6E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Links audit priorities to risk, prior findings, control objectives, evidence, and Audit Committee needs.</w:t>
            </w:r>
          </w:p>
        </w:tc>
      </w:tr>
      <w:tr w:rsidR="00575A93" w:rsidRPr="001570F6" w14:paraId="24FCA043" w14:textId="77777777">
        <w:trPr>
          <w:jc w:val="center"/>
        </w:trPr>
        <w:tc>
          <w:tcPr>
            <w:tcW w:w="3168" w:type="dxa"/>
          </w:tcPr>
          <w:p w14:paraId="0CA5444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Risk analysis quality</w:t>
            </w:r>
          </w:p>
        </w:tc>
        <w:tc>
          <w:tcPr>
            <w:tcW w:w="7200" w:type="dxa"/>
          </w:tcPr>
          <w:p w14:paraId="3B396C4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Distinguishes inherent and residual risk, connects scenarios to controls, and justifies scoring.</w:t>
            </w:r>
          </w:p>
        </w:tc>
      </w:tr>
      <w:tr w:rsidR="00575A93" w:rsidRPr="001570F6" w14:paraId="7830BBE0" w14:textId="77777777">
        <w:trPr>
          <w:jc w:val="center"/>
        </w:trPr>
        <w:tc>
          <w:tcPr>
            <w:tcW w:w="3168" w:type="dxa"/>
          </w:tcPr>
          <w:p w14:paraId="0A9CFF7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Governance and regulatory awareness</w:t>
            </w:r>
          </w:p>
        </w:tc>
        <w:tc>
          <w:tcPr>
            <w:tcW w:w="7200" w:type="dxa"/>
          </w:tcPr>
          <w:p w14:paraId="4401128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Recognizes Board oversight, CISO independence, privacy, incident reporting, third-party, and accountability issues.</w:t>
            </w:r>
          </w:p>
        </w:tc>
      </w:tr>
      <w:tr w:rsidR="00575A93" w:rsidRPr="001570F6" w14:paraId="33E7045C" w14:textId="77777777">
        <w:trPr>
          <w:jc w:val="center"/>
        </w:trPr>
        <w:tc>
          <w:tcPr>
            <w:tcW w:w="3168" w:type="dxa"/>
          </w:tcPr>
          <w:p w14:paraId="00A483B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Recommendations</w:t>
            </w:r>
          </w:p>
        </w:tc>
        <w:tc>
          <w:tcPr>
            <w:tcW w:w="7200" w:type="dxa"/>
          </w:tcPr>
          <w:p w14:paraId="425E3A1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Provides specific, feasible, sequenced, cost-aware actions linked to risk reduction.</w:t>
            </w:r>
          </w:p>
        </w:tc>
      </w:tr>
      <w:tr w:rsidR="00575A93" w:rsidRPr="001570F6" w14:paraId="0C28C8BC" w14:textId="77777777">
        <w:trPr>
          <w:jc w:val="center"/>
        </w:trPr>
        <w:tc>
          <w:tcPr>
            <w:tcW w:w="3168" w:type="dxa"/>
          </w:tcPr>
          <w:p w14:paraId="409EFC5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Executive communication</w:t>
            </w:r>
          </w:p>
        </w:tc>
        <w:tc>
          <w:tcPr>
            <w:tcW w:w="7200" w:type="dxa"/>
          </w:tcPr>
          <w:p w14:paraId="2E44457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Communicates clearly to non-technical decision-makers and distinguishes facts, assumptions, uncertainty, and decisions required.</w:t>
            </w:r>
          </w:p>
        </w:tc>
      </w:tr>
    </w:tbl>
    <w:p w14:paraId="13A98F1E" w14:textId="77777777" w:rsidR="00575A93" w:rsidRPr="001570F6" w:rsidRDefault="00575A93" w:rsidP="001570F6">
      <w:pPr>
        <w:pStyle w:val="Small"/>
        <w:adjustRightInd w:val="0"/>
        <w:snapToGrid w:val="0"/>
        <w:spacing w:before="240" w:after="240" w:line="240" w:lineRule="auto"/>
        <w:rPr>
          <w:rFonts w:cs="Arial"/>
          <w:sz w:val="24"/>
          <w:szCs w:val="24"/>
        </w:rPr>
      </w:pPr>
    </w:p>
    <w:p w14:paraId="6AE43BED" w14:textId="77777777" w:rsidR="00613EEC" w:rsidRPr="001570F6" w:rsidRDefault="00613EEC" w:rsidP="001570F6">
      <w:pPr>
        <w:adjustRightInd w:val="0"/>
        <w:snapToGrid w:val="0"/>
        <w:spacing w:before="240" w:after="240" w:line="240" w:lineRule="auto"/>
        <w:rPr>
          <w:rFonts w:eastAsiaTheme="majorEastAsia" w:cs="Arial"/>
          <w:b/>
          <w:bCs/>
          <w:color w:val="1F4E79"/>
          <w:sz w:val="24"/>
          <w:szCs w:val="24"/>
        </w:rPr>
      </w:pPr>
      <w:r w:rsidRPr="001570F6">
        <w:rPr>
          <w:rFonts w:cs="Arial"/>
          <w:sz w:val="24"/>
          <w:szCs w:val="24"/>
        </w:rPr>
        <w:br w:type="page"/>
      </w:r>
    </w:p>
    <w:p w14:paraId="50DBDE9E" w14:textId="77777777" w:rsidR="00575A93" w:rsidRPr="005760E8" w:rsidRDefault="00000000" w:rsidP="005760E8">
      <w:pPr>
        <w:pStyle w:val="Titre1"/>
      </w:pPr>
      <w:r w:rsidRPr="005760E8">
        <w:lastRenderedPageBreak/>
        <w:t>11. Appendices: Evidence, Templates, and Instructor Notes</w:t>
      </w:r>
    </w:p>
    <w:p w14:paraId="1DF8466A"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Appendix A - Sample phishing email</w:t>
      </w:r>
    </w:p>
    <w:p w14:paraId="58B22361"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 following artefact may be provided to students during the incident response exercise. It is fictional and safe; the link is deliberately defanged.</w:t>
      </w:r>
    </w:p>
    <w:tbl>
      <w:tblPr>
        <w:tblStyle w:val="Grilledutableau"/>
        <w:tblW w:w="0" w:type="auto"/>
        <w:jc w:val="center"/>
        <w:tblLook w:val="04A0" w:firstRow="1" w:lastRow="0" w:firstColumn="1" w:lastColumn="0" w:noHBand="0" w:noVBand="1"/>
      </w:tblPr>
      <w:tblGrid>
        <w:gridCol w:w="2241"/>
        <w:gridCol w:w="7721"/>
      </w:tblGrid>
      <w:tr w:rsidR="00575A93" w:rsidRPr="001570F6" w14:paraId="235F747C" w14:textId="77777777">
        <w:trPr>
          <w:jc w:val="center"/>
        </w:trPr>
        <w:tc>
          <w:tcPr>
            <w:tcW w:w="2304" w:type="dxa"/>
            <w:shd w:val="clear" w:color="auto" w:fill="1F4E79"/>
          </w:tcPr>
          <w:p w14:paraId="4504160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Field</w:t>
            </w:r>
          </w:p>
        </w:tc>
        <w:tc>
          <w:tcPr>
            <w:tcW w:w="8064" w:type="dxa"/>
            <w:shd w:val="clear" w:color="auto" w:fill="1F4E79"/>
          </w:tcPr>
          <w:p w14:paraId="48CE09E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Content</w:t>
            </w:r>
          </w:p>
        </w:tc>
      </w:tr>
      <w:tr w:rsidR="00575A93" w:rsidRPr="001570F6" w14:paraId="4D54AC92" w14:textId="77777777">
        <w:trPr>
          <w:jc w:val="center"/>
        </w:trPr>
        <w:tc>
          <w:tcPr>
            <w:tcW w:w="2304" w:type="dxa"/>
          </w:tcPr>
          <w:p w14:paraId="2004730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From</w:t>
            </w:r>
          </w:p>
        </w:tc>
        <w:tc>
          <w:tcPr>
            <w:tcW w:w="8064" w:type="dxa"/>
          </w:tcPr>
          <w:p w14:paraId="65BE371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regulatory-notices@[redacted-domain].ca</w:t>
            </w:r>
          </w:p>
        </w:tc>
      </w:tr>
      <w:tr w:rsidR="00575A93" w:rsidRPr="001570F6" w14:paraId="24FB91EC" w14:textId="77777777">
        <w:trPr>
          <w:jc w:val="center"/>
        </w:trPr>
        <w:tc>
          <w:tcPr>
            <w:tcW w:w="2304" w:type="dxa"/>
          </w:tcPr>
          <w:p w14:paraId="446D4BD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To</w:t>
            </w:r>
          </w:p>
        </w:tc>
        <w:tc>
          <w:tcPr>
            <w:tcW w:w="8064" w:type="dxa"/>
          </w:tcPr>
          <w:p w14:paraId="3004033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Selected branch managers and finance operations staff</w:t>
            </w:r>
          </w:p>
        </w:tc>
      </w:tr>
      <w:tr w:rsidR="00575A93" w:rsidRPr="001570F6" w14:paraId="088C2D1D" w14:textId="77777777">
        <w:trPr>
          <w:jc w:val="center"/>
        </w:trPr>
        <w:tc>
          <w:tcPr>
            <w:tcW w:w="2304" w:type="dxa"/>
          </w:tcPr>
          <w:p w14:paraId="6219CEC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Subject</w:t>
            </w:r>
          </w:p>
        </w:tc>
        <w:tc>
          <w:tcPr>
            <w:tcW w:w="8064" w:type="dxa"/>
          </w:tcPr>
          <w:p w14:paraId="131E32B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Urgent: Updated AML reporting template - action required today</w:t>
            </w:r>
          </w:p>
        </w:tc>
      </w:tr>
      <w:tr w:rsidR="00575A93" w:rsidRPr="001570F6" w14:paraId="15DC7753" w14:textId="77777777">
        <w:trPr>
          <w:jc w:val="center"/>
        </w:trPr>
        <w:tc>
          <w:tcPr>
            <w:tcW w:w="2304" w:type="dxa"/>
          </w:tcPr>
          <w:p w14:paraId="04AB5F7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Body excerpt</w:t>
            </w:r>
          </w:p>
        </w:tc>
        <w:tc>
          <w:tcPr>
            <w:tcW w:w="8064" w:type="dxa"/>
          </w:tcPr>
          <w:p w14:paraId="3D7A3F5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Please download the updated reporting template and submit the revised branch-level file by 4:00 p.m. today. Failure to submit may result in late reporting escalation. Link: hxxps://regulatory-update-[redacted]/template</w:t>
            </w:r>
          </w:p>
        </w:tc>
      </w:tr>
      <w:tr w:rsidR="00575A93" w:rsidRPr="001570F6" w14:paraId="0BB155B5" w14:textId="77777777">
        <w:trPr>
          <w:jc w:val="center"/>
        </w:trPr>
        <w:tc>
          <w:tcPr>
            <w:tcW w:w="2304" w:type="dxa"/>
          </w:tcPr>
          <w:p w14:paraId="45DA5DA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Attachment</w:t>
            </w:r>
          </w:p>
        </w:tc>
        <w:tc>
          <w:tcPr>
            <w:tcW w:w="8064" w:type="dxa"/>
          </w:tcPr>
          <w:p w14:paraId="6547B9D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AML_Template_Update.xlsm</w:t>
            </w:r>
          </w:p>
        </w:tc>
      </w:tr>
      <w:tr w:rsidR="00575A93" w:rsidRPr="001570F6" w14:paraId="6B406645" w14:textId="77777777">
        <w:trPr>
          <w:jc w:val="center"/>
        </w:trPr>
        <w:tc>
          <w:tcPr>
            <w:tcW w:w="2304" w:type="dxa"/>
          </w:tcPr>
          <w:p w14:paraId="2D31CA1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SOC clue</w:t>
            </w:r>
          </w:p>
        </w:tc>
        <w:tc>
          <w:tcPr>
            <w:tcW w:w="8064" w:type="dxa"/>
          </w:tcPr>
          <w:p w14:paraId="6A23675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The sending domain was newly registered. The attachment spawned PowerShell on at least one endpoint.</w:t>
            </w:r>
          </w:p>
        </w:tc>
      </w:tr>
    </w:tbl>
    <w:p w14:paraId="20A053F6" w14:textId="77777777" w:rsidR="00575A93" w:rsidRPr="001570F6" w:rsidRDefault="00575A93" w:rsidP="001570F6">
      <w:pPr>
        <w:pStyle w:val="Small"/>
        <w:adjustRightInd w:val="0"/>
        <w:snapToGrid w:val="0"/>
        <w:spacing w:before="240" w:after="240" w:line="240" w:lineRule="auto"/>
        <w:rPr>
          <w:rFonts w:cs="Arial"/>
          <w:sz w:val="24"/>
          <w:szCs w:val="24"/>
        </w:rPr>
      </w:pPr>
    </w:p>
    <w:p w14:paraId="41C1D79D"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Appendix B - Sample technical evidence</w:t>
      </w:r>
    </w:p>
    <w:p w14:paraId="4479744E"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These fictional records are included to give students concrete evidence to analyze. Instructors can release them progressively during a tabletop.</w:t>
      </w:r>
    </w:p>
    <w:tbl>
      <w:tblPr>
        <w:tblStyle w:val="Grilledutableau"/>
        <w:tblW w:w="0" w:type="auto"/>
        <w:jc w:val="center"/>
        <w:tblLook w:val="04A0" w:firstRow="1" w:lastRow="0" w:firstColumn="1" w:lastColumn="0" w:noHBand="0" w:noVBand="1"/>
      </w:tblPr>
      <w:tblGrid>
        <w:gridCol w:w="1674"/>
        <w:gridCol w:w="4973"/>
        <w:gridCol w:w="3315"/>
      </w:tblGrid>
      <w:tr w:rsidR="00575A93" w:rsidRPr="001570F6" w14:paraId="36E4AF4F" w14:textId="77777777">
        <w:trPr>
          <w:jc w:val="center"/>
        </w:trPr>
        <w:tc>
          <w:tcPr>
            <w:tcW w:w="1728" w:type="dxa"/>
            <w:shd w:val="clear" w:color="auto" w:fill="1F4E79"/>
          </w:tcPr>
          <w:p w14:paraId="026FBF1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Source</w:t>
            </w:r>
          </w:p>
        </w:tc>
        <w:tc>
          <w:tcPr>
            <w:tcW w:w="5184" w:type="dxa"/>
            <w:shd w:val="clear" w:color="auto" w:fill="1F4E79"/>
          </w:tcPr>
          <w:p w14:paraId="140368C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Fictional evidence excerpt</w:t>
            </w:r>
          </w:p>
        </w:tc>
        <w:tc>
          <w:tcPr>
            <w:tcW w:w="3456" w:type="dxa"/>
            <w:shd w:val="clear" w:color="auto" w:fill="1F4E79"/>
          </w:tcPr>
          <w:p w14:paraId="61D8027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Student analysis cue</w:t>
            </w:r>
          </w:p>
        </w:tc>
      </w:tr>
      <w:tr w:rsidR="00575A93" w:rsidRPr="001570F6" w14:paraId="061528E0" w14:textId="77777777">
        <w:trPr>
          <w:jc w:val="center"/>
        </w:trPr>
        <w:tc>
          <w:tcPr>
            <w:tcW w:w="1728" w:type="dxa"/>
          </w:tcPr>
          <w:p w14:paraId="7E26361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EDR</w:t>
            </w:r>
          </w:p>
        </w:tc>
        <w:tc>
          <w:tcPr>
            <w:tcW w:w="5184" w:type="dxa"/>
          </w:tcPr>
          <w:p w14:paraId="1AF74DF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2022-10-04 09:43:18 HOST-BR-117 powershell.exe spawned by EXCEL.EXE; encoded command; outbound connection attempted.</w:t>
            </w:r>
          </w:p>
        </w:tc>
        <w:tc>
          <w:tcPr>
            <w:tcW w:w="3456" w:type="dxa"/>
          </w:tcPr>
          <w:p w14:paraId="1C766BE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Was this treated as suspicious? Why was the alert closed? What other hosts need review?</w:t>
            </w:r>
          </w:p>
        </w:tc>
      </w:tr>
      <w:tr w:rsidR="00575A93" w:rsidRPr="001570F6" w14:paraId="2D5BA766" w14:textId="77777777">
        <w:trPr>
          <w:jc w:val="center"/>
        </w:trPr>
        <w:tc>
          <w:tcPr>
            <w:tcW w:w="1728" w:type="dxa"/>
          </w:tcPr>
          <w:p w14:paraId="74CDCB3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VPN</w:t>
            </w:r>
          </w:p>
        </w:tc>
        <w:tc>
          <w:tcPr>
            <w:tcW w:w="5184" w:type="dxa"/>
          </w:tcPr>
          <w:p w14:paraId="15F95BB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2022-10-05 23:12:09 user m.harris successful login from unusual geography; MFA push approved.</w:t>
            </w:r>
          </w:p>
        </w:tc>
        <w:tc>
          <w:tcPr>
            <w:tcW w:w="3456" w:type="dxa"/>
          </w:tcPr>
          <w:p w14:paraId="1A403C7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Was this MFA fatigue, token theft, legitimate travel, or account compromise?</w:t>
            </w:r>
          </w:p>
        </w:tc>
      </w:tr>
      <w:tr w:rsidR="00575A93" w:rsidRPr="001570F6" w14:paraId="54B0650E" w14:textId="77777777">
        <w:trPr>
          <w:jc w:val="center"/>
        </w:trPr>
        <w:tc>
          <w:tcPr>
            <w:tcW w:w="1728" w:type="dxa"/>
          </w:tcPr>
          <w:p w14:paraId="3031C08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Firewall</w:t>
            </w:r>
          </w:p>
        </w:tc>
        <w:tc>
          <w:tcPr>
            <w:tcW w:w="5184" w:type="dxa"/>
          </w:tcPr>
          <w:p w14:paraId="7FB4F2E1"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2022-10-12 02:31:44 APP-SRV-03 outbound TLS traffic 8.4GB to unrecognized IP over 3 hours.</w:t>
            </w:r>
          </w:p>
        </w:tc>
        <w:tc>
          <w:tcPr>
            <w:tcW w:w="3456" w:type="dxa"/>
          </w:tcPr>
          <w:p w14:paraId="5BD6A62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Does this indicate exfiltration? What logs are needed to confirm data transfer?</w:t>
            </w:r>
          </w:p>
        </w:tc>
      </w:tr>
      <w:tr w:rsidR="00575A93" w:rsidRPr="001570F6" w14:paraId="21CA5740" w14:textId="77777777">
        <w:trPr>
          <w:jc w:val="center"/>
        </w:trPr>
        <w:tc>
          <w:tcPr>
            <w:tcW w:w="1728" w:type="dxa"/>
          </w:tcPr>
          <w:p w14:paraId="0E21A9D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File server</w:t>
            </w:r>
          </w:p>
        </w:tc>
        <w:tc>
          <w:tcPr>
            <w:tcW w:w="5184" w:type="dxa"/>
          </w:tcPr>
          <w:p w14:paraId="3C7DA28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2022-10-13 03:18:22 archive cust_export_temp.zip created in temporary directory by service account.</w:t>
            </w:r>
          </w:p>
        </w:tc>
        <w:tc>
          <w:tcPr>
            <w:tcW w:w="3456" w:type="dxa"/>
          </w:tcPr>
          <w:p w14:paraId="3AD1E85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Who created the file? Was the service account misused? What data was included?</w:t>
            </w:r>
          </w:p>
        </w:tc>
      </w:tr>
      <w:tr w:rsidR="00575A93" w:rsidRPr="001570F6" w14:paraId="799F1FC5" w14:textId="77777777">
        <w:trPr>
          <w:jc w:val="center"/>
        </w:trPr>
        <w:tc>
          <w:tcPr>
            <w:tcW w:w="1728" w:type="dxa"/>
          </w:tcPr>
          <w:p w14:paraId="6A81F45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Backup system</w:t>
            </w:r>
          </w:p>
        </w:tc>
        <w:tc>
          <w:tcPr>
            <w:tcW w:w="5184" w:type="dxa"/>
          </w:tcPr>
          <w:p w14:paraId="1687690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2022-10-16 07:20:12 scheduled backup failed for several branch file shares.</w:t>
            </w:r>
          </w:p>
        </w:tc>
        <w:tc>
          <w:tcPr>
            <w:tcW w:w="3456" w:type="dxa"/>
          </w:tcPr>
          <w:p w14:paraId="63D4E69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Was backup failure caused by ransomware, access loss, capacity, or prior compromise?</w:t>
            </w:r>
          </w:p>
        </w:tc>
      </w:tr>
    </w:tbl>
    <w:p w14:paraId="6892BE80" w14:textId="77777777" w:rsidR="00575A93" w:rsidRPr="001570F6" w:rsidRDefault="00575A93" w:rsidP="001570F6">
      <w:pPr>
        <w:pStyle w:val="Small"/>
        <w:adjustRightInd w:val="0"/>
        <w:snapToGrid w:val="0"/>
        <w:spacing w:before="240" w:after="240" w:line="240" w:lineRule="auto"/>
        <w:rPr>
          <w:rFonts w:cs="Arial"/>
          <w:sz w:val="24"/>
          <w:szCs w:val="24"/>
        </w:rPr>
      </w:pPr>
    </w:p>
    <w:p w14:paraId="60A330F4"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Appendix C - Initial situation report template</w:t>
      </w:r>
    </w:p>
    <w:tbl>
      <w:tblPr>
        <w:tblStyle w:val="Grilledutableau"/>
        <w:tblW w:w="0" w:type="auto"/>
        <w:jc w:val="center"/>
        <w:tblLook w:val="04A0" w:firstRow="1" w:lastRow="0" w:firstColumn="1" w:lastColumn="0" w:noHBand="0" w:noVBand="1"/>
      </w:tblPr>
      <w:tblGrid>
        <w:gridCol w:w="2803"/>
        <w:gridCol w:w="7159"/>
      </w:tblGrid>
      <w:tr w:rsidR="00575A93" w:rsidRPr="001570F6" w14:paraId="75FE390D" w14:textId="77777777">
        <w:trPr>
          <w:jc w:val="center"/>
        </w:trPr>
        <w:tc>
          <w:tcPr>
            <w:tcW w:w="2880" w:type="dxa"/>
            <w:shd w:val="clear" w:color="auto" w:fill="1F4E79"/>
          </w:tcPr>
          <w:p w14:paraId="6F99F58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Section</w:t>
            </w:r>
          </w:p>
        </w:tc>
        <w:tc>
          <w:tcPr>
            <w:tcW w:w="7488" w:type="dxa"/>
            <w:shd w:val="clear" w:color="auto" w:fill="1F4E79"/>
          </w:tcPr>
          <w:p w14:paraId="006D23A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Required content</w:t>
            </w:r>
          </w:p>
        </w:tc>
      </w:tr>
      <w:tr w:rsidR="00575A93" w:rsidRPr="001570F6" w14:paraId="0312E264" w14:textId="77777777">
        <w:trPr>
          <w:jc w:val="center"/>
        </w:trPr>
        <w:tc>
          <w:tcPr>
            <w:tcW w:w="2880" w:type="dxa"/>
          </w:tcPr>
          <w:p w14:paraId="34DF911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Incident summary</w:t>
            </w:r>
          </w:p>
        </w:tc>
        <w:tc>
          <w:tcPr>
            <w:tcW w:w="7488" w:type="dxa"/>
          </w:tcPr>
          <w:p w14:paraId="7FCD53C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What happened, when detected, affected services, current severity, and confidence level.</w:t>
            </w:r>
          </w:p>
        </w:tc>
      </w:tr>
      <w:tr w:rsidR="00575A93" w:rsidRPr="001570F6" w14:paraId="1ABE66C7" w14:textId="77777777">
        <w:trPr>
          <w:jc w:val="center"/>
        </w:trPr>
        <w:tc>
          <w:tcPr>
            <w:tcW w:w="2880" w:type="dxa"/>
          </w:tcPr>
          <w:p w14:paraId="0683D08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Known facts</w:t>
            </w:r>
          </w:p>
        </w:tc>
        <w:tc>
          <w:tcPr>
            <w:tcW w:w="7488" w:type="dxa"/>
          </w:tcPr>
          <w:p w14:paraId="09E469E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Evidence confirmed at the time of the report.</w:t>
            </w:r>
          </w:p>
        </w:tc>
      </w:tr>
      <w:tr w:rsidR="00575A93" w:rsidRPr="001570F6" w14:paraId="2CBD1E1F" w14:textId="77777777">
        <w:trPr>
          <w:jc w:val="center"/>
        </w:trPr>
        <w:tc>
          <w:tcPr>
            <w:tcW w:w="2880" w:type="dxa"/>
          </w:tcPr>
          <w:p w14:paraId="1579992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Assumptions and uncertainties</w:t>
            </w:r>
          </w:p>
        </w:tc>
        <w:tc>
          <w:tcPr>
            <w:tcW w:w="7488" w:type="dxa"/>
          </w:tcPr>
          <w:p w14:paraId="74F66CE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What is not yet known, what is suspected, and what evidence is pending.</w:t>
            </w:r>
          </w:p>
        </w:tc>
      </w:tr>
      <w:tr w:rsidR="00575A93" w:rsidRPr="001570F6" w14:paraId="35B5D146" w14:textId="77777777">
        <w:trPr>
          <w:jc w:val="center"/>
        </w:trPr>
        <w:tc>
          <w:tcPr>
            <w:tcW w:w="2880" w:type="dxa"/>
          </w:tcPr>
          <w:p w14:paraId="6E39438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Customer impact</w:t>
            </w:r>
          </w:p>
        </w:tc>
        <w:tc>
          <w:tcPr>
            <w:tcW w:w="7488" w:type="dxa"/>
          </w:tcPr>
          <w:p w14:paraId="25E0A20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Affected services, affected data, affected customer groups, and workarounds.</w:t>
            </w:r>
          </w:p>
        </w:tc>
      </w:tr>
      <w:tr w:rsidR="00575A93" w:rsidRPr="001570F6" w14:paraId="2D748FFE" w14:textId="77777777">
        <w:trPr>
          <w:jc w:val="center"/>
        </w:trPr>
        <w:tc>
          <w:tcPr>
            <w:tcW w:w="2880" w:type="dxa"/>
          </w:tcPr>
          <w:p w14:paraId="1B2A2A4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Actions completed</w:t>
            </w:r>
          </w:p>
        </w:tc>
        <w:tc>
          <w:tcPr>
            <w:tcW w:w="7488" w:type="dxa"/>
          </w:tcPr>
          <w:p w14:paraId="3BA4699D"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Containment, access revocation, vendor engagement, communications, evidence preservation.</w:t>
            </w:r>
          </w:p>
        </w:tc>
      </w:tr>
      <w:tr w:rsidR="00575A93" w:rsidRPr="001570F6" w14:paraId="56E92459" w14:textId="77777777">
        <w:trPr>
          <w:jc w:val="center"/>
        </w:trPr>
        <w:tc>
          <w:tcPr>
            <w:tcW w:w="2880" w:type="dxa"/>
          </w:tcPr>
          <w:p w14:paraId="6BC4C29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Decisions required</w:t>
            </w:r>
          </w:p>
        </w:tc>
        <w:tc>
          <w:tcPr>
            <w:tcW w:w="7488" w:type="dxa"/>
          </w:tcPr>
          <w:p w14:paraId="7669E0F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Executive or Board decisions needed within the next reporting period.</w:t>
            </w:r>
          </w:p>
        </w:tc>
      </w:tr>
      <w:tr w:rsidR="00575A93" w:rsidRPr="001570F6" w14:paraId="2C91D9DD" w14:textId="77777777">
        <w:trPr>
          <w:jc w:val="center"/>
        </w:trPr>
        <w:tc>
          <w:tcPr>
            <w:tcW w:w="2880" w:type="dxa"/>
          </w:tcPr>
          <w:p w14:paraId="49244D7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Next update</w:t>
            </w:r>
          </w:p>
        </w:tc>
        <w:tc>
          <w:tcPr>
            <w:tcW w:w="7488" w:type="dxa"/>
          </w:tcPr>
          <w:p w14:paraId="10BC8D9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Time of next scheduled situation report and responsible owner.</w:t>
            </w:r>
          </w:p>
        </w:tc>
      </w:tr>
    </w:tbl>
    <w:p w14:paraId="725FC99A" w14:textId="77777777" w:rsidR="00575A93" w:rsidRPr="001570F6" w:rsidRDefault="00575A93" w:rsidP="001570F6">
      <w:pPr>
        <w:pStyle w:val="Small"/>
        <w:adjustRightInd w:val="0"/>
        <w:snapToGrid w:val="0"/>
        <w:spacing w:before="240" w:after="240" w:line="240" w:lineRule="auto"/>
        <w:rPr>
          <w:rFonts w:cs="Arial"/>
          <w:sz w:val="24"/>
          <w:szCs w:val="24"/>
        </w:rPr>
      </w:pPr>
    </w:p>
    <w:p w14:paraId="5FC5FC60"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Appendix D - Regulatory and privacy assessment prompt</w:t>
      </w:r>
    </w:p>
    <w:p w14:paraId="496FCA36"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Students should complete a preliminary assessment of regulatory and privacy notification issues. The assessment should be coordinated with legal counsel and privacy officers. Students should not claim legal certainty; they should identify likely obligations, facts required, and responsible owners.</w:t>
      </w:r>
    </w:p>
    <w:tbl>
      <w:tblPr>
        <w:tblStyle w:val="Grilledutableau"/>
        <w:tblW w:w="0" w:type="auto"/>
        <w:jc w:val="center"/>
        <w:tblLook w:val="04A0" w:firstRow="1" w:lastRow="0" w:firstColumn="1" w:lastColumn="0" w:noHBand="0" w:noVBand="1"/>
      </w:tblPr>
      <w:tblGrid>
        <w:gridCol w:w="3071"/>
        <w:gridCol w:w="6891"/>
      </w:tblGrid>
      <w:tr w:rsidR="00575A93" w:rsidRPr="001570F6" w14:paraId="5EF6633A" w14:textId="77777777">
        <w:trPr>
          <w:jc w:val="center"/>
        </w:trPr>
        <w:tc>
          <w:tcPr>
            <w:tcW w:w="3168" w:type="dxa"/>
            <w:shd w:val="clear" w:color="auto" w:fill="1F4E79"/>
          </w:tcPr>
          <w:p w14:paraId="60AD639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Question</w:t>
            </w:r>
          </w:p>
        </w:tc>
        <w:tc>
          <w:tcPr>
            <w:tcW w:w="7200" w:type="dxa"/>
            <w:shd w:val="clear" w:color="auto" w:fill="1F4E79"/>
          </w:tcPr>
          <w:p w14:paraId="76D1855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Student response required</w:t>
            </w:r>
          </w:p>
        </w:tc>
      </w:tr>
      <w:tr w:rsidR="00575A93" w:rsidRPr="001570F6" w14:paraId="63845534" w14:textId="77777777">
        <w:trPr>
          <w:jc w:val="center"/>
        </w:trPr>
        <w:tc>
          <w:tcPr>
            <w:tcW w:w="3168" w:type="dxa"/>
          </w:tcPr>
          <w:p w14:paraId="2D49A07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Is the incident material or reportable?</w:t>
            </w:r>
          </w:p>
        </w:tc>
        <w:tc>
          <w:tcPr>
            <w:tcW w:w="7200" w:type="dxa"/>
          </w:tcPr>
          <w:p w14:paraId="7C9E648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Explain factors such as service disruption, customer data exposure, operational impact, financial impact, public/media attention, and regulatory relevance.</w:t>
            </w:r>
          </w:p>
        </w:tc>
      </w:tr>
      <w:tr w:rsidR="00575A93" w:rsidRPr="001570F6" w14:paraId="0C6F616F" w14:textId="77777777">
        <w:trPr>
          <w:jc w:val="center"/>
        </w:trPr>
        <w:tc>
          <w:tcPr>
            <w:tcW w:w="3168" w:type="dxa"/>
          </w:tcPr>
          <w:p w14:paraId="66C59FF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What must be reported within the first 24 hours?</w:t>
            </w:r>
          </w:p>
        </w:tc>
        <w:tc>
          <w:tcPr>
            <w:tcW w:w="7200" w:type="dxa"/>
          </w:tcPr>
          <w:p w14:paraId="46963B5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Prepare an initial incident notification using available facts and clearly label unknowns.</w:t>
            </w:r>
          </w:p>
        </w:tc>
      </w:tr>
      <w:tr w:rsidR="00575A93" w:rsidRPr="001570F6" w14:paraId="6C579061" w14:textId="77777777">
        <w:trPr>
          <w:jc w:val="center"/>
        </w:trPr>
        <w:tc>
          <w:tcPr>
            <w:tcW w:w="3168" w:type="dxa"/>
          </w:tcPr>
          <w:p w14:paraId="27F9973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Does the privacy breach create a real risk of significant harm?</w:t>
            </w:r>
          </w:p>
        </w:tc>
        <w:tc>
          <w:tcPr>
            <w:tcW w:w="7200" w:type="dxa"/>
          </w:tcPr>
          <w:p w14:paraId="2D2B2C8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Assess sensitivity of personal information and probability of misuse.</w:t>
            </w:r>
          </w:p>
        </w:tc>
      </w:tr>
      <w:tr w:rsidR="00575A93" w:rsidRPr="001570F6" w14:paraId="2B21B438" w14:textId="77777777">
        <w:trPr>
          <w:jc w:val="center"/>
        </w:trPr>
        <w:tc>
          <w:tcPr>
            <w:tcW w:w="3168" w:type="dxa"/>
          </w:tcPr>
          <w:p w14:paraId="764ABD90"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Who should be notified?</w:t>
            </w:r>
          </w:p>
        </w:tc>
        <w:tc>
          <w:tcPr>
            <w:tcW w:w="7200" w:type="dxa"/>
          </w:tcPr>
          <w:p w14:paraId="2C5745E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Identify regulators, privacy authorities, affected individuals, law enforcement, cyber insurer, vendors, and internal stakeholders.</w:t>
            </w:r>
          </w:p>
        </w:tc>
      </w:tr>
      <w:tr w:rsidR="00575A93" w:rsidRPr="001570F6" w14:paraId="29782CFF" w14:textId="77777777">
        <w:trPr>
          <w:jc w:val="center"/>
        </w:trPr>
        <w:tc>
          <w:tcPr>
            <w:tcW w:w="3168" w:type="dxa"/>
          </w:tcPr>
          <w:p w14:paraId="470B812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What records must be retained?</w:t>
            </w:r>
          </w:p>
        </w:tc>
        <w:tc>
          <w:tcPr>
            <w:tcW w:w="7200" w:type="dxa"/>
          </w:tcPr>
          <w:p w14:paraId="1F660FC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Identify incident records, breach assessment, forensic evidence, decision logs, notifications, and remediation evidence.</w:t>
            </w:r>
          </w:p>
        </w:tc>
      </w:tr>
    </w:tbl>
    <w:p w14:paraId="0262F51A" w14:textId="77777777" w:rsidR="00575A93" w:rsidRPr="001570F6" w:rsidRDefault="00575A93" w:rsidP="001570F6">
      <w:pPr>
        <w:pStyle w:val="Small"/>
        <w:adjustRightInd w:val="0"/>
        <w:snapToGrid w:val="0"/>
        <w:spacing w:before="240" w:after="240" w:line="240" w:lineRule="auto"/>
        <w:rPr>
          <w:rFonts w:cs="Arial"/>
          <w:sz w:val="24"/>
          <w:szCs w:val="24"/>
        </w:rPr>
      </w:pPr>
    </w:p>
    <w:p w14:paraId="28FA129C" w14:textId="77777777" w:rsidR="00575A93" w:rsidRPr="005760E8" w:rsidRDefault="00000000" w:rsidP="005760E8">
      <w:pPr>
        <w:pStyle w:val="Titre1"/>
      </w:pPr>
      <w:r w:rsidRPr="005760E8">
        <w:t>12. References and Standards Alignment Notes</w:t>
      </w:r>
    </w:p>
    <w:p w14:paraId="1CA8BD05" w14:textId="77777777" w:rsidR="00575A93" w:rsidRPr="001570F6" w:rsidRDefault="00000000" w:rsidP="001570F6">
      <w:pPr>
        <w:adjustRightInd w:val="0"/>
        <w:snapToGrid w:val="0"/>
        <w:spacing w:before="240" w:after="240" w:line="240" w:lineRule="auto"/>
        <w:rPr>
          <w:rFonts w:cs="Arial"/>
          <w:sz w:val="24"/>
          <w:szCs w:val="24"/>
        </w:rPr>
      </w:pPr>
      <w:r w:rsidRPr="001570F6">
        <w:rPr>
          <w:rFonts w:cs="Arial"/>
          <w:sz w:val="24"/>
          <w:szCs w:val="24"/>
        </w:rPr>
        <w:t>This teaching case is fictional but aligned with commonly used cybersecurity governance, incident response, audit, and risk management concepts. Instructors may adapt the reference set to match the frameworks taught in their course.</w:t>
      </w:r>
    </w:p>
    <w:p w14:paraId="10683433"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Standards and guidance to consider</w:t>
      </w:r>
    </w:p>
    <w:tbl>
      <w:tblPr>
        <w:tblStyle w:val="Grilledutableau"/>
        <w:tblW w:w="0" w:type="auto"/>
        <w:jc w:val="center"/>
        <w:tblLook w:val="04A0" w:firstRow="1" w:lastRow="0" w:firstColumn="1" w:lastColumn="0" w:noHBand="0" w:noVBand="1"/>
      </w:tblPr>
      <w:tblGrid>
        <w:gridCol w:w="3484"/>
        <w:gridCol w:w="6478"/>
      </w:tblGrid>
      <w:tr w:rsidR="00575A93" w:rsidRPr="001570F6" w14:paraId="703951BF" w14:textId="77777777">
        <w:trPr>
          <w:jc w:val="center"/>
        </w:trPr>
        <w:tc>
          <w:tcPr>
            <w:tcW w:w="3600" w:type="dxa"/>
            <w:shd w:val="clear" w:color="auto" w:fill="1F4E79"/>
          </w:tcPr>
          <w:p w14:paraId="08A731A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Source</w:t>
            </w:r>
          </w:p>
        </w:tc>
        <w:tc>
          <w:tcPr>
            <w:tcW w:w="6768" w:type="dxa"/>
            <w:shd w:val="clear" w:color="auto" w:fill="1F4E79"/>
          </w:tcPr>
          <w:p w14:paraId="112915E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How it can be used in the case</w:t>
            </w:r>
          </w:p>
        </w:tc>
      </w:tr>
      <w:tr w:rsidR="00575A93" w:rsidRPr="001570F6" w14:paraId="32CD2CD8" w14:textId="77777777">
        <w:trPr>
          <w:jc w:val="center"/>
        </w:trPr>
        <w:tc>
          <w:tcPr>
            <w:tcW w:w="3600" w:type="dxa"/>
          </w:tcPr>
          <w:p w14:paraId="6201F3A3"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OSFI Guideline B-13: Technology and Cyber Risk Management</w:t>
            </w:r>
          </w:p>
        </w:tc>
        <w:tc>
          <w:tcPr>
            <w:tcW w:w="6768" w:type="dxa"/>
          </w:tcPr>
          <w:p w14:paraId="7FEC999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for Canadian financial institution technology and cyber risk governance, risk management, and resilience expectations.</w:t>
            </w:r>
          </w:p>
        </w:tc>
      </w:tr>
      <w:tr w:rsidR="00575A93" w:rsidRPr="001570F6" w14:paraId="531D78F4" w14:textId="77777777">
        <w:trPr>
          <w:jc w:val="center"/>
        </w:trPr>
        <w:tc>
          <w:tcPr>
            <w:tcW w:w="3600" w:type="dxa"/>
          </w:tcPr>
          <w:p w14:paraId="043E1F0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OSFI Technology and Cyber Security Incident Reporting</w:t>
            </w:r>
          </w:p>
        </w:tc>
        <w:tc>
          <w:tcPr>
            <w:tcW w:w="6768" w:type="dxa"/>
          </w:tcPr>
          <w:p w14:paraId="5E39311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for the incident notification exercise and the 24-hour initial reporting expectation for federally regulated financial institutions.</w:t>
            </w:r>
          </w:p>
        </w:tc>
      </w:tr>
      <w:tr w:rsidR="00575A93" w:rsidRPr="001570F6" w14:paraId="449C2CB6" w14:textId="77777777">
        <w:trPr>
          <w:jc w:val="center"/>
        </w:trPr>
        <w:tc>
          <w:tcPr>
            <w:tcW w:w="3600" w:type="dxa"/>
          </w:tcPr>
          <w:p w14:paraId="2CB5FF8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Office of the Privacy Commissioner of Canada - PIPEDA breach guidance</w:t>
            </w:r>
          </w:p>
        </w:tc>
        <w:tc>
          <w:tcPr>
            <w:tcW w:w="6768" w:type="dxa"/>
          </w:tcPr>
          <w:p w14:paraId="5D19DF66"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for privacy breach assessment, real risk of significant harm, individual notification, and breach recordkeeping.</w:t>
            </w:r>
          </w:p>
        </w:tc>
      </w:tr>
      <w:tr w:rsidR="00575A93" w:rsidRPr="001570F6" w14:paraId="4EB46386" w14:textId="77777777">
        <w:trPr>
          <w:jc w:val="center"/>
        </w:trPr>
        <w:tc>
          <w:tcPr>
            <w:tcW w:w="3600" w:type="dxa"/>
          </w:tcPr>
          <w:p w14:paraId="366C281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NIST Cybersecurity Framework 2.0</w:t>
            </w:r>
          </w:p>
        </w:tc>
        <w:tc>
          <w:tcPr>
            <w:tcW w:w="6768" w:type="dxa"/>
          </w:tcPr>
          <w:p w14:paraId="6E4B02B9"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to organize governance, identify, protect, detect, respond, and recover outcomes and to communicate cybersecurity risk.</w:t>
            </w:r>
          </w:p>
        </w:tc>
      </w:tr>
      <w:tr w:rsidR="00575A93" w:rsidRPr="001570F6" w14:paraId="187C838F" w14:textId="77777777">
        <w:trPr>
          <w:jc w:val="center"/>
        </w:trPr>
        <w:tc>
          <w:tcPr>
            <w:tcW w:w="3600" w:type="dxa"/>
          </w:tcPr>
          <w:p w14:paraId="795AF04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NIST SP 800-61 Revision 3</w:t>
            </w:r>
          </w:p>
        </w:tc>
        <w:tc>
          <w:tcPr>
            <w:tcW w:w="6768" w:type="dxa"/>
          </w:tcPr>
          <w:p w14:paraId="30C1DE5E"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for incident response recommendations and for integrating incident response into cybersecurity risk management activities.</w:t>
            </w:r>
          </w:p>
        </w:tc>
      </w:tr>
      <w:tr w:rsidR="00575A93" w:rsidRPr="001570F6" w14:paraId="75FBBFBC" w14:textId="77777777">
        <w:trPr>
          <w:jc w:val="center"/>
        </w:trPr>
        <w:tc>
          <w:tcPr>
            <w:tcW w:w="3600" w:type="dxa"/>
          </w:tcPr>
          <w:p w14:paraId="7BCFBC6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COBIT 2019</w:t>
            </w:r>
          </w:p>
        </w:tc>
        <w:tc>
          <w:tcPr>
            <w:tcW w:w="6768" w:type="dxa"/>
          </w:tcPr>
          <w:p w14:paraId="6B7B586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for enterprise governance and management of information and technology, audit planning, and governance objective mapping.</w:t>
            </w:r>
          </w:p>
        </w:tc>
      </w:tr>
      <w:tr w:rsidR="00575A93" w:rsidRPr="001570F6" w14:paraId="7DF131EB" w14:textId="77777777">
        <w:trPr>
          <w:jc w:val="center"/>
        </w:trPr>
        <w:tc>
          <w:tcPr>
            <w:tcW w:w="3600" w:type="dxa"/>
          </w:tcPr>
          <w:p w14:paraId="55F7786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ISO/IEC 27001 and ISO/IEC 27002</w:t>
            </w:r>
          </w:p>
        </w:tc>
        <w:tc>
          <w:tcPr>
            <w:tcW w:w="6768" w:type="dxa"/>
          </w:tcPr>
          <w:p w14:paraId="11D39B1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for information security management system design and control catalogue references.</w:t>
            </w:r>
          </w:p>
        </w:tc>
      </w:tr>
      <w:tr w:rsidR="00575A93" w:rsidRPr="001570F6" w14:paraId="35890690" w14:textId="77777777">
        <w:trPr>
          <w:jc w:val="center"/>
        </w:trPr>
        <w:tc>
          <w:tcPr>
            <w:tcW w:w="3600" w:type="dxa"/>
          </w:tcPr>
          <w:p w14:paraId="2914F48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MITRE ATT&amp;CK</w:t>
            </w:r>
          </w:p>
        </w:tc>
        <w:tc>
          <w:tcPr>
            <w:tcW w:w="6768" w:type="dxa"/>
          </w:tcPr>
          <w:p w14:paraId="23F628D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Use for mapping adversary tactics, techniques, and procedures in the incident response module.</w:t>
            </w:r>
          </w:p>
        </w:tc>
      </w:tr>
    </w:tbl>
    <w:p w14:paraId="64CD88F8" w14:textId="77777777" w:rsidR="00575A93" w:rsidRPr="001570F6" w:rsidRDefault="00575A93" w:rsidP="001570F6">
      <w:pPr>
        <w:pStyle w:val="Small"/>
        <w:adjustRightInd w:val="0"/>
        <w:snapToGrid w:val="0"/>
        <w:spacing w:before="240" w:after="240" w:line="240" w:lineRule="auto"/>
        <w:rPr>
          <w:rFonts w:cs="Arial"/>
          <w:sz w:val="24"/>
          <w:szCs w:val="24"/>
        </w:rPr>
      </w:pPr>
    </w:p>
    <w:p w14:paraId="3C0C76F3" w14:textId="77777777" w:rsidR="00575A93" w:rsidRPr="001570F6" w:rsidRDefault="00000000" w:rsidP="001570F6">
      <w:pPr>
        <w:pStyle w:val="Titre2"/>
        <w:adjustRightInd w:val="0"/>
        <w:snapToGrid w:val="0"/>
        <w:spacing w:before="240" w:after="240" w:line="240" w:lineRule="auto"/>
        <w:rPr>
          <w:rFonts w:ascii="Arial" w:hAnsi="Arial" w:cs="Arial"/>
          <w:sz w:val="24"/>
          <w:szCs w:val="24"/>
        </w:rPr>
      </w:pPr>
      <w:r w:rsidRPr="001570F6">
        <w:rPr>
          <w:rFonts w:ascii="Arial" w:hAnsi="Arial" w:cs="Arial"/>
          <w:sz w:val="24"/>
          <w:szCs w:val="24"/>
        </w:rPr>
        <w:t>Suggested framework mapping for instructors</w:t>
      </w:r>
    </w:p>
    <w:tbl>
      <w:tblPr>
        <w:tblStyle w:val="Grilledutableau"/>
        <w:tblW w:w="0" w:type="auto"/>
        <w:jc w:val="center"/>
        <w:tblLook w:val="04A0" w:firstRow="1" w:lastRow="0" w:firstColumn="1" w:lastColumn="0" w:noHBand="0" w:noVBand="1"/>
      </w:tblPr>
      <w:tblGrid>
        <w:gridCol w:w="3478"/>
        <w:gridCol w:w="6484"/>
      </w:tblGrid>
      <w:tr w:rsidR="00575A93" w:rsidRPr="001570F6" w14:paraId="458D1D13" w14:textId="77777777">
        <w:trPr>
          <w:jc w:val="center"/>
        </w:trPr>
        <w:tc>
          <w:tcPr>
            <w:tcW w:w="3600" w:type="dxa"/>
            <w:shd w:val="clear" w:color="auto" w:fill="1F4E79"/>
          </w:tcPr>
          <w:p w14:paraId="453C0E7C"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Case element</w:t>
            </w:r>
          </w:p>
        </w:tc>
        <w:tc>
          <w:tcPr>
            <w:tcW w:w="6768" w:type="dxa"/>
            <w:shd w:val="clear" w:color="auto" w:fill="1F4E79"/>
          </w:tcPr>
          <w:p w14:paraId="2C048C7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b/>
                <w:color w:val="FFFFFF"/>
                <w:sz w:val="24"/>
                <w:szCs w:val="24"/>
              </w:rPr>
              <w:t>Useful framework mapping</w:t>
            </w:r>
          </w:p>
        </w:tc>
      </w:tr>
      <w:tr w:rsidR="00575A93" w:rsidRPr="001570F6" w14:paraId="54D1194A" w14:textId="77777777">
        <w:trPr>
          <w:jc w:val="center"/>
        </w:trPr>
        <w:tc>
          <w:tcPr>
            <w:tcW w:w="3600" w:type="dxa"/>
          </w:tcPr>
          <w:p w14:paraId="51A1410F"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Board cyber oversight and CISO reporting</w:t>
            </w:r>
          </w:p>
        </w:tc>
        <w:tc>
          <w:tcPr>
            <w:tcW w:w="6768" w:type="dxa"/>
          </w:tcPr>
          <w:p w14:paraId="3249D08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OSFI B-13 governance expectations; NIST CSF 2.0 Govern function; COBIT governance objectives.</w:t>
            </w:r>
          </w:p>
        </w:tc>
      </w:tr>
      <w:tr w:rsidR="00575A93" w:rsidRPr="001570F6" w14:paraId="45005A43" w14:textId="77777777">
        <w:trPr>
          <w:jc w:val="center"/>
        </w:trPr>
        <w:tc>
          <w:tcPr>
            <w:tcW w:w="3600" w:type="dxa"/>
          </w:tcPr>
          <w:p w14:paraId="74C414B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Ransomware incident timeline</w:t>
            </w:r>
          </w:p>
        </w:tc>
        <w:tc>
          <w:tcPr>
            <w:tcW w:w="6768" w:type="dxa"/>
          </w:tcPr>
          <w:p w14:paraId="215B420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NIST SP 800-61r3 incident response considerations; NIST CSF Respond and Recover; MITRE ATT&amp;CK techniques.</w:t>
            </w:r>
          </w:p>
        </w:tc>
      </w:tr>
      <w:tr w:rsidR="00575A93" w:rsidRPr="001570F6" w14:paraId="57AB6290" w14:textId="77777777">
        <w:trPr>
          <w:jc w:val="center"/>
        </w:trPr>
        <w:tc>
          <w:tcPr>
            <w:tcW w:w="3600" w:type="dxa"/>
          </w:tcPr>
          <w:p w14:paraId="399388C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Audit universe and audit plan</w:t>
            </w:r>
          </w:p>
        </w:tc>
        <w:tc>
          <w:tcPr>
            <w:tcW w:w="6768" w:type="dxa"/>
          </w:tcPr>
          <w:p w14:paraId="6BF2AB88"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COBIT 2019 governance/management objectives; IIA risk-based audit planning concepts; ISO/IEC 27002 controls.</w:t>
            </w:r>
          </w:p>
        </w:tc>
      </w:tr>
      <w:tr w:rsidR="00575A93" w:rsidRPr="001570F6" w14:paraId="2F0AFD57" w14:textId="77777777">
        <w:trPr>
          <w:jc w:val="center"/>
        </w:trPr>
        <w:tc>
          <w:tcPr>
            <w:tcW w:w="3600" w:type="dxa"/>
          </w:tcPr>
          <w:p w14:paraId="64F10634"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lastRenderedPageBreak/>
              <w:t>Privacy breach decision</w:t>
            </w:r>
          </w:p>
        </w:tc>
        <w:tc>
          <w:tcPr>
            <w:tcW w:w="6768" w:type="dxa"/>
          </w:tcPr>
          <w:p w14:paraId="0D87D535"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PIPEDA breach reporting, real risk of significant harm, individual notification, and recordkeeping.</w:t>
            </w:r>
          </w:p>
        </w:tc>
      </w:tr>
      <w:tr w:rsidR="00575A93" w:rsidRPr="001570F6" w14:paraId="699C598A" w14:textId="77777777">
        <w:trPr>
          <w:jc w:val="center"/>
        </w:trPr>
        <w:tc>
          <w:tcPr>
            <w:tcW w:w="3600" w:type="dxa"/>
          </w:tcPr>
          <w:p w14:paraId="53A5B717"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Third-party risk scenario</w:t>
            </w:r>
          </w:p>
        </w:tc>
        <w:tc>
          <w:tcPr>
            <w:tcW w:w="6768" w:type="dxa"/>
          </w:tcPr>
          <w:p w14:paraId="176DC7F2"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OSFI B-10 for third-party risk if taught; NIST CSF supply chain risk categories; contract control testing.</w:t>
            </w:r>
          </w:p>
        </w:tc>
      </w:tr>
      <w:tr w:rsidR="00575A93" w:rsidRPr="001570F6" w14:paraId="5DA17635" w14:textId="77777777">
        <w:trPr>
          <w:jc w:val="center"/>
        </w:trPr>
        <w:tc>
          <w:tcPr>
            <w:tcW w:w="3600" w:type="dxa"/>
          </w:tcPr>
          <w:p w14:paraId="2E24000A"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Cloud misconfiguration scenario</w:t>
            </w:r>
          </w:p>
        </w:tc>
        <w:tc>
          <w:tcPr>
            <w:tcW w:w="6768" w:type="dxa"/>
          </w:tcPr>
          <w:p w14:paraId="3622519B" w14:textId="77777777" w:rsidR="00575A93" w:rsidRPr="001570F6" w:rsidRDefault="00000000" w:rsidP="001570F6">
            <w:pPr>
              <w:pStyle w:val="TableText"/>
              <w:adjustRightInd w:val="0"/>
              <w:snapToGrid w:val="0"/>
              <w:spacing w:before="240" w:after="240" w:line="240" w:lineRule="auto"/>
              <w:rPr>
                <w:rFonts w:cs="Arial"/>
                <w:sz w:val="24"/>
                <w:szCs w:val="24"/>
              </w:rPr>
            </w:pPr>
            <w:r w:rsidRPr="001570F6">
              <w:rPr>
                <w:rFonts w:cs="Arial"/>
                <w:sz w:val="24"/>
                <w:szCs w:val="24"/>
              </w:rPr>
              <w:t>NIST CSF 2.0 Identify/Protect/Detect; cloud shared responsibility; CIS cloud benchmarks if used in class.</w:t>
            </w:r>
          </w:p>
        </w:tc>
      </w:tr>
    </w:tbl>
    <w:p w14:paraId="1640B35C" w14:textId="77777777" w:rsidR="00575A93" w:rsidRPr="001570F6" w:rsidRDefault="00575A93" w:rsidP="001570F6">
      <w:pPr>
        <w:pStyle w:val="CaseNote"/>
        <w:adjustRightInd w:val="0"/>
        <w:snapToGrid w:val="0"/>
        <w:spacing w:before="240" w:after="240" w:line="240" w:lineRule="auto"/>
        <w:ind w:left="0"/>
        <w:rPr>
          <w:rFonts w:cs="Arial"/>
          <w:sz w:val="24"/>
          <w:szCs w:val="24"/>
        </w:rPr>
      </w:pPr>
    </w:p>
    <w:p w14:paraId="4B2D9DAC" w14:textId="77777777" w:rsidR="00AB2579" w:rsidRPr="001570F6" w:rsidRDefault="00AB2579" w:rsidP="001570F6">
      <w:pPr>
        <w:pStyle w:val="CaseNote"/>
        <w:adjustRightInd w:val="0"/>
        <w:snapToGrid w:val="0"/>
        <w:spacing w:before="240" w:after="240" w:line="240" w:lineRule="auto"/>
        <w:ind w:left="0"/>
        <w:rPr>
          <w:rFonts w:cs="Arial"/>
          <w:sz w:val="24"/>
          <w:szCs w:val="24"/>
        </w:rPr>
      </w:pPr>
    </w:p>
    <w:p w14:paraId="3006B3BD" w14:textId="77777777" w:rsidR="00AB2579" w:rsidRPr="001570F6" w:rsidRDefault="00AB2579" w:rsidP="001570F6">
      <w:pPr>
        <w:adjustRightInd w:val="0"/>
        <w:snapToGrid w:val="0"/>
        <w:spacing w:before="240" w:after="240" w:line="240" w:lineRule="auto"/>
        <w:rPr>
          <w:rFonts w:cs="Arial"/>
          <w:i/>
          <w:color w:val="555555"/>
          <w:sz w:val="24"/>
          <w:szCs w:val="24"/>
        </w:rPr>
      </w:pPr>
      <w:r w:rsidRPr="001570F6">
        <w:rPr>
          <w:rFonts w:cs="Arial"/>
          <w:sz w:val="24"/>
          <w:szCs w:val="24"/>
        </w:rPr>
        <w:br w:type="page"/>
      </w:r>
    </w:p>
    <w:p>
      <w:r>
        <w:rPr>
          <w:i/>
        </w:rPr>
        <w:t>Student version (CyberRiskGuardian Education Package 1.0). The instructor annexes, sample answers and instructor guidance appendices of this case are distributed in the Educator Edition. Fictional case — CC BY-NC 4.0, © Marc-André Léger.</w:t>
      </w:r>
    </w:p>
    <w:sectPr w:rsidR="00AB2579" w:rsidRPr="001570F6" w:rsidSect="001570F6">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74416F" w14:textId="77777777" w:rsidR="003A4AD2" w:rsidRDefault="003A4AD2">
      <w:pPr>
        <w:spacing w:after="0" w:line="240" w:lineRule="auto"/>
      </w:pPr>
      <w:r>
        <w:separator/>
      </w:r>
    </w:p>
  </w:endnote>
  <w:endnote w:type="continuationSeparator" w:id="0">
    <w:p w14:paraId="31805A65" w14:textId="77777777" w:rsidR="003A4AD2" w:rsidRDefault="003A4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D739B" w14:textId="77777777" w:rsidR="0073692C" w:rsidRDefault="0073692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86B82" w14:textId="77777777" w:rsidR="00575A93" w:rsidRDefault="00000000">
    <w:pPr>
      <w:pStyle w:val="Pieddepage"/>
      <w:jc w:val="center"/>
    </w:pPr>
    <w:r>
      <w:t xml:space="preserve">Page </w:t>
    </w:r>
    <w:r>
      <w:fldChar w:fldCharType="begin"/>
    </w:r>
    <w:r>
      <w:instrText>PAGE</w:instrText>
    </w:r>
    <w:r>
      <w:fldChar w:fldCharType="separate"/>
    </w:r>
    <w:r w:rsidR="00613EE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C3789" w14:textId="77777777" w:rsidR="0073692C" w:rsidRDefault="007369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F54539" w14:textId="77777777" w:rsidR="003A4AD2" w:rsidRDefault="003A4AD2">
      <w:pPr>
        <w:spacing w:after="0" w:line="240" w:lineRule="auto"/>
      </w:pPr>
      <w:r>
        <w:separator/>
      </w:r>
    </w:p>
  </w:footnote>
  <w:footnote w:type="continuationSeparator" w:id="0">
    <w:p w14:paraId="6683643C" w14:textId="77777777" w:rsidR="003A4AD2" w:rsidRDefault="003A4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3CFCF" w14:textId="77777777" w:rsidR="0073692C" w:rsidRDefault="007369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F684B" w14:textId="77777777" w:rsidR="00575A93" w:rsidRDefault="00000000">
    <w:pPr>
      <w:pStyle w:val="Small"/>
      <w:jc w:val="center"/>
    </w:pPr>
    <w:r>
      <w:t>Atlantic Canada Regional Bank (ACRB) Cybersecurity Teaching Case - v2.0c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DE9DE" w14:textId="77777777" w:rsidR="0073692C" w:rsidRDefault="007369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1F07781"/>
    <w:multiLevelType w:val="multilevel"/>
    <w:tmpl w:val="AA82F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C5F3D"/>
    <w:multiLevelType w:val="multilevel"/>
    <w:tmpl w:val="D1F0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461B8C"/>
    <w:multiLevelType w:val="multilevel"/>
    <w:tmpl w:val="F75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3C60E0"/>
    <w:multiLevelType w:val="multilevel"/>
    <w:tmpl w:val="7772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460459"/>
    <w:multiLevelType w:val="hybridMultilevel"/>
    <w:tmpl w:val="DCD2E4E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09F8183D"/>
    <w:multiLevelType w:val="hybridMultilevel"/>
    <w:tmpl w:val="FE3CE2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0B8E0839"/>
    <w:multiLevelType w:val="multilevel"/>
    <w:tmpl w:val="4098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7461AA"/>
    <w:multiLevelType w:val="multilevel"/>
    <w:tmpl w:val="0F0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E30949"/>
    <w:multiLevelType w:val="multilevel"/>
    <w:tmpl w:val="AED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C4764C"/>
    <w:multiLevelType w:val="multilevel"/>
    <w:tmpl w:val="0D1A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573651"/>
    <w:multiLevelType w:val="multilevel"/>
    <w:tmpl w:val="106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FA28F3"/>
    <w:multiLevelType w:val="multilevel"/>
    <w:tmpl w:val="6E56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BE7D51"/>
    <w:multiLevelType w:val="multilevel"/>
    <w:tmpl w:val="E37E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76729A"/>
    <w:multiLevelType w:val="multilevel"/>
    <w:tmpl w:val="9A16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3B1AA7"/>
    <w:multiLevelType w:val="multilevel"/>
    <w:tmpl w:val="6AD8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420718"/>
    <w:multiLevelType w:val="multilevel"/>
    <w:tmpl w:val="92BE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6A58FE"/>
    <w:multiLevelType w:val="multilevel"/>
    <w:tmpl w:val="C778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0D167A"/>
    <w:multiLevelType w:val="hybridMultilevel"/>
    <w:tmpl w:val="F6DC22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1DD8300B"/>
    <w:multiLevelType w:val="multilevel"/>
    <w:tmpl w:val="BA0E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DA4A4B"/>
    <w:multiLevelType w:val="multilevel"/>
    <w:tmpl w:val="D5FA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4B28C7"/>
    <w:multiLevelType w:val="multilevel"/>
    <w:tmpl w:val="09A6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982677"/>
    <w:multiLevelType w:val="multilevel"/>
    <w:tmpl w:val="CD6A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8C6645"/>
    <w:multiLevelType w:val="multilevel"/>
    <w:tmpl w:val="78C8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C528B6"/>
    <w:multiLevelType w:val="multilevel"/>
    <w:tmpl w:val="F152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1315FC"/>
    <w:multiLevelType w:val="multilevel"/>
    <w:tmpl w:val="3CF6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1E39FF"/>
    <w:multiLevelType w:val="multilevel"/>
    <w:tmpl w:val="783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DB5FC4"/>
    <w:multiLevelType w:val="multilevel"/>
    <w:tmpl w:val="38E8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ED1C69"/>
    <w:multiLevelType w:val="multilevel"/>
    <w:tmpl w:val="402E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3B30AA"/>
    <w:multiLevelType w:val="multilevel"/>
    <w:tmpl w:val="4A5E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AE1081"/>
    <w:multiLevelType w:val="multilevel"/>
    <w:tmpl w:val="AD74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230DC0"/>
    <w:multiLevelType w:val="hybridMultilevel"/>
    <w:tmpl w:val="62C8EE4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33575B52"/>
    <w:multiLevelType w:val="multilevel"/>
    <w:tmpl w:val="3C74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8E4585"/>
    <w:multiLevelType w:val="multilevel"/>
    <w:tmpl w:val="7BE6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3E18E4"/>
    <w:multiLevelType w:val="multilevel"/>
    <w:tmpl w:val="21DA1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881C01"/>
    <w:multiLevelType w:val="multilevel"/>
    <w:tmpl w:val="2D4E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E633DC"/>
    <w:multiLevelType w:val="multilevel"/>
    <w:tmpl w:val="5B902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A37207"/>
    <w:multiLevelType w:val="multilevel"/>
    <w:tmpl w:val="996E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9F1F4D"/>
    <w:multiLevelType w:val="hybridMultilevel"/>
    <w:tmpl w:val="0D24813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4" w15:restartNumberingAfterBreak="0">
    <w:nsid w:val="41D95433"/>
    <w:multiLevelType w:val="multilevel"/>
    <w:tmpl w:val="C9F6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A0243B"/>
    <w:multiLevelType w:val="multilevel"/>
    <w:tmpl w:val="2FE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390A55"/>
    <w:multiLevelType w:val="multilevel"/>
    <w:tmpl w:val="059A5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6F0ACD"/>
    <w:multiLevelType w:val="multilevel"/>
    <w:tmpl w:val="10BA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157A18"/>
    <w:multiLevelType w:val="hybridMultilevel"/>
    <w:tmpl w:val="751C50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45C12F10"/>
    <w:multiLevelType w:val="multilevel"/>
    <w:tmpl w:val="4BE2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3552FA"/>
    <w:multiLevelType w:val="multilevel"/>
    <w:tmpl w:val="173C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987967"/>
    <w:multiLevelType w:val="multilevel"/>
    <w:tmpl w:val="603E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5C2D76"/>
    <w:multiLevelType w:val="hybridMultilevel"/>
    <w:tmpl w:val="90E673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3" w15:restartNumberingAfterBreak="0">
    <w:nsid w:val="55EC77CC"/>
    <w:multiLevelType w:val="multilevel"/>
    <w:tmpl w:val="57C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9771B5"/>
    <w:multiLevelType w:val="multilevel"/>
    <w:tmpl w:val="18EC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9A438CF"/>
    <w:multiLevelType w:val="multilevel"/>
    <w:tmpl w:val="5300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4D176E"/>
    <w:multiLevelType w:val="multilevel"/>
    <w:tmpl w:val="20F8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941A6A"/>
    <w:multiLevelType w:val="hybridMultilevel"/>
    <w:tmpl w:val="1722BE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8" w15:restartNumberingAfterBreak="0">
    <w:nsid w:val="5B465094"/>
    <w:multiLevelType w:val="multilevel"/>
    <w:tmpl w:val="21F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E21F4A"/>
    <w:multiLevelType w:val="multilevel"/>
    <w:tmpl w:val="21AA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4D7363"/>
    <w:multiLevelType w:val="multilevel"/>
    <w:tmpl w:val="C1EE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5E115B"/>
    <w:multiLevelType w:val="multilevel"/>
    <w:tmpl w:val="2488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80657E"/>
    <w:multiLevelType w:val="multilevel"/>
    <w:tmpl w:val="CA6C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AF02C6"/>
    <w:multiLevelType w:val="multilevel"/>
    <w:tmpl w:val="2EC2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D04CF3"/>
    <w:multiLevelType w:val="multilevel"/>
    <w:tmpl w:val="9490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174EBE"/>
    <w:multiLevelType w:val="multilevel"/>
    <w:tmpl w:val="27DC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99074A3"/>
    <w:multiLevelType w:val="multilevel"/>
    <w:tmpl w:val="E6CC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CD2457"/>
    <w:multiLevelType w:val="multilevel"/>
    <w:tmpl w:val="A626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763DEC"/>
    <w:multiLevelType w:val="multilevel"/>
    <w:tmpl w:val="B24C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631587"/>
    <w:multiLevelType w:val="multilevel"/>
    <w:tmpl w:val="115A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DE0B46"/>
    <w:multiLevelType w:val="multilevel"/>
    <w:tmpl w:val="6B38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0E583B"/>
    <w:multiLevelType w:val="multilevel"/>
    <w:tmpl w:val="489C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095067"/>
    <w:multiLevelType w:val="multilevel"/>
    <w:tmpl w:val="7B14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984EFD"/>
    <w:multiLevelType w:val="hybridMultilevel"/>
    <w:tmpl w:val="2946E7E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4" w15:restartNumberingAfterBreak="0">
    <w:nsid w:val="7FAA75E7"/>
    <w:multiLevelType w:val="multilevel"/>
    <w:tmpl w:val="BCAE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729546">
    <w:abstractNumId w:val="5"/>
  </w:num>
  <w:num w:numId="2" w16cid:durableId="808396570">
    <w:abstractNumId w:val="3"/>
  </w:num>
  <w:num w:numId="3" w16cid:durableId="56629630">
    <w:abstractNumId w:val="2"/>
  </w:num>
  <w:num w:numId="4" w16cid:durableId="2063480725">
    <w:abstractNumId w:val="4"/>
  </w:num>
  <w:num w:numId="5" w16cid:durableId="1151213010">
    <w:abstractNumId w:val="1"/>
  </w:num>
  <w:num w:numId="6" w16cid:durableId="977302955">
    <w:abstractNumId w:val="0"/>
  </w:num>
  <w:num w:numId="7" w16cid:durableId="2085488604">
    <w:abstractNumId w:val="74"/>
  </w:num>
  <w:num w:numId="8" w16cid:durableId="301470870">
    <w:abstractNumId w:val="46"/>
  </w:num>
  <w:num w:numId="9" w16cid:durableId="458838792">
    <w:abstractNumId w:val="7"/>
  </w:num>
  <w:num w:numId="10" w16cid:durableId="1195848315">
    <w:abstractNumId w:val="28"/>
  </w:num>
  <w:num w:numId="11" w16cid:durableId="746880287">
    <w:abstractNumId w:val="55"/>
  </w:num>
  <w:num w:numId="12" w16cid:durableId="1824271390">
    <w:abstractNumId w:val="63"/>
  </w:num>
  <w:num w:numId="13" w16cid:durableId="1873348202">
    <w:abstractNumId w:val="41"/>
  </w:num>
  <w:num w:numId="14" w16cid:durableId="610940347">
    <w:abstractNumId w:val="66"/>
  </w:num>
  <w:num w:numId="15" w16cid:durableId="600332115">
    <w:abstractNumId w:val="30"/>
  </w:num>
  <w:num w:numId="16" w16cid:durableId="868951649">
    <w:abstractNumId w:val="47"/>
  </w:num>
  <w:num w:numId="17" w16cid:durableId="1859537669">
    <w:abstractNumId w:val="22"/>
  </w:num>
  <w:num w:numId="18" w16cid:durableId="1592078897">
    <w:abstractNumId w:val="35"/>
  </w:num>
  <w:num w:numId="19" w16cid:durableId="575625334">
    <w:abstractNumId w:val="9"/>
  </w:num>
  <w:num w:numId="20" w16cid:durableId="825516596">
    <w:abstractNumId w:val="62"/>
  </w:num>
  <w:num w:numId="21" w16cid:durableId="2071685810">
    <w:abstractNumId w:val="38"/>
  </w:num>
  <w:num w:numId="22" w16cid:durableId="111169121">
    <w:abstractNumId w:val="60"/>
  </w:num>
  <w:num w:numId="23" w16cid:durableId="304552100">
    <w:abstractNumId w:val="49"/>
  </w:num>
  <w:num w:numId="24" w16cid:durableId="961694308">
    <w:abstractNumId w:val="68"/>
  </w:num>
  <w:num w:numId="25" w16cid:durableId="557594240">
    <w:abstractNumId w:val="29"/>
  </w:num>
  <w:num w:numId="26" w16cid:durableId="1812820795">
    <w:abstractNumId w:val="67"/>
  </w:num>
  <w:num w:numId="27" w16cid:durableId="1561944357">
    <w:abstractNumId w:val="27"/>
  </w:num>
  <w:num w:numId="28" w16cid:durableId="1804150872">
    <w:abstractNumId w:val="24"/>
  </w:num>
  <w:num w:numId="29" w16cid:durableId="510686979">
    <w:abstractNumId w:val="69"/>
  </w:num>
  <w:num w:numId="30" w16cid:durableId="1249533322">
    <w:abstractNumId w:val="64"/>
  </w:num>
  <w:num w:numId="31" w16cid:durableId="973371333">
    <w:abstractNumId w:val="10"/>
  </w:num>
  <w:num w:numId="32" w16cid:durableId="255142094">
    <w:abstractNumId w:val="36"/>
  </w:num>
  <w:num w:numId="33" w16cid:durableId="904606567">
    <w:abstractNumId w:val="43"/>
  </w:num>
  <w:num w:numId="34" w16cid:durableId="610481687">
    <w:abstractNumId w:val="52"/>
  </w:num>
  <w:num w:numId="35" w16cid:durableId="1600066477">
    <w:abstractNumId w:val="11"/>
  </w:num>
  <w:num w:numId="36" w16cid:durableId="771128340">
    <w:abstractNumId w:val="42"/>
  </w:num>
  <w:num w:numId="37" w16cid:durableId="1178890780">
    <w:abstractNumId w:val="56"/>
  </w:num>
  <w:num w:numId="38" w16cid:durableId="405537466">
    <w:abstractNumId w:val="70"/>
  </w:num>
  <w:num w:numId="39" w16cid:durableId="1761440450">
    <w:abstractNumId w:val="71"/>
  </w:num>
  <w:num w:numId="40" w16cid:durableId="2139060263">
    <w:abstractNumId w:val="48"/>
  </w:num>
  <w:num w:numId="41" w16cid:durableId="1113479446">
    <w:abstractNumId w:val="6"/>
  </w:num>
  <w:num w:numId="42" w16cid:durableId="2132508375">
    <w:abstractNumId w:val="61"/>
  </w:num>
  <w:num w:numId="43" w16cid:durableId="1768577241">
    <w:abstractNumId w:val="44"/>
  </w:num>
  <w:num w:numId="44" w16cid:durableId="1506088413">
    <w:abstractNumId w:val="26"/>
  </w:num>
  <w:num w:numId="45" w16cid:durableId="490562645">
    <w:abstractNumId w:val="57"/>
  </w:num>
  <w:num w:numId="46" w16cid:durableId="145778615">
    <w:abstractNumId w:val="32"/>
  </w:num>
  <w:num w:numId="47" w16cid:durableId="1767845427">
    <w:abstractNumId w:val="37"/>
  </w:num>
  <w:num w:numId="48" w16cid:durableId="550962019">
    <w:abstractNumId w:val="25"/>
  </w:num>
  <w:num w:numId="49" w16cid:durableId="33044977">
    <w:abstractNumId w:val="59"/>
  </w:num>
  <w:num w:numId="50" w16cid:durableId="275410091">
    <w:abstractNumId w:val="23"/>
  </w:num>
  <w:num w:numId="51" w16cid:durableId="128860731">
    <w:abstractNumId w:val="39"/>
  </w:num>
  <w:num w:numId="52" w16cid:durableId="1566407391">
    <w:abstractNumId w:val="20"/>
  </w:num>
  <w:num w:numId="53" w16cid:durableId="969629707">
    <w:abstractNumId w:val="72"/>
  </w:num>
  <w:num w:numId="54" w16cid:durableId="1265965488">
    <w:abstractNumId w:val="18"/>
  </w:num>
  <w:num w:numId="55" w16cid:durableId="1647710221">
    <w:abstractNumId w:val="73"/>
  </w:num>
  <w:num w:numId="56" w16cid:durableId="946305310">
    <w:abstractNumId w:val="65"/>
  </w:num>
  <w:num w:numId="57" w16cid:durableId="149055925">
    <w:abstractNumId w:val="53"/>
  </w:num>
  <w:num w:numId="58" w16cid:durableId="1578595520">
    <w:abstractNumId w:val="13"/>
  </w:num>
  <w:num w:numId="59" w16cid:durableId="2089687162">
    <w:abstractNumId w:val="54"/>
  </w:num>
  <w:num w:numId="60" w16cid:durableId="2000380601">
    <w:abstractNumId w:val="31"/>
  </w:num>
  <w:num w:numId="61" w16cid:durableId="519509370">
    <w:abstractNumId w:val="45"/>
  </w:num>
  <w:num w:numId="62" w16cid:durableId="1037314806">
    <w:abstractNumId w:val="19"/>
  </w:num>
  <w:num w:numId="63" w16cid:durableId="1475559857">
    <w:abstractNumId w:val="58"/>
  </w:num>
  <w:num w:numId="64" w16cid:durableId="239994165">
    <w:abstractNumId w:val="16"/>
  </w:num>
  <w:num w:numId="65" w16cid:durableId="609775231">
    <w:abstractNumId w:val="15"/>
  </w:num>
  <w:num w:numId="66" w16cid:durableId="1237351634">
    <w:abstractNumId w:val="50"/>
  </w:num>
  <w:num w:numId="67" w16cid:durableId="1783766976">
    <w:abstractNumId w:val="8"/>
  </w:num>
  <w:num w:numId="68" w16cid:durableId="983657950">
    <w:abstractNumId w:val="17"/>
  </w:num>
  <w:num w:numId="69" w16cid:durableId="546066065">
    <w:abstractNumId w:val="21"/>
  </w:num>
  <w:num w:numId="70" w16cid:durableId="1263414065">
    <w:abstractNumId w:val="12"/>
  </w:num>
  <w:num w:numId="71" w16cid:durableId="370690260">
    <w:abstractNumId w:val="40"/>
  </w:num>
  <w:num w:numId="72" w16cid:durableId="2139448758">
    <w:abstractNumId w:val="33"/>
  </w:num>
  <w:num w:numId="73" w16cid:durableId="360981920">
    <w:abstractNumId w:val="34"/>
  </w:num>
  <w:num w:numId="74" w16cid:durableId="1314482890">
    <w:abstractNumId w:val="14"/>
  </w:num>
  <w:num w:numId="75" w16cid:durableId="1070730507">
    <w:abstractNumId w:val="51"/>
  </w:num>
  <w:numIdMacAtCleanup w:val="7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7D"/>
    <w:rsid w:val="00034616"/>
    <w:rsid w:val="000435A0"/>
    <w:rsid w:val="00052718"/>
    <w:rsid w:val="0006063C"/>
    <w:rsid w:val="000947AC"/>
    <w:rsid w:val="00136824"/>
    <w:rsid w:val="0015074B"/>
    <w:rsid w:val="001570F6"/>
    <w:rsid w:val="0029639D"/>
    <w:rsid w:val="002A637D"/>
    <w:rsid w:val="00302384"/>
    <w:rsid w:val="00326F90"/>
    <w:rsid w:val="00335AD5"/>
    <w:rsid w:val="003A4AD2"/>
    <w:rsid w:val="003F54C7"/>
    <w:rsid w:val="00575A93"/>
    <w:rsid w:val="005760E8"/>
    <w:rsid w:val="00613EEC"/>
    <w:rsid w:val="006A27A5"/>
    <w:rsid w:val="007322F5"/>
    <w:rsid w:val="0073692C"/>
    <w:rsid w:val="009A2BEF"/>
    <w:rsid w:val="00AA1D8D"/>
    <w:rsid w:val="00AB2579"/>
    <w:rsid w:val="00AF47A7"/>
    <w:rsid w:val="00B178C8"/>
    <w:rsid w:val="00B33BFD"/>
    <w:rsid w:val="00B47730"/>
    <w:rsid w:val="00C47A61"/>
    <w:rsid w:val="00CB0664"/>
    <w:rsid w:val="00DB5ABF"/>
    <w:rsid w:val="00DF7227"/>
    <w:rsid w:val="00EC7D1E"/>
    <w:rsid w:val="00F07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315A8"/>
  <w14:defaultImageDpi w14:val="300"/>
  <w15:docId w15:val="{D098092F-EAB1-E444-BDAC-C29ED75EF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5A5A5A"/>
      <w:spacing w:val="15"/>
      <w:sz w:val="26"/>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Note">
    <w:name w:val="Case Note"/>
    <w:basedOn w:val="Normal"/>
    <w:pPr>
      <w:spacing w:before="60" w:after="160"/>
      <w:ind w:left="216" w:right="216"/>
    </w:pPr>
    <w:rPr>
      <w:i/>
      <w:color w:val="555555"/>
      <w:sz w:val="18"/>
    </w:rPr>
  </w:style>
  <w:style w:type="paragraph" w:customStyle="1" w:styleId="Small">
    <w:name w:val="Small"/>
    <w:basedOn w:val="Normal"/>
    <w:rPr>
      <w:sz w:val="17"/>
    </w:rPr>
  </w:style>
  <w:style w:type="paragraph" w:customStyle="1" w:styleId="TableText">
    <w:name w:val="Table Text"/>
    <w:basedOn w:val="Normal"/>
    <w:pPr>
      <w:spacing w:after="40"/>
    </w:pPr>
    <w:rPr>
      <w:sz w:val="17"/>
    </w:rPr>
  </w:style>
  <w:style w:type="paragraph" w:customStyle="1" w:styleId="pb-2">
    <w:name w:val="pb-2"/>
    <w:basedOn w:val="Normal"/>
    <w:rsid w:val="00AB2579"/>
    <w:pPr>
      <w:spacing w:before="100" w:beforeAutospacing="1" w:after="100" w:afterAutospacing="1" w:line="240" w:lineRule="auto"/>
    </w:pPr>
    <w:rPr>
      <w:rFonts w:ascii="Times New Roman" w:eastAsia="Times New Roman" w:hAnsi="Times New Roman" w:cs="Times New Roman"/>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68</Pages>
  <Words>13805</Words>
  <Characters>75930</Characters>
  <Application>Microsoft Office Word</Application>
  <DocSecurity>0</DocSecurity>
  <Lines>632</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 Canada Regional Bank (ACRB) Integrated Cybersecurity Teaching Case - Revised Draft v2.0</dc:title>
  <dc:subject>Cybersecurity teaching case for incident response, audit planning, and risk management</dc:subject>
  <dc:creator>Marc-Andre Leger, PhD</dc:creator>
  <cp:keywords>cybersecurity, incident response, audit planning, risk management, banking, ACRB</cp:keywords>
  <dc:description>Generated as an editable teaching draft.</dc:description>
  <cp:lastModifiedBy>Marc-Andre Leger</cp:lastModifiedBy>
  <cp:revision>11</cp:revision>
  <dcterms:created xsi:type="dcterms:W3CDTF">2026-06-06T14:55:00Z</dcterms:created>
  <dcterms:modified xsi:type="dcterms:W3CDTF">2026-06-18T09:13:00Z</dcterms:modified>
  <cp:category/>
</cp:coreProperties>
</file>