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Canadian National Insurance Company (CNIC)</w:t>
        <w:br/>
      </w:r>
      <w:r>
        <w:t>Integrated Cybersecurity Teaching Case</w:t>
      </w:r>
    </w:p>
    <w:p>
      <w:pPr>
        <w:pStyle w:val="Subtitle"/>
        <w:jc w:val="center"/>
      </w:pPr>
      <w:r>
        <w:t>Incident Response | Audit Planning | Cybersecurity Risk Management</w:t>
      </w:r>
    </w:p>
    <w:p>
      <w:pPr>
        <w:jc w:val="center"/>
      </w:pPr>
      <w:r>
        <w:rPr>
          <w:sz w:val="22"/>
        </w:rPr>
        <w:t>Teaching text - Version v2.0c</w:t>
        <w:br/>
        <w:t>Prepared for use in cybersecurity, audit, governance, privacy, and risk management courses</w:t>
        <w:br/>
        <w:t>By Marc-André Léger, PhD</w:t>
      </w:r>
    </w:p>
    <w:p/>
    <w:p>
      <w:pPr>
        <w:pStyle w:val="IntenseQuote"/>
      </w:pPr>
      <w:r>
        <w:rPr>
          <w:b/>
        </w:rPr>
        <w:t xml:space="preserve">Instructor use note. </w:t>
      </w:r>
      <w:r>
        <w:t>This document is designed as an editable case package. The instructor may distribute the full document or separate the student narrative, evidence appendices, and instructor guidance into different files. The case is fictional. It is intentionally realistic but not intended to represent any actual insurer, regulator, vendor, employee, customer, or cyber incident.</w:t>
      </w:r>
    </w:p>
    <w:p>
      <w:pPr>
        <w:pStyle w:val="IntenseQuote"/>
      </w:pPr>
      <w:r>
        <w:rPr>
          <w:b/>
        </w:rPr>
        <w:t xml:space="preserve">Version note. </w:t>
      </w:r>
      <w:r>
        <w:t>This revision adapts the CNIC case for three connected learning objectives: managing a live cyber incident, preparing a risk-based cybersecurity audit plan, and conducting a scenario-based cybersecurity risk assessment that leads to a 2025-2030 action plan.</w:t>
      </w:r>
    </w:p>
    <w:p>
      <w:r>
        <w:br w:type="page"/>
      </w:r>
    </w:p>
    <w:p>
      <w:pPr>
        <w:pStyle w:val="Heading1"/>
      </w:pPr>
      <w:r>
        <w:t>Contents</w:t>
      </w:r>
    </w:p>
    <w:p>
      <w:r>
        <w:t>1. How to Use This Case</w:t>
      </w:r>
    </w:p>
    <w:p>
      <w:r>
        <w:t>2. Student Case Narrative</w:t>
      </w:r>
    </w:p>
    <w:p>
      <w:r>
        <w:t>3. CNIC Background and Business Profile</w:t>
      </w:r>
    </w:p>
    <w:p>
      <w:r>
        <w:t>4. Governance, Technology, and Cybersecurity Operating Model</w:t>
      </w:r>
    </w:p>
    <w:p>
      <w:r>
        <w:t>5. Regulatory and Compliance Teaching Assumptions</w:t>
      </w:r>
    </w:p>
    <w:p>
      <w:r>
        <w:t>6. Module A: Incident Response Exercise</w:t>
      </w:r>
    </w:p>
    <w:p>
      <w:r>
        <w:t>7. Module B: Cybersecurity Audit Planning Exercise</w:t>
      </w:r>
    </w:p>
    <w:p>
      <w:r>
        <w:t>8. Module C: Scenario-Based Risk Management Exercise</w:t>
      </w:r>
    </w:p>
    <w:p>
      <w:r>
        <w:t>9. Scenario Library</w:t>
      </w:r>
    </w:p>
    <w:p>
      <w:r>
        <w:t>10. Assignment Options and Suggested Deliverables</w:t>
      </w:r>
    </w:p>
    <w:p>
      <w:r>
        <w:t>11. Appendices: Evidence, Templates, and Instructor Notes</w:t>
      </w:r>
    </w:p>
    <w:p>
      <w:r>
        <w:t>12. References and Standards Alignment Notes</w:t>
      </w:r>
    </w:p>
    <w:p>
      <w:r>
        <w:br w:type="page"/>
      </w:r>
    </w:p>
    <w:p>
      <w:pPr>
        <w:pStyle w:val="Heading1"/>
      </w:pPr>
      <w:r>
        <w:t>1. How to Use This Case</w:t>
      </w:r>
    </w:p>
    <w:p>
      <w:r>
        <w:t>The Canadian National Insurance Company (CNIC) is a fictional large national insurance provider headquartered in Montreal. It serves more than 3 million clients across Canada and offers life, auto, health, home, and business insurance. The company relies on hybrid cloud infrastructure, SAP ERP, AI-driven customer relationship management, AI-enabled claims processing, mobile and web portals, and extensive third-party service relationships.</w:t>
      </w:r>
    </w:p>
    <w:p>
      <w:r>
        <w:t>The case is designed to support three related but distinct forms of analysis. Students can first manage a cyber incident as if they were members of CNIC’s cyber crisis team. They can then prepare an internal audit plan to determine whether cybersecurity controls, governance arrangements, and remediation activities are adequate. Finally, they can conduct a structured scenario-based cybersecurity risk assessment and propose a prioritized 2025-2030 cybersecurity roadmap.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D9EAF7"/>
          </w:tcPr>
          <w:p>
            <w:r>
              <w:rPr>
                <w:b/>
                <w:sz w:val="16"/>
              </w:rPr>
              <w:t>Teaching use</w:t>
            </w:r>
          </w:p>
        </w:tc>
        <w:tc>
          <w:tcPr>
            <w:tcW w:type="dxa" w:w="2880"/>
            <w:shd w:fill="D9EAF7"/>
          </w:tcPr>
          <w:p>
            <w:r>
              <w:rPr>
                <w:b/>
                <w:sz w:val="16"/>
              </w:rPr>
              <w:t>Primary student role</w:t>
            </w:r>
          </w:p>
        </w:tc>
        <w:tc>
          <w:tcPr>
            <w:tcW w:type="dxa" w:w="5184"/>
            <w:shd w:fill="D9EAF7"/>
          </w:tcPr>
          <w:p>
            <w:r>
              <w:rPr>
                <w:b/>
                <w:sz w:val="16"/>
              </w:rPr>
              <w:t>Typical output</w:t>
            </w:r>
          </w:p>
        </w:tc>
      </w:tr>
      <w:tr>
        <w:tc>
          <w:tcPr>
            <w:tcW w:type="dxa" w:w="1872"/>
            <w:vAlign w:val="top"/>
          </w:tcPr>
          <w:p>
            <w:r>
              <w:rPr>
                <w:sz w:val="16"/>
              </w:rPr>
              <w:t>Incident response</w:t>
            </w:r>
          </w:p>
        </w:tc>
        <w:tc>
          <w:tcPr>
            <w:tcW w:type="dxa" w:w="2880"/>
            <w:vAlign w:val="top"/>
          </w:tcPr>
          <w:p>
            <w:r>
              <w:rPr>
                <w:sz w:val="16"/>
              </w:rPr>
              <w:t>Cyber incident response analyst or crisis team member</w:t>
            </w:r>
          </w:p>
        </w:tc>
        <w:tc>
          <w:tcPr>
            <w:tcW w:type="dxa" w:w="5184"/>
            <w:vAlign w:val="top"/>
          </w:tcPr>
          <w:p>
            <w:r>
              <w:rPr>
                <w:sz w:val="16"/>
              </w:rPr>
              <w:t>Incident classification, first 24-hour situation report, containment plan, notification plan, executive briefing, lessons-learned report</w:t>
            </w:r>
          </w:p>
        </w:tc>
      </w:tr>
      <w:tr>
        <w:tc>
          <w:tcPr>
            <w:tcW w:type="dxa" w:w="1872"/>
            <w:vAlign w:val="top"/>
          </w:tcPr>
          <w:p>
            <w:r>
              <w:rPr>
                <w:sz w:val="16"/>
              </w:rPr>
              <w:t>Audit planning</w:t>
            </w:r>
          </w:p>
        </w:tc>
        <w:tc>
          <w:tcPr>
            <w:tcW w:type="dxa" w:w="2880"/>
            <w:vAlign w:val="top"/>
          </w:tcPr>
          <w:p>
            <w:r>
              <w:rPr>
                <w:sz w:val="16"/>
              </w:rPr>
              <w:t>Internal IT auditor or cybersecurity audit manager</w:t>
            </w:r>
          </w:p>
        </w:tc>
        <w:tc>
          <w:tcPr>
            <w:tcW w:type="dxa" w:w="5184"/>
            <w:vAlign w:val="top"/>
          </w:tcPr>
          <w:p>
            <w:r>
              <w:rPr>
                <w:sz w:val="16"/>
              </w:rPr>
              <w:t>Audit universe, risk-based annual audit plan, audit objectives, control testing approach, audit committee memo</w:t>
            </w:r>
          </w:p>
        </w:tc>
      </w:tr>
      <w:tr>
        <w:tc>
          <w:tcPr>
            <w:tcW w:type="dxa" w:w="1872"/>
            <w:vAlign w:val="top"/>
          </w:tcPr>
          <w:p>
            <w:r>
              <w:rPr>
                <w:sz w:val="16"/>
              </w:rPr>
              <w:t>Risk management</w:t>
            </w:r>
          </w:p>
        </w:tc>
        <w:tc>
          <w:tcPr>
            <w:tcW w:type="dxa" w:w="2880"/>
            <w:vAlign w:val="top"/>
          </w:tcPr>
          <w:p>
            <w:r>
              <w:rPr>
                <w:sz w:val="16"/>
              </w:rPr>
              <w:t>Cybersecurity risk analyst in the CISO organization</w:t>
            </w:r>
          </w:p>
        </w:tc>
        <w:tc>
          <w:tcPr>
            <w:tcW w:type="dxa" w:w="5184"/>
            <w:vAlign w:val="top"/>
          </w:tcPr>
          <w:p>
            <w:r>
              <w:rPr>
                <w:sz w:val="16"/>
              </w:rPr>
              <w:t>Risk register, scenario analysis, risk treatment plan, budgeted 2025-2030 roadmap, executive and Board risk acceptance recommendation</w:t>
            </w:r>
          </w:p>
        </w:tc>
      </w:tr>
    </w:tbl>
    <w:p/>
    <w:p>
      <w:r>
        <w:t>After completing the case, students should be able to explain how an insurance-sector cyber incident moves from technical detection to enterprise crisis management; identify incident response priorities under uncertainty; distinguish technical vulnerability severity from business risk; prepare a risk-based audit plan; assess governance, controls, and remediation; develop a cybersecurity risk register; justify risk treatment choices in relation to risk appetite; and communicate cybersecurity risk to senior executives and the Board.</w:t>
      </w:r>
    </w:p>
    <w:p>
      <w:pPr>
        <w:pStyle w:val="IntenseQuote"/>
      </w:pPr>
      <w:r>
        <w:rPr>
          <w:b/>
        </w:rPr>
        <w:t xml:space="preserve">Teaching design. </w:t>
      </w:r>
      <w:r>
        <w:t>The case intentionally requires judgment. Students should not expect a single correct answer. Strong submissions should be evidence-based, internally consistent, transparent about uncertainty, and aligned with CNIC’s business context, regulatory exposure, resource constraints, customer trust obligations, and risk tolerance.</w:t>
      </w:r>
    </w:p>
    <w:p>
      <w:pPr>
        <w:pStyle w:val="Heading1"/>
      </w:pPr>
      <w:r>
        <w:t>2. Student Case Narrative</w:t>
      </w:r>
    </w:p>
    <w:p>
      <w:r>
        <w:t>You are a full-time employee of CNIC working with the cybersecurity, risk, audit, or crisis-management function. Depending on the assignment, your role may be an incident response analyst, an internal audit liaison, a cybersecurity risk analyst, or an advisor to the CISO. CNIC is expanding its digital insurance business and must protect highly sensitive personal, medical, claims, and financial information while continuing to innovate through AI and cloud-enabled services.</w:t>
      </w:r>
    </w:p>
    <w:p>
      <w:r>
        <w:t>The Board has asked management to prepare a multi-year cybersecurity action plan for the 2025-2030 planning horizon. The plan must be practical, risk-informed, and compatible with CNIC’s business strategy. Students are expected to identify information gaps, make reasonable assumptions, document those assumptions, and explain how additional evidence would change their conclusions.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D9EAF7"/>
          </w:tcPr>
          <w:p>
            <w:r>
              <w:rPr>
                <w:b/>
                <w:sz w:val="16"/>
              </w:rPr>
              <w:t>Key decision question</w:t>
            </w:r>
          </w:p>
        </w:tc>
        <w:tc>
          <w:tcPr>
            <w:tcW w:type="dxa" w:w="6768"/>
            <w:shd w:fill="D9EAF7"/>
          </w:tcPr>
          <w:p>
            <w:r>
              <w:rPr>
                <w:b/>
                <w:sz w:val="16"/>
              </w:rPr>
              <w:t>Why it matters</w:t>
            </w:r>
          </w:p>
        </w:tc>
      </w:tr>
      <w:tr>
        <w:tc>
          <w:tcPr>
            <w:tcW w:type="dxa" w:w="3456"/>
            <w:vAlign w:val="top"/>
          </w:tcPr>
          <w:p>
            <w:r>
              <w:rPr>
                <w:sz w:val="16"/>
              </w:rPr>
              <w:t>When should CNIC declare a major cyber incident?</w:t>
            </w:r>
          </w:p>
        </w:tc>
        <w:tc>
          <w:tcPr>
            <w:tcW w:type="dxa" w:w="6768"/>
            <w:vAlign w:val="top"/>
          </w:tcPr>
          <w:p>
            <w:r>
              <w:rPr>
                <w:sz w:val="16"/>
              </w:rPr>
              <w:t>Declaring too late may worsen harm and delay required notifications; declaring too early may cause operational disruption and public pressure before facts are known.</w:t>
            </w:r>
          </w:p>
        </w:tc>
      </w:tr>
      <w:tr>
        <w:tc>
          <w:tcPr>
            <w:tcW w:type="dxa" w:w="3456"/>
            <w:vAlign w:val="top"/>
          </w:tcPr>
          <w:p>
            <w:r>
              <w:rPr>
                <w:sz w:val="16"/>
              </w:rPr>
              <w:t>Should customer portals, claims systems, or data centers be isolated?</w:t>
            </w:r>
          </w:p>
        </w:tc>
        <w:tc>
          <w:tcPr>
            <w:tcW w:type="dxa" w:w="6768"/>
            <w:vAlign w:val="top"/>
          </w:tcPr>
          <w:p>
            <w:r>
              <w:rPr>
                <w:sz w:val="16"/>
              </w:rPr>
              <w:t>Containment can protect data and preserve evidence, but may interrupt customer access, claims processing, call-center operations, and broker or partner workflows.</w:t>
            </w:r>
          </w:p>
        </w:tc>
      </w:tr>
      <w:tr>
        <w:tc>
          <w:tcPr>
            <w:tcW w:type="dxa" w:w="3456"/>
            <w:vAlign w:val="top"/>
          </w:tcPr>
          <w:p>
            <w:r>
              <w:rPr>
                <w:sz w:val="16"/>
              </w:rPr>
              <w:t>How should CNIC communicate with clients, regulators, vendors, employees, and the media?</w:t>
            </w:r>
          </w:p>
        </w:tc>
        <w:tc>
          <w:tcPr>
            <w:tcW w:type="dxa" w:w="6768"/>
            <w:vAlign w:val="top"/>
          </w:tcPr>
          <w:p>
            <w:r>
              <w:rPr>
                <w:sz w:val="16"/>
              </w:rPr>
              <w:t>Insurance customers may be affected by exposure of personal, medical, financial, and claims information. Communications must be accurate, timely, and coordinated with legal and privacy teams.</w:t>
            </w:r>
          </w:p>
        </w:tc>
      </w:tr>
      <w:tr>
        <w:tc>
          <w:tcPr>
            <w:tcW w:type="dxa" w:w="3456"/>
            <w:vAlign w:val="top"/>
          </w:tcPr>
          <w:p>
            <w:r>
              <w:rPr>
                <w:sz w:val="16"/>
              </w:rPr>
              <w:t>Which controls failed and why?</w:t>
            </w:r>
          </w:p>
        </w:tc>
        <w:tc>
          <w:tcPr>
            <w:tcW w:type="dxa" w:w="6768"/>
            <w:vAlign w:val="top"/>
          </w:tcPr>
          <w:p>
            <w:r>
              <w:rPr>
                <w:sz w:val="16"/>
              </w:rPr>
              <w:t>Audit and risk management require root-cause analysis, not only a description of the attack.</w:t>
            </w:r>
          </w:p>
        </w:tc>
      </w:tr>
      <w:tr>
        <w:tc>
          <w:tcPr>
            <w:tcW w:type="dxa" w:w="3456"/>
            <w:vAlign w:val="top"/>
          </w:tcPr>
          <w:p>
            <w:r>
              <w:rPr>
                <w:sz w:val="16"/>
              </w:rPr>
              <w:t>Which remediation actions should be funded first?</w:t>
            </w:r>
          </w:p>
        </w:tc>
        <w:tc>
          <w:tcPr>
            <w:tcW w:type="dxa" w:w="6768"/>
            <w:vAlign w:val="top"/>
          </w:tcPr>
          <w:p>
            <w:r>
              <w:rPr>
                <w:sz w:val="16"/>
              </w:rPr>
              <w:t>The organization has finite money, staff, and implementation capacity. Risk treatment must be prioritized.</w:t>
            </w:r>
          </w:p>
        </w:tc>
      </w:tr>
    </w:tbl>
    <w:p/>
    <w:p>
      <w:pPr>
        <w:pStyle w:val="Heading1"/>
      </w:pPr>
      <w:r>
        <w:t>3. CNIC Background and Business Profile</w:t>
      </w:r>
    </w:p>
    <w:p>
      <w:r>
        <w:t>Founded in 1968, CNIC has become one of Canada’s largest insurance providers. It operates nationally with regional offices in Toronto, Vancouver, Montreal, Calgary, and Halifax. Its products include life, auto, health, home, and business insurance. CNIC serves more than 3 million clients and depends heavily on digital platforms to deliver insurance services, manage policies, process claims, communicate with clients, and support internal operations.</w:t>
      </w:r>
    </w:p>
    <w:p>
      <w:r>
        <w:t>CNIC’s competitive advantage depends increasingly on data. The company uses customer analytics, AI-driven claims triage, fraud detection, automated customer support, and digital self-service capabilities. These capabilities improve efficiency and customer experience but also increase sensitivity to cyber incidents, privacy breaches, third-party failures, model governance issues, and loss of trust.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D9EAF7"/>
          </w:tcPr>
          <w:p>
            <w:r>
              <w:rPr>
                <w:b/>
                <w:sz w:val="16"/>
              </w:rPr>
              <w:t>Business attribute</w:t>
            </w:r>
          </w:p>
        </w:tc>
        <w:tc>
          <w:tcPr>
            <w:tcW w:type="dxa" w:w="7343"/>
            <w:shd w:fill="D9EAF7"/>
          </w:tcPr>
          <w:p>
            <w:r>
              <w:rPr>
                <w:b/>
                <w:sz w:val="16"/>
              </w:rPr>
              <w:t>Case fact</w:t>
            </w:r>
          </w:p>
        </w:tc>
      </w:tr>
      <w:tr>
        <w:tc>
          <w:tcPr>
            <w:tcW w:type="dxa" w:w="2880"/>
            <w:vAlign w:val="top"/>
          </w:tcPr>
          <w:p>
            <w:r>
              <w:rPr>
                <w:sz w:val="16"/>
              </w:rPr>
              <w:t>Headquarters</w:t>
            </w:r>
          </w:p>
        </w:tc>
        <w:tc>
          <w:tcPr>
            <w:tcW w:type="dxa" w:w="7343"/>
            <w:vAlign w:val="top"/>
          </w:tcPr>
          <w:p>
            <w:r>
              <w:rPr>
                <w:sz w:val="16"/>
              </w:rPr>
              <w:t>Montreal, Quebec</w:t>
            </w:r>
          </w:p>
        </w:tc>
      </w:tr>
      <w:tr>
        <w:tc>
          <w:tcPr>
            <w:tcW w:type="dxa" w:w="2880"/>
            <w:vAlign w:val="top"/>
          </w:tcPr>
          <w:p>
            <w:r>
              <w:rPr>
                <w:sz w:val="16"/>
              </w:rPr>
              <w:t>Business scope</w:t>
            </w:r>
          </w:p>
        </w:tc>
        <w:tc>
          <w:tcPr>
            <w:tcW w:type="dxa" w:w="7343"/>
            <w:vAlign w:val="top"/>
          </w:tcPr>
          <w:p>
            <w:r>
              <w:rPr>
                <w:sz w:val="16"/>
              </w:rPr>
              <w:t>National insurance provider offering life, auto, health, home, and business insurance</w:t>
            </w:r>
          </w:p>
        </w:tc>
      </w:tr>
      <w:tr>
        <w:tc>
          <w:tcPr>
            <w:tcW w:type="dxa" w:w="2880"/>
            <w:vAlign w:val="top"/>
          </w:tcPr>
          <w:p>
            <w:r>
              <w:rPr>
                <w:sz w:val="16"/>
              </w:rPr>
              <w:t>Client base</w:t>
            </w:r>
          </w:p>
        </w:tc>
        <w:tc>
          <w:tcPr>
            <w:tcW w:type="dxa" w:w="7343"/>
            <w:vAlign w:val="top"/>
          </w:tcPr>
          <w:p>
            <w:r>
              <w:rPr>
                <w:sz w:val="16"/>
              </w:rPr>
              <w:t>More than 3 million clients nationwide</w:t>
            </w:r>
          </w:p>
        </w:tc>
      </w:tr>
      <w:tr>
        <w:tc>
          <w:tcPr>
            <w:tcW w:type="dxa" w:w="2880"/>
            <w:vAlign w:val="top"/>
          </w:tcPr>
          <w:p>
            <w:r>
              <w:rPr>
                <w:sz w:val="16"/>
              </w:rPr>
              <w:t>Regional presence</w:t>
            </w:r>
          </w:p>
        </w:tc>
        <w:tc>
          <w:tcPr>
            <w:tcW w:type="dxa" w:w="7343"/>
            <w:vAlign w:val="top"/>
          </w:tcPr>
          <w:p>
            <w:r>
              <w:rPr>
                <w:sz w:val="16"/>
              </w:rPr>
              <w:t>Major Canadian offices in Toronto, Vancouver, Montreal, Calgary, and Halifax</w:t>
            </w:r>
          </w:p>
        </w:tc>
      </w:tr>
      <w:tr>
        <w:tc>
          <w:tcPr>
            <w:tcW w:type="dxa" w:w="2880"/>
            <w:vAlign w:val="top"/>
          </w:tcPr>
          <w:p>
            <w:r>
              <w:rPr>
                <w:sz w:val="16"/>
              </w:rPr>
              <w:t>Digital channels</w:t>
            </w:r>
          </w:p>
        </w:tc>
        <w:tc>
          <w:tcPr>
            <w:tcW w:type="dxa" w:w="7343"/>
            <w:vAlign w:val="top"/>
          </w:tcPr>
          <w:p>
            <w:r>
              <w:rPr>
                <w:sz w:val="16"/>
              </w:rPr>
              <w:t>Online portal, mobile app, call center, AI-driven IVR, CRM, automated claims intake and status updates</w:t>
            </w:r>
          </w:p>
        </w:tc>
      </w:tr>
      <w:tr>
        <w:tc>
          <w:tcPr>
            <w:tcW w:type="dxa" w:w="2880"/>
            <w:vAlign w:val="top"/>
          </w:tcPr>
          <w:p>
            <w:r>
              <w:rPr>
                <w:sz w:val="16"/>
              </w:rPr>
              <w:t>Sensitive data</w:t>
            </w:r>
          </w:p>
        </w:tc>
        <w:tc>
          <w:tcPr>
            <w:tcW w:type="dxa" w:w="7343"/>
            <w:vAlign w:val="top"/>
          </w:tcPr>
          <w:p>
            <w:r>
              <w:rPr>
                <w:sz w:val="16"/>
              </w:rPr>
              <w:t>Personal, medical, claims, financial, identity, policy, and customer interaction data</w:t>
            </w:r>
          </w:p>
        </w:tc>
      </w:tr>
      <w:tr>
        <w:tc>
          <w:tcPr>
            <w:tcW w:type="dxa" w:w="2880"/>
            <w:vAlign w:val="top"/>
          </w:tcPr>
          <w:p>
            <w:r>
              <w:rPr>
                <w:sz w:val="16"/>
              </w:rPr>
              <w:t>Central risk issue</w:t>
            </w:r>
          </w:p>
        </w:tc>
        <w:tc>
          <w:tcPr>
            <w:tcW w:type="dxa" w:w="7343"/>
            <w:vAlign w:val="top"/>
          </w:tcPr>
          <w:p>
            <w:r>
              <w:rPr>
                <w:sz w:val="16"/>
              </w:rPr>
              <w:t>CNIC must innovate while protecting highly sensitive data, maintaining claims continuity, satisfying privacy and insurance-sector expectations, and preserving customer trust</w:t>
            </w:r>
          </w:p>
        </w:tc>
      </w:tr>
    </w:tbl>
    <w:p/>
    <w:p>
      <w:pPr>
        <w:pStyle w:val="Heading1"/>
      </w:pPr>
      <w:r>
        <w:t>4. Governance, Technology, and Cybersecurity Operating Model</w:t>
      </w:r>
    </w:p>
    <w:p>
      <w:pPr>
        <w:pStyle w:val="Heading2"/>
      </w:pPr>
      <w:r>
        <w:t>Governance model</w:t>
      </w:r>
    </w:p>
    <w:p>
      <w:r>
        <w:t>In the source case, the CISO reports to the CIO. For teaching purposes, instructors may use this as a governance discussion point. A more mature target model for CNIC would preserve operational coordination with the CIO while giving the CISO direct access to executive management and the Board Risk and Audit Committee for cyber risk reporting, major incident escalation, and acceptance of material residual risks.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D9EAF7"/>
          </w:tcPr>
          <w:p>
            <w:r>
              <w:rPr>
                <w:b/>
                <w:sz w:val="16"/>
              </w:rPr>
              <w:t>Role</w:t>
            </w:r>
          </w:p>
        </w:tc>
        <w:tc>
          <w:tcPr>
            <w:tcW w:type="dxa" w:w="7343"/>
            <w:shd w:fill="D9EAF7"/>
          </w:tcPr>
          <w:p>
            <w:r>
              <w:rPr>
                <w:b/>
                <w:sz w:val="16"/>
              </w:rPr>
              <w:t>Accountability</w:t>
            </w:r>
          </w:p>
        </w:tc>
      </w:tr>
      <w:tr>
        <w:tc>
          <w:tcPr>
            <w:tcW w:type="dxa" w:w="2880"/>
            <w:vAlign w:val="top"/>
          </w:tcPr>
          <w:p>
            <w:r>
              <w:rPr>
                <w:sz w:val="16"/>
              </w:rPr>
              <w:t>Board Risk and Audit Committee</w:t>
            </w:r>
          </w:p>
        </w:tc>
        <w:tc>
          <w:tcPr>
            <w:tcW w:type="dxa" w:w="7343"/>
            <w:vAlign w:val="top"/>
          </w:tcPr>
          <w:p>
            <w:r>
              <w:rPr>
                <w:sz w:val="16"/>
              </w:rPr>
              <w:t>Oversees technology and cyber risk appetite, material incident reporting, remediation status, and acceptance of material residual risks.</w:t>
            </w:r>
          </w:p>
        </w:tc>
      </w:tr>
      <w:tr>
        <w:tc>
          <w:tcPr>
            <w:tcW w:type="dxa" w:w="2880"/>
            <w:vAlign w:val="top"/>
          </w:tcPr>
          <w:p>
            <w:r>
              <w:rPr>
                <w:sz w:val="16"/>
              </w:rPr>
              <w:t>CEO</w:t>
            </w:r>
          </w:p>
        </w:tc>
        <w:tc>
          <w:tcPr>
            <w:tcW w:type="dxa" w:w="7343"/>
            <w:vAlign w:val="top"/>
          </w:tcPr>
          <w:p>
            <w:r>
              <w:rPr>
                <w:sz w:val="16"/>
              </w:rPr>
              <w:t>Owns enterprise accountability for resilience, customer trust, and regulator-facing crisis management.</w:t>
            </w:r>
          </w:p>
        </w:tc>
      </w:tr>
      <w:tr>
        <w:tc>
          <w:tcPr>
            <w:tcW w:type="dxa" w:w="2880"/>
            <w:vAlign w:val="top"/>
          </w:tcPr>
          <w:p>
            <w:r>
              <w:rPr>
                <w:sz w:val="16"/>
              </w:rPr>
              <w:t>CIO</w:t>
            </w:r>
          </w:p>
        </w:tc>
        <w:tc>
          <w:tcPr>
            <w:tcW w:type="dxa" w:w="7343"/>
            <w:vAlign w:val="top"/>
          </w:tcPr>
          <w:p>
            <w:r>
              <w:rPr>
                <w:sz w:val="16"/>
              </w:rPr>
              <w:t>Owns IT operations, infrastructure, application delivery, service continuity, and technology modernization.</w:t>
            </w:r>
          </w:p>
        </w:tc>
      </w:tr>
      <w:tr>
        <w:tc>
          <w:tcPr>
            <w:tcW w:type="dxa" w:w="2880"/>
            <w:vAlign w:val="top"/>
          </w:tcPr>
          <w:p>
            <w:r>
              <w:rPr>
                <w:sz w:val="16"/>
              </w:rPr>
              <w:t>CISO</w:t>
            </w:r>
          </w:p>
        </w:tc>
        <w:tc>
          <w:tcPr>
            <w:tcW w:type="dxa" w:w="7343"/>
            <w:vAlign w:val="top"/>
          </w:tcPr>
          <w:p>
            <w:r>
              <w:rPr>
                <w:sz w:val="16"/>
              </w:rPr>
              <w:t>Leads cybersecurity strategy, cyber risk management, incident response governance, security monitoring, employee awareness, and cyber reporting.</w:t>
            </w:r>
          </w:p>
        </w:tc>
      </w:tr>
      <w:tr>
        <w:tc>
          <w:tcPr>
            <w:tcW w:type="dxa" w:w="2880"/>
            <w:vAlign w:val="top"/>
          </w:tcPr>
          <w:p>
            <w:r>
              <w:rPr>
                <w:sz w:val="16"/>
              </w:rPr>
              <w:t>Internal Audit</w:t>
            </w:r>
          </w:p>
        </w:tc>
        <w:tc>
          <w:tcPr>
            <w:tcW w:type="dxa" w:w="7343"/>
            <w:vAlign w:val="top"/>
          </w:tcPr>
          <w:p>
            <w:r>
              <w:rPr>
                <w:sz w:val="16"/>
              </w:rPr>
              <w:t>Provides independent assurance on governance, risk management, control design, control operating effectiveness, and remediation progress.</w:t>
            </w:r>
          </w:p>
        </w:tc>
      </w:tr>
      <w:tr>
        <w:tc>
          <w:tcPr>
            <w:tcW w:type="dxa" w:w="2880"/>
            <w:vAlign w:val="top"/>
          </w:tcPr>
          <w:p>
            <w:r>
              <w:rPr>
                <w:sz w:val="16"/>
              </w:rPr>
              <w:t>Business units</w:t>
            </w:r>
          </w:p>
        </w:tc>
        <w:tc>
          <w:tcPr>
            <w:tcW w:type="dxa" w:w="7343"/>
            <w:vAlign w:val="top"/>
          </w:tcPr>
          <w:p>
            <w:r>
              <w:rPr>
                <w:sz w:val="16"/>
              </w:rPr>
              <w:t>Own business process risk, customer impacts, operational workarounds, and participation in incident response and recovery.</w:t>
            </w:r>
          </w:p>
        </w:tc>
      </w:tr>
      <w:tr>
        <w:tc>
          <w:tcPr>
            <w:tcW w:type="dxa" w:w="2880"/>
            <w:vAlign w:val="top"/>
          </w:tcPr>
          <w:p>
            <w:r>
              <w:rPr>
                <w:sz w:val="16"/>
              </w:rPr>
              <w:t>Legal, privacy, and compliance</w:t>
            </w:r>
          </w:p>
        </w:tc>
        <w:tc>
          <w:tcPr>
            <w:tcW w:type="dxa" w:w="7343"/>
            <w:vAlign w:val="top"/>
          </w:tcPr>
          <w:p>
            <w:r>
              <w:rPr>
                <w:sz w:val="16"/>
              </w:rPr>
              <w:t>Advise on privacy breach assessment, legal privilege, regulatory communications, contractual duties, recordkeeping, and evidence management.</w:t>
            </w:r>
          </w:p>
        </w:tc>
      </w:tr>
    </w:tbl>
    <w:p/>
    <w:p>
      <w:pPr>
        <w:pStyle w:val="Heading2"/>
      </w:pPr>
      <w:r>
        <w:t>Technology environment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D9EAF7"/>
          </w:tcPr>
          <w:p>
            <w:r>
              <w:rPr>
                <w:b/>
                <w:sz w:val="16"/>
              </w:rPr>
              <w:t>Technology area</w:t>
            </w:r>
          </w:p>
        </w:tc>
        <w:tc>
          <w:tcPr>
            <w:tcW w:type="dxa" w:w="7632"/>
            <w:shd w:fill="D9EAF7"/>
          </w:tcPr>
          <w:p>
            <w:r>
              <w:rPr>
                <w:b/>
                <w:sz w:val="16"/>
              </w:rPr>
              <w:t>Case facts and implications</w:t>
            </w:r>
          </w:p>
        </w:tc>
      </w:tr>
      <w:tr>
        <w:tc>
          <w:tcPr>
            <w:tcW w:type="dxa" w:w="2592"/>
            <w:vAlign w:val="top"/>
          </w:tcPr>
          <w:p>
            <w:r>
              <w:rPr>
                <w:sz w:val="16"/>
              </w:rPr>
              <w:t>Data centers</w:t>
            </w:r>
          </w:p>
        </w:tc>
        <w:tc>
          <w:tcPr>
            <w:tcW w:type="dxa" w:w="7632"/>
            <w:vAlign w:val="top"/>
          </w:tcPr>
          <w:p>
            <w:r>
              <w:rPr>
                <w:sz w:val="16"/>
              </w:rPr>
              <w:t>Two major data centers in Montreal and Calgary, with off-site and cloud backup arrangements. Students should assess backup isolation, failover readiness, disaster recovery testing, and RTO/RPO expectations.</w:t>
            </w:r>
          </w:p>
        </w:tc>
      </w:tr>
      <w:tr>
        <w:tc>
          <w:tcPr>
            <w:tcW w:type="dxa" w:w="2592"/>
            <w:vAlign w:val="top"/>
          </w:tcPr>
          <w:p>
            <w:r>
              <w:rPr>
                <w:sz w:val="16"/>
              </w:rPr>
              <w:t>Hybrid cloud</w:t>
            </w:r>
          </w:p>
        </w:tc>
        <w:tc>
          <w:tcPr>
            <w:tcW w:type="dxa" w:w="7632"/>
            <w:vAlign w:val="top"/>
          </w:tcPr>
          <w:p>
            <w:r>
              <w:rPr>
                <w:sz w:val="16"/>
              </w:rPr>
              <w:t>AWS and Microsoft Azure support storage, analytics, backups, and scalable computing. Students should consider cloud configuration, identity, logging, shared responsibility, and vendor oversight.</w:t>
            </w:r>
          </w:p>
        </w:tc>
      </w:tr>
      <w:tr>
        <w:tc>
          <w:tcPr>
            <w:tcW w:type="dxa" w:w="2592"/>
            <w:vAlign w:val="top"/>
          </w:tcPr>
          <w:p>
            <w:r>
              <w:rPr>
                <w:sz w:val="16"/>
              </w:rPr>
              <w:t>SAP ERP</w:t>
            </w:r>
          </w:p>
        </w:tc>
        <w:tc>
          <w:tcPr>
            <w:tcW w:type="dxa" w:w="7632"/>
            <w:vAlign w:val="top"/>
          </w:tcPr>
          <w:p>
            <w:r>
              <w:rPr>
                <w:sz w:val="16"/>
              </w:rPr>
              <w:t>Supports financial management, HR, procurement, reporting, and audit-related information. SAP integration creates dependencies across business processes.</w:t>
            </w:r>
          </w:p>
        </w:tc>
      </w:tr>
      <w:tr>
        <w:tc>
          <w:tcPr>
            <w:tcW w:type="dxa" w:w="2592"/>
            <w:vAlign w:val="top"/>
          </w:tcPr>
          <w:p>
            <w:r>
              <w:rPr>
                <w:sz w:val="16"/>
              </w:rPr>
              <w:t>AI-driven CRM</w:t>
            </w:r>
          </w:p>
        </w:tc>
        <w:tc>
          <w:tcPr>
            <w:tcW w:type="dxa" w:w="7632"/>
            <w:vAlign w:val="top"/>
          </w:tcPr>
          <w:p>
            <w:r>
              <w:rPr>
                <w:sz w:val="16"/>
              </w:rPr>
              <w:t>Tracks customer interactions across phone, email, mobile app, web portal, and customer support. It creates value but also privacy, data quality, and access-control risks.</w:t>
            </w:r>
          </w:p>
        </w:tc>
      </w:tr>
      <w:tr>
        <w:tc>
          <w:tcPr>
            <w:tcW w:type="dxa" w:w="2592"/>
            <w:vAlign w:val="top"/>
          </w:tcPr>
          <w:p>
            <w:r>
              <w:rPr>
                <w:sz w:val="16"/>
              </w:rPr>
              <w:t>AI claims platform</w:t>
            </w:r>
          </w:p>
        </w:tc>
        <w:tc>
          <w:tcPr>
            <w:tcW w:type="dxa" w:w="7632"/>
            <w:vAlign w:val="top"/>
          </w:tcPr>
          <w:p>
            <w:r>
              <w:rPr>
                <w:sz w:val="16"/>
              </w:rPr>
              <w:t>Supports intake, triage, fraud detection, automated assessment, and payment integration. Students should consider model, data, fraud, explainability, and service-continuity risk.</w:t>
            </w:r>
          </w:p>
        </w:tc>
      </w:tr>
      <w:tr>
        <w:tc>
          <w:tcPr>
            <w:tcW w:type="dxa" w:w="2592"/>
            <w:vAlign w:val="top"/>
          </w:tcPr>
          <w:p>
            <w:r>
              <w:rPr>
                <w:sz w:val="16"/>
              </w:rPr>
              <w:t>Customer interfaces</w:t>
            </w:r>
          </w:p>
        </w:tc>
        <w:tc>
          <w:tcPr>
            <w:tcW w:type="dxa" w:w="7632"/>
            <w:vAlign w:val="top"/>
          </w:tcPr>
          <w:p>
            <w:r>
              <w:rPr>
                <w:sz w:val="16"/>
              </w:rPr>
              <w:t>Online portal, mobile app, AI-driven IVR, and call-center support. Availability and authentication are critical to customer trust.</w:t>
            </w:r>
          </w:p>
        </w:tc>
      </w:tr>
      <w:tr>
        <w:tc>
          <w:tcPr>
            <w:tcW w:type="dxa" w:w="2592"/>
            <w:vAlign w:val="top"/>
          </w:tcPr>
          <w:p>
            <w:r>
              <w:rPr>
                <w:sz w:val="16"/>
              </w:rPr>
              <w:t>Third parties</w:t>
            </w:r>
          </w:p>
        </w:tc>
        <w:tc>
          <w:tcPr>
            <w:tcW w:type="dxa" w:w="7632"/>
            <w:vAlign w:val="top"/>
          </w:tcPr>
          <w:p>
            <w:r>
              <w:rPr>
                <w:sz w:val="16"/>
              </w:rPr>
              <w:t>Cloud providers, outsourced claims processors, IT vendors, data providers, and professional service partners create supplier and contract risk.</w:t>
            </w:r>
          </w:p>
        </w:tc>
      </w:tr>
      <w:tr>
        <w:tc>
          <w:tcPr>
            <w:tcW w:type="dxa" w:w="2592"/>
            <w:vAlign w:val="top"/>
          </w:tcPr>
          <w:p>
            <w:r>
              <w:rPr>
                <w:sz w:val="16"/>
              </w:rPr>
              <w:t>End-user devices</w:t>
            </w:r>
          </w:p>
        </w:tc>
        <w:tc>
          <w:tcPr>
            <w:tcW w:type="dxa" w:w="7632"/>
            <w:vAlign w:val="top"/>
          </w:tcPr>
          <w:p>
            <w:r>
              <w:rPr>
                <w:sz w:val="16"/>
              </w:rPr>
              <w:t>Workstations, mobile devices, remote access, and possible BYOD arrangements create endpoint and identity risks.</w:t>
            </w:r>
          </w:p>
        </w:tc>
      </w:tr>
    </w:tbl>
    <w:p/>
    <w:p>
      <w:pPr>
        <w:pStyle w:val="Heading2"/>
      </w:pPr>
      <w:r>
        <w:t>IT budget context</w:t>
      </w:r>
    </w:p>
    <w:p>
      <w:r>
        <w:t>For fiscal year 2025, CNIC has allocated CAD 315 million to IT. Students should use the budget to make realistic trade-offs rather than recommend unlimited spending.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D9EAF7"/>
          </w:tcPr>
          <w:p>
            <w:r>
              <w:rPr>
                <w:b/>
                <w:sz w:val="16"/>
              </w:rPr>
              <w:t>Budget area</w:t>
            </w:r>
          </w:p>
        </w:tc>
        <w:tc>
          <w:tcPr>
            <w:tcW w:type="dxa" w:w="1872"/>
            <w:shd w:fill="D9EAF7"/>
          </w:tcPr>
          <w:p>
            <w:r>
              <w:rPr>
                <w:b/>
                <w:sz w:val="16"/>
              </w:rPr>
              <w:t>2025 allocation</w:t>
            </w:r>
          </w:p>
        </w:tc>
        <w:tc>
          <w:tcPr>
            <w:tcW w:type="dxa" w:w="5472"/>
            <w:shd w:fill="D9EAF7"/>
          </w:tcPr>
          <w:p>
            <w:r>
              <w:rPr>
                <w:b/>
                <w:sz w:val="16"/>
              </w:rPr>
              <w:t>Teaching implication</w:t>
            </w:r>
          </w:p>
        </w:tc>
      </w:tr>
      <w:tr>
        <w:tc>
          <w:tcPr>
            <w:tcW w:type="dxa" w:w="2880"/>
            <w:vAlign w:val="top"/>
          </w:tcPr>
          <w:p>
            <w:r>
              <w:rPr>
                <w:sz w:val="16"/>
              </w:rPr>
              <w:t>Infrastructure and Operations</w:t>
            </w:r>
          </w:p>
        </w:tc>
        <w:tc>
          <w:tcPr>
            <w:tcW w:type="dxa" w:w="1872"/>
            <w:vAlign w:val="top"/>
          </w:tcPr>
          <w:p>
            <w:r>
              <w:rPr>
                <w:sz w:val="16"/>
              </w:rPr>
              <w:t>CAD 110M</w:t>
            </w:r>
          </w:p>
        </w:tc>
        <w:tc>
          <w:tcPr>
            <w:tcW w:type="dxa" w:w="5472"/>
            <w:vAlign w:val="top"/>
          </w:tcPr>
          <w:p>
            <w:r>
              <w:rPr>
                <w:sz w:val="16"/>
              </w:rPr>
              <w:t>Data centers, cloud services, network infrastructure, software licensing, backup, and disaster recovery</w:t>
            </w:r>
          </w:p>
        </w:tc>
      </w:tr>
      <w:tr>
        <w:tc>
          <w:tcPr>
            <w:tcW w:type="dxa" w:w="2880"/>
            <w:vAlign w:val="top"/>
          </w:tcPr>
          <w:p>
            <w:r>
              <w:rPr>
                <w:sz w:val="16"/>
              </w:rPr>
              <w:t>Cybersecurity</w:t>
            </w:r>
          </w:p>
        </w:tc>
        <w:tc>
          <w:tcPr>
            <w:tcW w:type="dxa" w:w="1872"/>
            <w:vAlign w:val="top"/>
          </w:tcPr>
          <w:p>
            <w:r>
              <w:rPr>
                <w:sz w:val="16"/>
              </w:rPr>
              <w:t>CAD 50M</w:t>
            </w:r>
          </w:p>
        </w:tc>
        <w:tc>
          <w:tcPr>
            <w:tcW w:type="dxa" w:w="5472"/>
            <w:vAlign w:val="top"/>
          </w:tcPr>
          <w:p>
            <w:r>
              <w:rPr>
                <w:sz w:val="16"/>
              </w:rPr>
              <w:t>Security infrastructure, incident response, threat monitoring, penetration testing, vulnerability assessments, training, compliance, and cyber R&amp;D</w:t>
            </w:r>
          </w:p>
        </w:tc>
      </w:tr>
      <w:tr>
        <w:tc>
          <w:tcPr>
            <w:tcW w:type="dxa" w:w="2880"/>
            <w:vAlign w:val="top"/>
          </w:tcPr>
          <w:p>
            <w:r>
              <w:rPr>
                <w:sz w:val="16"/>
              </w:rPr>
              <w:t>Personnel and Salaries</w:t>
            </w:r>
          </w:p>
        </w:tc>
        <w:tc>
          <w:tcPr>
            <w:tcW w:type="dxa" w:w="1872"/>
            <w:vAlign w:val="top"/>
          </w:tcPr>
          <w:p>
            <w:r>
              <w:rPr>
                <w:sz w:val="16"/>
              </w:rPr>
              <w:t>CAD 67M</w:t>
            </w:r>
          </w:p>
        </w:tc>
        <w:tc>
          <w:tcPr>
            <w:tcW w:type="dxa" w:w="5472"/>
            <w:vAlign w:val="top"/>
          </w:tcPr>
          <w:p>
            <w:r>
              <w:rPr>
                <w:sz w:val="16"/>
              </w:rPr>
              <w:t>Infrastructure, cybersecurity, application development, support, analytics, administration, interns, and related staff</w:t>
            </w:r>
          </w:p>
        </w:tc>
      </w:tr>
      <w:tr>
        <w:tc>
          <w:tcPr>
            <w:tcW w:type="dxa" w:w="2880"/>
            <w:vAlign w:val="top"/>
          </w:tcPr>
          <w:p>
            <w:r>
              <w:rPr>
                <w:sz w:val="16"/>
              </w:rPr>
              <w:t>Innovation and Digital Transformation</w:t>
            </w:r>
          </w:p>
        </w:tc>
        <w:tc>
          <w:tcPr>
            <w:tcW w:type="dxa" w:w="1872"/>
            <w:vAlign w:val="top"/>
          </w:tcPr>
          <w:p>
            <w:r>
              <w:rPr>
                <w:sz w:val="16"/>
              </w:rPr>
              <w:t>CAD 58M</w:t>
            </w:r>
          </w:p>
        </w:tc>
        <w:tc>
          <w:tcPr>
            <w:tcW w:type="dxa" w:w="5472"/>
            <w:vAlign w:val="top"/>
          </w:tcPr>
          <w:p>
            <w:r>
              <w:rPr>
                <w:sz w:val="16"/>
              </w:rPr>
              <w:t>AI and automation, mobile and web development, R&amp;D for new technologies</w:t>
            </w:r>
          </w:p>
        </w:tc>
      </w:tr>
      <w:tr>
        <w:tc>
          <w:tcPr>
            <w:tcW w:type="dxa" w:w="2880"/>
            <w:vAlign w:val="top"/>
          </w:tcPr>
          <w:p>
            <w:r>
              <w:rPr>
                <w:sz w:val="16"/>
              </w:rPr>
              <w:t>Contingency and Flexibility Fund</w:t>
            </w:r>
          </w:p>
        </w:tc>
        <w:tc>
          <w:tcPr>
            <w:tcW w:type="dxa" w:w="1872"/>
            <w:vAlign w:val="top"/>
          </w:tcPr>
          <w:p>
            <w:r>
              <w:rPr>
                <w:sz w:val="16"/>
              </w:rPr>
              <w:t>CAD 30M</w:t>
            </w:r>
          </w:p>
        </w:tc>
        <w:tc>
          <w:tcPr>
            <w:tcW w:type="dxa" w:w="5472"/>
            <w:vAlign w:val="top"/>
          </w:tcPr>
          <w:p>
            <w:r>
              <w:rPr>
                <w:sz w:val="16"/>
              </w:rPr>
              <w:t>Unforeseen expenses, system emergencies, and rapid response to technological or cyber needs</w:t>
            </w:r>
          </w:p>
        </w:tc>
      </w:tr>
    </w:tbl>
    <w:p/>
    <w:p>
      <w:pPr>
        <w:pStyle w:val="IntenseQuote"/>
      </w:pPr>
      <w:r>
        <w:rPr>
          <w:b/>
        </w:rPr>
        <w:t xml:space="preserve">Instructor note. </w:t>
      </w:r>
      <w:r>
        <w:t>The budget figures are intentionally rounded. Students may calculate cost-benefit, risk reduction per dollar, implementation sequencing, and multi-year dependency management. They should also consider non-financial constraints such as hiring capacity, change fatigue, vendor availability, data residency, and legacy integration complexity.</w:t>
      </w:r>
    </w:p>
    <w:p>
      <w:pPr>
        <w:pStyle w:val="Heading1"/>
      </w:pPr>
      <w:r>
        <w:t>5. Regulatory and Compliance Teaching Assumptions</w:t>
      </w:r>
    </w:p>
    <w:p>
      <w:r>
        <w:t>For teaching purposes, assume that CNIC is subject to applicable Canadian federal and provincial privacy laws, insurance-sector expectations, contractual obligations with partners and vendors, and internal governance requirements. Because CNIC is headquartered in Montreal and operates nationally, students should consider privacy and insurance regulatory complexity across jurisdictions. Instructors may adjust the assumptions depending on whether they want CNIC to be treated as a federally regulated insurer, a provincially regulated insurer, or a fictional composite organization.</w:t>
      </w:r>
    </w:p>
    <w:p>
      <w:r>
        <w:t>The purpose of this case is not to train students to provide legal advice. Students should identify legal and regulatory issues, explain why they matter, and recommend that CNIC coordinate with legal counsel, privacy officers, compliance, regulators, law enforcement, cyber insurers, and external forensic specialists as appropriate.</w:t>
      </w:r>
    </w:p>
    <w:p>
      <w:pPr>
        <w:pStyle w:val="IntenseQuote"/>
      </w:pPr>
      <w:r>
        <w:rPr>
          <w:b/>
        </w:rPr>
        <w:t xml:space="preserve">Regulatory language revision. </w:t>
      </w:r>
      <w:r>
        <w:t>Generic or fictional references to regulatory bodies should be interpreted as privacy authorities, insurance regulators, contractual compliance stakeholders, payment and banking partners, law enforcement, and other relevant authorities depending on the facts of the scenario.</w:t>
      </w:r>
    </w:p>
    <w:p>
      <w:pPr>
        <w:pStyle w:val="Heading1"/>
      </w:pPr>
      <w:r>
        <w:t>6. Module A: Incident Response Exercise</w:t>
      </w:r>
    </w:p>
    <w:p>
      <w:r>
        <w:t>In this module, students act as members of CNIC’s cyber incident response team. The exercise begins when the SOC detects suspicious activity and customers begin reporting problems accessing the portal or submitting claims. Students do not initially know whether the event is ransomware, cloud misconfiguration, third-party compromise, executive phishing, insider activity, or operational failure. They must structure the response under uncertainty.</w:t>
      </w:r>
    </w:p>
    <w:p>
      <w:pPr>
        <w:pStyle w:val="Heading2"/>
      </w:pPr>
      <w:r>
        <w:t>Incident response objectives</w:t>
      </w:r>
    </w:p>
    <w:p>
      <w:r>
        <w:t>The primary objectives are to protect clients, contain the threat, preserve evidence, maintain claims and customer-service continuity, meet privacy and regulatory obligations, communicate responsibly, and learn from the incident. Students should explicitly balance confidentiality, integrity, availability, legal privilege, evidence preservation, customer impact, fraud exposure, media pressure, and business continuity.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shd w:fill="D9EAF7"/>
          </w:tcPr>
          <w:p>
            <w:r>
              <w:rPr>
                <w:b/>
                <w:sz w:val="16"/>
              </w:rPr>
              <w:t>Time</w:t>
            </w:r>
          </w:p>
        </w:tc>
        <w:tc>
          <w:tcPr>
            <w:tcW w:type="dxa" w:w="4896"/>
            <w:shd w:fill="D9EAF7"/>
          </w:tcPr>
          <w:p>
            <w:r>
              <w:rPr>
                <w:b/>
                <w:sz w:val="16"/>
              </w:rPr>
              <w:t>Inject or evidence provided to students</w:t>
            </w:r>
          </w:p>
        </w:tc>
        <w:tc>
          <w:tcPr>
            <w:tcW w:type="dxa" w:w="3888"/>
            <w:shd w:fill="D9EAF7"/>
          </w:tcPr>
          <w:p>
            <w:r>
              <w:rPr>
                <w:b/>
                <w:sz w:val="16"/>
              </w:rPr>
              <w:t>Expected student decision</w:t>
            </w:r>
          </w:p>
        </w:tc>
      </w:tr>
      <w:tr>
        <w:tc>
          <w:tcPr>
            <w:tcW w:type="dxa" w:w="1440"/>
            <w:vAlign w:val="top"/>
          </w:tcPr>
          <w:p>
            <w:r>
              <w:rPr>
                <w:sz w:val="16"/>
              </w:rPr>
              <w:t>T-10 days</w:t>
            </w:r>
          </w:p>
        </w:tc>
        <w:tc>
          <w:tcPr>
            <w:tcW w:type="dxa" w:w="4896"/>
            <w:vAlign w:val="top"/>
          </w:tcPr>
          <w:p>
            <w:r>
              <w:rPr>
                <w:sz w:val="16"/>
              </w:rPr>
              <w:t>A targeted phishing email purporting to be an urgent claims-system notice is delivered to claims managers and executives.</w:t>
            </w:r>
          </w:p>
        </w:tc>
        <w:tc>
          <w:tcPr>
            <w:tcW w:type="dxa" w:w="3888"/>
            <w:vAlign w:val="top"/>
          </w:tcPr>
          <w:p>
            <w:r>
              <w:rPr>
                <w:sz w:val="16"/>
              </w:rPr>
              <w:t>Identify likely initial access path, affected users, and evidence needed.</w:t>
            </w:r>
          </w:p>
        </w:tc>
      </w:tr>
      <w:tr>
        <w:tc>
          <w:tcPr>
            <w:tcW w:type="dxa" w:w="1440"/>
            <w:vAlign w:val="top"/>
          </w:tcPr>
          <w:p>
            <w:r>
              <w:rPr>
                <w:sz w:val="16"/>
              </w:rPr>
              <w:t>T-8 days</w:t>
            </w:r>
          </w:p>
        </w:tc>
        <w:tc>
          <w:tcPr>
            <w:tcW w:type="dxa" w:w="4896"/>
            <w:vAlign w:val="top"/>
          </w:tcPr>
          <w:p>
            <w:r>
              <w:rPr>
                <w:sz w:val="16"/>
              </w:rPr>
              <w:t>EDR records show suspicious PowerShell execution on a claims operations workstation; the alert is closed as low severity.</w:t>
            </w:r>
          </w:p>
        </w:tc>
        <w:tc>
          <w:tcPr>
            <w:tcW w:type="dxa" w:w="3888"/>
            <w:vAlign w:val="top"/>
          </w:tcPr>
          <w:p>
            <w:r>
              <w:rPr>
                <w:sz w:val="16"/>
              </w:rPr>
              <w:t>Assess SOC triage quality and determine whether related alerts should be reopened.</w:t>
            </w:r>
          </w:p>
        </w:tc>
      </w:tr>
      <w:tr>
        <w:tc>
          <w:tcPr>
            <w:tcW w:type="dxa" w:w="1440"/>
            <w:vAlign w:val="top"/>
          </w:tcPr>
          <w:p>
            <w:r>
              <w:rPr>
                <w:sz w:val="16"/>
              </w:rPr>
              <w:t>T-6 days</w:t>
            </w:r>
          </w:p>
        </w:tc>
        <w:tc>
          <w:tcPr>
            <w:tcW w:type="dxa" w:w="4896"/>
            <w:vAlign w:val="top"/>
          </w:tcPr>
          <w:p>
            <w:r>
              <w:rPr>
                <w:sz w:val="16"/>
              </w:rPr>
              <w:t>VPN logs show successful authentication from an unusual geography using a valid employee account.</w:t>
            </w:r>
          </w:p>
        </w:tc>
        <w:tc>
          <w:tcPr>
            <w:tcW w:type="dxa" w:w="3888"/>
            <w:vAlign w:val="top"/>
          </w:tcPr>
          <w:p>
            <w:r>
              <w:rPr>
                <w:sz w:val="16"/>
              </w:rPr>
              <w:t>Decide whether to disable accounts, revoke sessions, force password resets, and review MFA logs.</w:t>
            </w:r>
          </w:p>
        </w:tc>
      </w:tr>
      <w:tr>
        <w:tc>
          <w:tcPr>
            <w:tcW w:type="dxa" w:w="1440"/>
            <w:vAlign w:val="top"/>
          </w:tcPr>
          <w:p>
            <w:r>
              <w:rPr>
                <w:sz w:val="16"/>
              </w:rPr>
              <w:t>T-4 days</w:t>
            </w:r>
          </w:p>
        </w:tc>
        <w:tc>
          <w:tcPr>
            <w:tcW w:type="dxa" w:w="4896"/>
            <w:vAlign w:val="top"/>
          </w:tcPr>
          <w:p>
            <w:r>
              <w:rPr>
                <w:sz w:val="16"/>
              </w:rPr>
              <w:t>Cloud logging shows large data downloads from a storage location used for claims attachments.</w:t>
            </w:r>
          </w:p>
        </w:tc>
        <w:tc>
          <w:tcPr>
            <w:tcW w:type="dxa" w:w="3888"/>
            <w:vAlign w:val="top"/>
          </w:tcPr>
          <w:p>
            <w:r>
              <w:rPr>
                <w:sz w:val="16"/>
              </w:rPr>
              <w:t>Assess potential data staging or exfiltration and involve privacy/legal early.</w:t>
            </w:r>
          </w:p>
        </w:tc>
      </w:tr>
      <w:tr>
        <w:tc>
          <w:tcPr>
            <w:tcW w:type="dxa" w:w="1440"/>
            <w:vAlign w:val="top"/>
          </w:tcPr>
          <w:p>
            <w:r>
              <w:rPr>
                <w:sz w:val="16"/>
              </w:rPr>
              <w:t>T-1 day</w:t>
            </w:r>
          </w:p>
        </w:tc>
        <w:tc>
          <w:tcPr>
            <w:tcW w:type="dxa" w:w="4896"/>
            <w:vAlign w:val="top"/>
          </w:tcPr>
          <w:p>
            <w:r>
              <w:rPr>
                <w:sz w:val="16"/>
              </w:rPr>
              <w:t>Customer-service representatives report unusual calls about claim status discrepancies.</w:t>
            </w:r>
          </w:p>
        </w:tc>
        <w:tc>
          <w:tcPr>
            <w:tcW w:type="dxa" w:w="3888"/>
            <w:vAlign w:val="top"/>
          </w:tcPr>
          <w:p>
            <w:r>
              <w:rPr>
                <w:sz w:val="16"/>
              </w:rPr>
              <w:t>Consider whether fraud, system integrity, or data quality issues are part of the incident.</w:t>
            </w:r>
          </w:p>
        </w:tc>
      </w:tr>
      <w:tr>
        <w:tc>
          <w:tcPr>
            <w:tcW w:type="dxa" w:w="1440"/>
            <w:vAlign w:val="top"/>
          </w:tcPr>
          <w:p>
            <w:r>
              <w:rPr>
                <w:sz w:val="16"/>
              </w:rPr>
              <w:t>T-0, 07:30</w:t>
            </w:r>
          </w:p>
        </w:tc>
        <w:tc>
          <w:tcPr>
            <w:tcW w:type="dxa" w:w="4896"/>
            <w:vAlign w:val="top"/>
          </w:tcPr>
          <w:p>
            <w:r>
              <w:rPr>
                <w:sz w:val="16"/>
              </w:rPr>
              <w:t>The customer portal becomes unstable and claims processing queues fail.</w:t>
            </w:r>
          </w:p>
        </w:tc>
        <w:tc>
          <w:tcPr>
            <w:tcW w:type="dxa" w:w="3888"/>
            <w:vAlign w:val="top"/>
          </w:tcPr>
          <w:p>
            <w:r>
              <w:rPr>
                <w:sz w:val="16"/>
              </w:rPr>
              <w:t>Declare an incident, activate major incident process, and assign incident command roles.</w:t>
            </w:r>
          </w:p>
        </w:tc>
      </w:tr>
      <w:tr>
        <w:tc>
          <w:tcPr>
            <w:tcW w:type="dxa" w:w="1440"/>
            <w:vAlign w:val="top"/>
          </w:tcPr>
          <w:p>
            <w:r>
              <w:rPr>
                <w:sz w:val="16"/>
              </w:rPr>
              <w:t>T-0, 09:15</w:t>
            </w:r>
          </w:p>
        </w:tc>
        <w:tc>
          <w:tcPr>
            <w:tcW w:type="dxa" w:w="4896"/>
            <w:vAlign w:val="top"/>
          </w:tcPr>
          <w:p>
            <w:r>
              <w:rPr>
                <w:sz w:val="16"/>
              </w:rPr>
              <w:t>A ransom note appears on selected servers and threatens public release of policyholder and medical data.</w:t>
            </w:r>
          </w:p>
        </w:tc>
        <w:tc>
          <w:tcPr>
            <w:tcW w:type="dxa" w:w="3888"/>
            <w:vAlign w:val="top"/>
          </w:tcPr>
          <w:p>
            <w:r>
              <w:rPr>
                <w:sz w:val="16"/>
              </w:rPr>
              <w:t>Prioritize containment, evidence preservation, customer impact, and ransom decision support.</w:t>
            </w:r>
          </w:p>
        </w:tc>
      </w:tr>
      <w:tr>
        <w:tc>
          <w:tcPr>
            <w:tcW w:type="dxa" w:w="1440"/>
            <w:vAlign w:val="top"/>
          </w:tcPr>
          <w:p>
            <w:r>
              <w:rPr>
                <w:sz w:val="16"/>
              </w:rPr>
              <w:t>T+12 hours</w:t>
            </w:r>
          </w:p>
        </w:tc>
        <w:tc>
          <w:tcPr>
            <w:tcW w:type="dxa" w:w="4896"/>
            <w:vAlign w:val="top"/>
          </w:tcPr>
          <w:p>
            <w:r>
              <w:rPr>
                <w:sz w:val="16"/>
              </w:rPr>
              <w:t>Initial forensic triage suggests possible access to sensitive client records and claims data.</w:t>
            </w:r>
          </w:p>
        </w:tc>
        <w:tc>
          <w:tcPr>
            <w:tcW w:type="dxa" w:w="3888"/>
            <w:vAlign w:val="top"/>
          </w:tcPr>
          <w:p>
            <w:r>
              <w:rPr>
                <w:sz w:val="16"/>
              </w:rPr>
              <w:t>Prepare executive, privacy, and regulatory updates while labeling unknowns clearly.</w:t>
            </w:r>
          </w:p>
        </w:tc>
      </w:tr>
      <w:tr>
        <w:tc>
          <w:tcPr>
            <w:tcW w:type="dxa" w:w="1440"/>
            <w:vAlign w:val="top"/>
          </w:tcPr>
          <w:p>
            <w:r>
              <w:rPr>
                <w:sz w:val="16"/>
              </w:rPr>
              <w:t>T+24 hours</w:t>
            </w:r>
          </w:p>
        </w:tc>
        <w:tc>
          <w:tcPr>
            <w:tcW w:type="dxa" w:w="4896"/>
            <w:vAlign w:val="top"/>
          </w:tcPr>
          <w:p>
            <w:r>
              <w:rPr>
                <w:sz w:val="16"/>
              </w:rPr>
              <w:t>The Board asks whether to pay, negotiate, refuse, or wait for backup validation.</w:t>
            </w:r>
          </w:p>
        </w:tc>
        <w:tc>
          <w:tcPr>
            <w:tcW w:type="dxa" w:w="3888"/>
            <w:vAlign w:val="top"/>
          </w:tcPr>
          <w:p>
            <w:r>
              <w:rPr>
                <w:sz w:val="16"/>
              </w:rPr>
              <w:t>Prepare a decision memo assessing operational, legal, ethical, insurance, recovery, and law enforcement considerations.</w:t>
            </w:r>
          </w:p>
        </w:tc>
      </w:tr>
      <w:tr>
        <w:tc>
          <w:tcPr>
            <w:tcW w:type="dxa" w:w="1440"/>
            <w:vAlign w:val="top"/>
          </w:tcPr>
          <w:p>
            <w:r>
              <w:rPr>
                <w:sz w:val="16"/>
              </w:rPr>
              <w:t>T+7 days</w:t>
            </w:r>
          </w:p>
        </w:tc>
        <w:tc>
          <w:tcPr>
            <w:tcW w:type="dxa" w:w="4896"/>
            <w:vAlign w:val="top"/>
          </w:tcPr>
          <w:p>
            <w:r>
              <w:rPr>
                <w:sz w:val="16"/>
              </w:rPr>
              <w:t>Core services are mostly restored, but customer confidence remains fragile.</w:t>
            </w:r>
          </w:p>
        </w:tc>
        <w:tc>
          <w:tcPr>
            <w:tcW w:type="dxa" w:w="3888"/>
            <w:vAlign w:val="top"/>
          </w:tcPr>
          <w:p>
            <w:r>
              <w:rPr>
                <w:sz w:val="16"/>
              </w:rPr>
              <w:t>Prepare recovery status briefing and immediate remediation plan.</w:t>
            </w:r>
          </w:p>
        </w:tc>
      </w:tr>
      <w:tr>
        <w:tc>
          <w:tcPr>
            <w:tcW w:type="dxa" w:w="1440"/>
            <w:vAlign w:val="top"/>
          </w:tcPr>
          <w:p>
            <w:r>
              <w:rPr>
                <w:sz w:val="16"/>
              </w:rPr>
              <w:t>T+30 days</w:t>
            </w:r>
          </w:p>
        </w:tc>
        <w:tc>
          <w:tcPr>
            <w:tcW w:type="dxa" w:w="4896"/>
            <w:vAlign w:val="top"/>
          </w:tcPr>
          <w:p>
            <w:r>
              <w:rPr>
                <w:sz w:val="16"/>
              </w:rPr>
              <w:t>The Board requests lessons learned and a funded action plan.</w:t>
            </w:r>
          </w:p>
        </w:tc>
        <w:tc>
          <w:tcPr>
            <w:tcW w:type="dxa" w:w="3888"/>
            <w:vAlign w:val="top"/>
          </w:tcPr>
          <w:p>
            <w:r>
              <w:rPr>
                <w:sz w:val="16"/>
              </w:rPr>
              <w:t>Connect root causes to governance, controls, audit findings, risk treatment, and budget.</w:t>
            </w:r>
          </w:p>
        </w:tc>
      </w:tr>
    </w:tbl>
    <w:p/>
    <w:p>
      <w:pPr>
        <w:pStyle w:val="Heading2"/>
      </w:pPr>
      <w:r>
        <w:t>Required incident response deliverables</w:t>
      </w:r>
    </w:p>
    <w:p>
      <w:pPr>
        <w:pStyle w:val="ListNumber"/>
      </w:pPr>
      <w:r>
        <w:t>Initial incident classification and severity assessment, including the evidence supporting the classification.</w:t>
      </w:r>
    </w:p>
    <w:p>
      <w:pPr>
        <w:pStyle w:val="ListNumber"/>
      </w:pPr>
      <w:r>
        <w:t>First 24-hour situation report for executives and the Board.</w:t>
      </w:r>
    </w:p>
    <w:p>
      <w:pPr>
        <w:pStyle w:val="ListNumber"/>
      </w:pPr>
      <w:r>
        <w:t>Containment and evidence preservation plan, including systems to isolate, credentials to revoke, and logs to preserve.</w:t>
      </w:r>
    </w:p>
    <w:p>
      <w:pPr>
        <w:pStyle w:val="ListNumber"/>
      </w:pPr>
      <w:r>
        <w:t>Stakeholder notification and communications plan, including clients, employees, privacy authorities, insurance regulators, law enforcement, vendors, cyber insurer, brokers, and partners.</w:t>
      </w:r>
    </w:p>
    <w:p>
      <w:pPr>
        <w:pStyle w:val="ListNumber"/>
      </w:pPr>
      <w:r>
        <w:t>Ransom decision memo explaining whether the organization should pay, refuse, negotiate, or delay while validating backups and recovery options.</w:t>
      </w:r>
    </w:p>
    <w:p>
      <w:pPr>
        <w:pStyle w:val="ListNumber"/>
      </w:pPr>
      <w:r>
        <w:t>Recovery plan with service prioritization, claims-processing dependencies, backup validation, and client-facing workarounds.</w:t>
      </w:r>
    </w:p>
    <w:p>
      <w:pPr>
        <w:pStyle w:val="ListNumber"/>
      </w:pPr>
      <w:r>
        <w:t>Lessons-learned report connecting technical root causes to governance, audit, control maturity, and risk management improvements.</w:t>
      </w:r>
    </w:p>
    <w:p>
      <w:pPr>
        <w:pStyle w:val="Heading1"/>
      </w:pPr>
      <w:r>
        <w:t>7. Module B: Cybersecurity Audit Planning Exercise</w:t>
      </w:r>
    </w:p>
    <w:p>
      <w:r>
        <w:t>In this module, students act as internal auditors or cybersecurity audit planners. Their task is to develop a risk-based audit plan that provides independent assurance over CNIC’s cybersecurity governance, controls, remediation, and resilience. The plan should be defensible to the Board Risk and Audit Committee.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D9EAF7"/>
          </w:tcPr>
          <w:p>
            <w:r>
              <w:rPr>
                <w:b/>
                <w:sz w:val="16"/>
              </w:rPr>
              <w:t>Auditable area</w:t>
            </w:r>
          </w:p>
        </w:tc>
        <w:tc>
          <w:tcPr>
            <w:tcW w:type="dxa" w:w="3744"/>
            <w:shd w:fill="D9EAF7"/>
          </w:tcPr>
          <w:p>
            <w:r>
              <w:rPr>
                <w:b/>
                <w:sz w:val="16"/>
              </w:rPr>
              <w:t>Why it matters</w:t>
            </w:r>
          </w:p>
        </w:tc>
        <w:tc>
          <w:tcPr>
            <w:tcW w:type="dxa" w:w="4176"/>
            <w:shd w:fill="D9EAF7"/>
          </w:tcPr>
          <w:p>
            <w:r>
              <w:rPr>
                <w:b/>
                <w:sz w:val="16"/>
              </w:rPr>
              <w:t>Example evidence or procedures</w:t>
            </w:r>
          </w:p>
        </w:tc>
      </w:tr>
      <w:tr>
        <w:tc>
          <w:tcPr>
            <w:tcW w:type="dxa" w:w="2448"/>
            <w:vAlign w:val="top"/>
          </w:tcPr>
          <w:p>
            <w:r>
              <w:rPr>
                <w:sz w:val="16"/>
              </w:rPr>
              <w:t>Cyber governance and Board reporting</w:t>
            </w:r>
          </w:p>
        </w:tc>
        <w:tc>
          <w:tcPr>
            <w:tcW w:type="dxa" w:w="3744"/>
            <w:vAlign w:val="top"/>
          </w:tcPr>
          <w:p>
            <w:r>
              <w:rPr>
                <w:sz w:val="16"/>
              </w:rPr>
              <w:t>Cyber risk must be visible as an enterprise risk, not only an IT operational issue.</w:t>
            </w:r>
          </w:p>
        </w:tc>
        <w:tc>
          <w:tcPr>
            <w:tcW w:type="dxa" w:w="4176"/>
            <w:vAlign w:val="top"/>
          </w:tcPr>
          <w:p>
            <w:r>
              <w:rPr>
                <w:sz w:val="16"/>
              </w:rPr>
              <w:t>Board minutes, risk appetite statements, CISO reports, committee charters, escalation records.</w:t>
            </w:r>
          </w:p>
        </w:tc>
      </w:tr>
      <w:tr>
        <w:tc>
          <w:tcPr>
            <w:tcW w:type="dxa" w:w="2448"/>
            <w:vAlign w:val="top"/>
          </w:tcPr>
          <w:p>
            <w:r>
              <w:rPr>
                <w:sz w:val="16"/>
              </w:rPr>
              <w:t>Incident response and crisis management</w:t>
            </w:r>
          </w:p>
        </w:tc>
        <w:tc>
          <w:tcPr>
            <w:tcW w:type="dxa" w:w="3744"/>
            <w:vAlign w:val="top"/>
          </w:tcPr>
          <w:p>
            <w:r>
              <w:rPr>
                <w:sz w:val="16"/>
              </w:rPr>
              <w:t>CNIC must detect, contain, notify, restore, and learn from incidents involving sensitive data and critical services.</w:t>
            </w:r>
          </w:p>
        </w:tc>
        <w:tc>
          <w:tcPr>
            <w:tcW w:type="dxa" w:w="4176"/>
            <w:vAlign w:val="top"/>
          </w:tcPr>
          <w:p>
            <w:r>
              <w:rPr>
                <w:sz w:val="16"/>
              </w:rPr>
              <w:t>Incident response plan, tabletop results, tickets, timelines, situation reports, decision logs.</w:t>
            </w:r>
          </w:p>
        </w:tc>
      </w:tr>
      <w:tr>
        <w:tc>
          <w:tcPr>
            <w:tcW w:type="dxa" w:w="2448"/>
            <w:vAlign w:val="top"/>
          </w:tcPr>
          <w:p>
            <w:r>
              <w:rPr>
                <w:sz w:val="16"/>
              </w:rPr>
              <w:t>Claims platform security</w:t>
            </w:r>
          </w:p>
        </w:tc>
        <w:tc>
          <w:tcPr>
            <w:tcW w:type="dxa" w:w="3744"/>
            <w:vAlign w:val="top"/>
          </w:tcPr>
          <w:p>
            <w:r>
              <w:rPr>
                <w:sz w:val="16"/>
              </w:rPr>
              <w:t>The AI-driven claims system affects customer service, payments, fraud detection, and data integrity.</w:t>
            </w:r>
          </w:p>
        </w:tc>
        <w:tc>
          <w:tcPr>
            <w:tcW w:type="dxa" w:w="4176"/>
            <w:vAlign w:val="top"/>
          </w:tcPr>
          <w:p>
            <w:r>
              <w:rPr>
                <w:sz w:val="16"/>
              </w:rPr>
              <w:t>Access controls, secure SDLC evidence, change records, model governance, claims workflow logs.</w:t>
            </w:r>
          </w:p>
        </w:tc>
      </w:tr>
      <w:tr>
        <w:tc>
          <w:tcPr>
            <w:tcW w:type="dxa" w:w="2448"/>
            <w:vAlign w:val="top"/>
          </w:tcPr>
          <w:p>
            <w:r>
              <w:rPr>
                <w:sz w:val="16"/>
              </w:rPr>
              <w:t>Identity and privileged access management</w:t>
            </w:r>
          </w:p>
        </w:tc>
        <w:tc>
          <w:tcPr>
            <w:tcW w:type="dxa" w:w="3744"/>
            <w:vAlign w:val="top"/>
          </w:tcPr>
          <w:p>
            <w:r>
              <w:rPr>
                <w:sz w:val="16"/>
              </w:rPr>
              <w:t>Compromised credentials can enable lateral movement, data access, or claims/payment manipulation.</w:t>
            </w:r>
          </w:p>
        </w:tc>
        <w:tc>
          <w:tcPr>
            <w:tcW w:type="dxa" w:w="4176"/>
            <w:vAlign w:val="top"/>
          </w:tcPr>
          <w:p>
            <w:r>
              <w:rPr>
                <w:sz w:val="16"/>
              </w:rPr>
              <w:t>Access reviews, MFA logs, privileged access management, joiner/mover/leaver samples.</w:t>
            </w:r>
          </w:p>
        </w:tc>
      </w:tr>
      <w:tr>
        <w:tc>
          <w:tcPr>
            <w:tcW w:type="dxa" w:w="2448"/>
            <w:vAlign w:val="top"/>
          </w:tcPr>
          <w:p>
            <w:r>
              <w:rPr>
                <w:sz w:val="16"/>
              </w:rPr>
              <w:t>Cloud security</w:t>
            </w:r>
          </w:p>
        </w:tc>
        <w:tc>
          <w:tcPr>
            <w:tcW w:type="dxa" w:w="3744"/>
            <w:vAlign w:val="top"/>
          </w:tcPr>
          <w:p>
            <w:r>
              <w:rPr>
                <w:sz w:val="16"/>
              </w:rPr>
              <w:t>Hybrid cloud creates shared-responsibility, configuration, logging, and data exposure risk.</w:t>
            </w:r>
          </w:p>
        </w:tc>
        <w:tc>
          <w:tcPr>
            <w:tcW w:type="dxa" w:w="4176"/>
            <w:vAlign w:val="top"/>
          </w:tcPr>
          <w:p>
            <w:r>
              <w:rPr>
                <w:sz w:val="16"/>
              </w:rPr>
              <w:t>Cloud inventory, IAM policies, storage configuration, encryption, posture management reports.</w:t>
            </w:r>
          </w:p>
        </w:tc>
      </w:tr>
      <w:tr>
        <w:tc>
          <w:tcPr>
            <w:tcW w:type="dxa" w:w="2448"/>
            <w:vAlign w:val="top"/>
          </w:tcPr>
          <w:p>
            <w:r>
              <w:rPr>
                <w:sz w:val="16"/>
              </w:rPr>
              <w:t>Third-party cyber risk</w:t>
            </w:r>
          </w:p>
        </w:tc>
        <w:tc>
          <w:tcPr>
            <w:tcW w:type="dxa" w:w="3744"/>
            <w:vAlign w:val="top"/>
          </w:tcPr>
          <w:p>
            <w:r>
              <w:rPr>
                <w:sz w:val="16"/>
              </w:rPr>
              <w:t>Claims processors, cloud providers, data suppliers, and service vendors may introduce data or operational risk.</w:t>
            </w:r>
          </w:p>
        </w:tc>
        <w:tc>
          <w:tcPr>
            <w:tcW w:type="dxa" w:w="4176"/>
            <w:vAlign w:val="top"/>
          </w:tcPr>
          <w:p>
            <w:r>
              <w:rPr>
                <w:sz w:val="16"/>
              </w:rPr>
              <w:t>Vendor assessments, SOC reports, contracts, incident-notification clauses, right-to-audit clauses.</w:t>
            </w:r>
          </w:p>
        </w:tc>
      </w:tr>
      <w:tr>
        <w:tc>
          <w:tcPr>
            <w:tcW w:type="dxa" w:w="2448"/>
            <w:vAlign w:val="top"/>
          </w:tcPr>
          <w:p>
            <w:r>
              <w:rPr>
                <w:sz w:val="16"/>
              </w:rPr>
              <w:t>Data protection and privacy</w:t>
            </w:r>
          </w:p>
        </w:tc>
        <w:tc>
          <w:tcPr>
            <w:tcW w:type="dxa" w:w="3744"/>
            <w:vAlign w:val="top"/>
          </w:tcPr>
          <w:p>
            <w:r>
              <w:rPr>
                <w:sz w:val="16"/>
              </w:rPr>
              <w:t>CNIC processes personal, medical, claims, and financial data.</w:t>
            </w:r>
          </w:p>
        </w:tc>
        <w:tc>
          <w:tcPr>
            <w:tcW w:type="dxa" w:w="4176"/>
            <w:vAlign w:val="top"/>
          </w:tcPr>
          <w:p>
            <w:r>
              <w:rPr>
                <w:sz w:val="16"/>
              </w:rPr>
              <w:t>Data classification, encryption, DLP logs, breach assessment, retention, records, notification evidence.</w:t>
            </w:r>
          </w:p>
        </w:tc>
      </w:tr>
      <w:tr>
        <w:tc>
          <w:tcPr>
            <w:tcW w:type="dxa" w:w="2448"/>
            <w:vAlign w:val="top"/>
          </w:tcPr>
          <w:p>
            <w:r>
              <w:rPr>
                <w:sz w:val="16"/>
              </w:rPr>
              <w:t>Backup and recovery</w:t>
            </w:r>
          </w:p>
        </w:tc>
        <w:tc>
          <w:tcPr>
            <w:tcW w:type="dxa" w:w="3744"/>
            <w:vAlign w:val="top"/>
          </w:tcPr>
          <w:p>
            <w:r>
              <w:rPr>
                <w:sz w:val="16"/>
              </w:rPr>
              <w:t>Ransomware impact depends on backup isolation and validated recovery.</w:t>
            </w:r>
          </w:p>
        </w:tc>
        <w:tc>
          <w:tcPr>
            <w:tcW w:type="dxa" w:w="4176"/>
            <w:vAlign w:val="top"/>
          </w:tcPr>
          <w:p>
            <w:r>
              <w:rPr>
                <w:sz w:val="16"/>
              </w:rPr>
              <w:t>Backup job reports, immutable backups, restore tests, RTO/RPO evidence.</w:t>
            </w:r>
          </w:p>
        </w:tc>
      </w:tr>
      <w:tr>
        <w:tc>
          <w:tcPr>
            <w:tcW w:type="dxa" w:w="2448"/>
            <w:vAlign w:val="top"/>
          </w:tcPr>
          <w:p>
            <w:r>
              <w:rPr>
                <w:sz w:val="16"/>
              </w:rPr>
              <w:t>SOC monitoring and detection</w:t>
            </w:r>
          </w:p>
        </w:tc>
        <w:tc>
          <w:tcPr>
            <w:tcW w:type="dxa" w:w="3744"/>
            <w:vAlign w:val="top"/>
          </w:tcPr>
          <w:p>
            <w:r>
              <w:rPr>
                <w:sz w:val="16"/>
              </w:rPr>
              <w:t>APT, ransomware, insider, and cloud events may remain undetected without mature monitoring.</w:t>
            </w:r>
          </w:p>
        </w:tc>
        <w:tc>
          <w:tcPr>
            <w:tcW w:type="dxa" w:w="4176"/>
            <w:vAlign w:val="top"/>
          </w:tcPr>
          <w:p>
            <w:r>
              <w:rPr>
                <w:sz w:val="16"/>
              </w:rPr>
              <w:t>SIEM rules, EDR alerts, use cases, threat hunting, alert closure rationale.</w:t>
            </w:r>
          </w:p>
        </w:tc>
      </w:tr>
      <w:tr>
        <w:tc>
          <w:tcPr>
            <w:tcW w:type="dxa" w:w="2448"/>
            <w:vAlign w:val="top"/>
          </w:tcPr>
          <w:p>
            <w:r>
              <w:rPr>
                <w:sz w:val="16"/>
              </w:rPr>
              <w:t>AI and analytics governance</w:t>
            </w:r>
          </w:p>
        </w:tc>
        <w:tc>
          <w:tcPr>
            <w:tcW w:type="dxa" w:w="3744"/>
            <w:vAlign w:val="top"/>
          </w:tcPr>
          <w:p>
            <w:r>
              <w:rPr>
                <w:sz w:val="16"/>
              </w:rPr>
              <w:t>AI-driven CRM, claims triage, and fraud detection create data, bias, explainability, and integrity issues.</w:t>
            </w:r>
          </w:p>
        </w:tc>
        <w:tc>
          <w:tcPr>
            <w:tcW w:type="dxa" w:w="4176"/>
            <w:vAlign w:val="top"/>
          </w:tcPr>
          <w:p>
            <w:r>
              <w:rPr>
                <w:sz w:val="16"/>
              </w:rPr>
              <w:t>Model inventory, data lineage, access controls, monitoring, exception reviews, approval records.</w:t>
            </w:r>
          </w:p>
        </w:tc>
      </w:tr>
      <w:tr>
        <w:tc>
          <w:tcPr>
            <w:tcW w:type="dxa" w:w="2448"/>
            <w:vAlign w:val="top"/>
          </w:tcPr>
          <w:p>
            <w:r>
              <w:rPr>
                <w:sz w:val="16"/>
              </w:rPr>
              <w:t>BYOD and endpoint security</w:t>
            </w:r>
          </w:p>
        </w:tc>
        <w:tc>
          <w:tcPr>
            <w:tcW w:type="dxa" w:w="3744"/>
            <w:vAlign w:val="top"/>
          </w:tcPr>
          <w:p>
            <w:r>
              <w:rPr>
                <w:sz w:val="16"/>
              </w:rPr>
              <w:t>Employee devices and remote access can become entry points for malware.</w:t>
            </w:r>
          </w:p>
        </w:tc>
        <w:tc>
          <w:tcPr>
            <w:tcW w:type="dxa" w:w="4176"/>
            <w:vAlign w:val="top"/>
          </w:tcPr>
          <w:p>
            <w:r>
              <w:rPr>
                <w:sz w:val="16"/>
              </w:rPr>
              <w:t>MDM records, endpoint protection reports, conditional access, device compliance logs.</w:t>
            </w:r>
          </w:p>
        </w:tc>
      </w:tr>
      <w:tr>
        <w:tc>
          <w:tcPr>
            <w:tcW w:type="dxa" w:w="2448"/>
            <w:vAlign w:val="top"/>
          </w:tcPr>
          <w:p>
            <w:r>
              <w:rPr>
                <w:sz w:val="16"/>
              </w:rPr>
              <w:t>Remediation governance</w:t>
            </w:r>
          </w:p>
        </w:tc>
        <w:tc>
          <w:tcPr>
            <w:tcW w:type="dxa" w:w="3744"/>
            <w:vAlign w:val="top"/>
          </w:tcPr>
          <w:p>
            <w:r>
              <w:rPr>
                <w:sz w:val="16"/>
              </w:rPr>
              <w:t>The Board must know whether management is fixing root causes.</w:t>
            </w:r>
          </w:p>
        </w:tc>
        <w:tc>
          <w:tcPr>
            <w:tcW w:type="dxa" w:w="4176"/>
            <w:vAlign w:val="top"/>
          </w:tcPr>
          <w:p>
            <w:r>
              <w:rPr>
                <w:sz w:val="16"/>
              </w:rPr>
              <w:t>Action plans, owners, due dates, validation evidence, overdue findings, accepted risks.</w:t>
            </w:r>
          </w:p>
        </w:tc>
      </w:tr>
    </w:tbl>
    <w:p/>
    <w:p>
      <w:pPr>
        <w:pStyle w:val="Heading2"/>
      </w:pPr>
      <w:r>
        <w:t>Required audit planning deliverables</w:t>
      </w:r>
    </w:p>
    <w:p>
      <w:pPr>
        <w:pStyle w:val="ListNumber"/>
      </w:pPr>
      <w:r>
        <w:t>A concise audit planning memo to the Board Risk and Audit Committee explaining audit priorities for the next 12 months.</w:t>
      </w:r>
    </w:p>
    <w:p>
      <w:pPr>
        <w:pStyle w:val="ListNumber"/>
      </w:pPr>
      <w:r>
        <w:t>A cybersecurity audit universe with inherent risk ratings and proposed audit frequency.</w:t>
      </w:r>
    </w:p>
    <w:p>
      <w:pPr>
        <w:pStyle w:val="ListNumber"/>
      </w:pPr>
      <w:r>
        <w:t>One detailed audit program for a selected high-risk area, including objectives, scope, criteria, evidence, sampling, and expected control tests.</w:t>
      </w:r>
    </w:p>
    <w:p>
      <w:pPr>
        <w:pStyle w:val="ListNumber"/>
      </w:pPr>
      <w:r>
        <w:t>A preliminary root-cause analysis connecting cybersecurity scenarios to governance, process, people, technology, data, and third-party control gaps.</w:t>
      </w:r>
    </w:p>
    <w:p>
      <w:pPr>
        <w:pStyle w:val="ListNumber"/>
      </w:pPr>
      <w:r>
        <w:t>A remediation follow-up plan identifying which management actions require independent validation.</w:t>
      </w:r>
    </w:p>
    <w:p>
      <w:pPr>
        <w:pStyle w:val="Heading1"/>
      </w:pPr>
      <w:r>
        <w:t>8. Module C: Scenario-Based Risk Management Exercise</w:t>
      </w:r>
    </w:p>
    <w:p>
      <w:r>
        <w:t>In this module, students act as cybersecurity risk analysts working for the CISO. The objective is to produce a scenario-based cybersecurity risk assessment that supports a 2025-2030 action plan. Students should identify credible risk scenarios, assess inherent and residual risk, recommend treatment options, estimate cost and implementation complexity, and identify risks requiring executive or Board acceptance.</w:t>
      </w:r>
    </w:p>
    <w:p>
      <w:pPr>
        <w:pStyle w:val="Heading2"/>
      </w:pPr>
      <w:r>
        <w:t>Risk appetite statement for teaching</w:t>
      </w:r>
    </w:p>
    <w:p>
      <w:r>
        <w:t>CNIC is risk-averse in areas involving customer trust, privacy, medical and financial data, claims continuity, regulatory compliance, and reputation. It accepts more risk where controlled experimentation supports digital innovation, AI-enabled efficiency, and customer experience. For teaching purposes, CNIC’s normalized risk tolerance is 0.34 on a 0-to-1 scale. Any residual risk above 0.20 requires executive review, and any residual risk above 0.34 requires explicit Board acceptance.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D9EAF7"/>
          </w:tcPr>
          <w:p>
            <w:r>
              <w:rPr>
                <w:b/>
                <w:sz w:val="16"/>
              </w:rPr>
              <w:t>Risk appetite area</w:t>
            </w:r>
          </w:p>
        </w:tc>
        <w:tc>
          <w:tcPr>
            <w:tcW w:type="dxa" w:w="7200"/>
            <w:shd w:fill="D9EAF7"/>
          </w:tcPr>
          <w:p>
            <w:r>
              <w:rPr>
                <w:b/>
                <w:sz w:val="16"/>
              </w:rPr>
              <w:t>Operational threshold for students to use</w:t>
            </w:r>
          </w:p>
        </w:tc>
      </w:tr>
      <w:tr>
        <w:tc>
          <w:tcPr>
            <w:tcW w:type="dxa" w:w="3024"/>
            <w:vAlign w:val="top"/>
          </w:tcPr>
          <w:p>
            <w:r>
              <w:rPr>
                <w:sz w:val="16"/>
              </w:rPr>
              <w:t>Sensitive client data</w:t>
            </w:r>
          </w:p>
        </w:tc>
        <w:tc>
          <w:tcPr>
            <w:tcW w:type="dxa" w:w="7200"/>
            <w:vAlign w:val="top"/>
          </w:tcPr>
          <w:p>
            <w:r>
              <w:rPr>
                <w:sz w:val="16"/>
              </w:rPr>
              <w:t>No uncontrolled exposure of personal, medical, claims, identity, or financial data. High-risk data stores must have encryption, access control, logging, monitoring, and documented ownership.</w:t>
            </w:r>
          </w:p>
        </w:tc>
      </w:tr>
      <w:tr>
        <w:tc>
          <w:tcPr>
            <w:tcW w:type="dxa" w:w="3024"/>
            <w:vAlign w:val="top"/>
          </w:tcPr>
          <w:p>
            <w:r>
              <w:rPr>
                <w:sz w:val="16"/>
              </w:rPr>
              <w:t>Claims continuity</w:t>
            </w:r>
          </w:p>
        </w:tc>
        <w:tc>
          <w:tcPr>
            <w:tcW w:type="dxa" w:w="7200"/>
            <w:vAlign w:val="top"/>
          </w:tcPr>
          <w:p>
            <w:r>
              <w:rPr>
                <w:sz w:val="16"/>
              </w:rPr>
              <w:t>Claims intake, triage, payment, and customer-service workflows must have tested recovery plans aligned with defined RTO/RPO targets.</w:t>
            </w:r>
          </w:p>
        </w:tc>
      </w:tr>
      <w:tr>
        <w:tc>
          <w:tcPr>
            <w:tcW w:type="dxa" w:w="3024"/>
            <w:vAlign w:val="top"/>
          </w:tcPr>
          <w:p>
            <w:r>
              <w:rPr>
                <w:sz w:val="16"/>
              </w:rPr>
              <w:t>Regulatory and privacy compliance</w:t>
            </w:r>
          </w:p>
        </w:tc>
        <w:tc>
          <w:tcPr>
            <w:tcW w:type="dxa" w:w="7200"/>
            <w:vAlign w:val="top"/>
          </w:tcPr>
          <w:p>
            <w:r>
              <w:rPr>
                <w:sz w:val="16"/>
              </w:rPr>
              <w:t>Potential material incidents and privacy breaches must be escalated quickly, assessed with legal/privacy involvement, documented, and reported where required.</w:t>
            </w:r>
          </w:p>
        </w:tc>
      </w:tr>
      <w:tr>
        <w:tc>
          <w:tcPr>
            <w:tcW w:type="dxa" w:w="3024"/>
            <w:vAlign w:val="top"/>
          </w:tcPr>
          <w:p>
            <w:r>
              <w:rPr>
                <w:sz w:val="16"/>
              </w:rPr>
              <w:t>Privileged access</w:t>
            </w:r>
          </w:p>
        </w:tc>
        <w:tc>
          <w:tcPr>
            <w:tcW w:type="dxa" w:w="7200"/>
            <w:vAlign w:val="top"/>
          </w:tcPr>
          <w:p>
            <w:r>
              <w:rPr>
                <w:sz w:val="16"/>
              </w:rPr>
              <w:t>Privileged accounts must use MFA, logging, least privilege, periodic review, and exception approval.</w:t>
            </w:r>
          </w:p>
        </w:tc>
      </w:tr>
      <w:tr>
        <w:tc>
          <w:tcPr>
            <w:tcW w:type="dxa" w:w="3024"/>
            <w:vAlign w:val="top"/>
          </w:tcPr>
          <w:p>
            <w:r>
              <w:rPr>
                <w:sz w:val="16"/>
              </w:rPr>
              <w:t>AI-enabled systems</w:t>
            </w:r>
          </w:p>
        </w:tc>
        <w:tc>
          <w:tcPr>
            <w:tcW w:type="dxa" w:w="7200"/>
            <w:vAlign w:val="top"/>
          </w:tcPr>
          <w:p>
            <w:r>
              <w:rPr>
                <w:sz w:val="16"/>
              </w:rPr>
              <w:t>AI claims and CRM models must have data governance, access control, quality monitoring, explainability where needed, and human review for high-impact decisions.</w:t>
            </w:r>
          </w:p>
        </w:tc>
      </w:tr>
      <w:tr>
        <w:tc>
          <w:tcPr>
            <w:tcW w:type="dxa" w:w="3024"/>
            <w:vAlign w:val="top"/>
          </w:tcPr>
          <w:p>
            <w:r>
              <w:rPr>
                <w:sz w:val="16"/>
              </w:rPr>
              <w:t>Third-party risk</w:t>
            </w:r>
          </w:p>
        </w:tc>
        <w:tc>
          <w:tcPr>
            <w:tcW w:type="dxa" w:w="7200"/>
            <w:vAlign w:val="top"/>
          </w:tcPr>
          <w:p>
            <w:r>
              <w:rPr>
                <w:sz w:val="16"/>
              </w:rPr>
              <w:t>Critical suppliers must meet defined security expectations, support incident notification, provide assurance evidence, and participate in incident coordination.</w:t>
            </w:r>
          </w:p>
        </w:tc>
      </w:tr>
    </w:tbl>
    <w:p/>
    <w:p>
      <w:pPr>
        <w:pStyle w:val="Heading2"/>
      </w:pPr>
      <w:r>
        <w:t>Risk scoring methodology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D9EAF7"/>
          </w:tcPr>
          <w:p>
            <w:r>
              <w:rPr>
                <w:b/>
                <w:sz w:val="16"/>
              </w:rPr>
              <w:t>Variable</w:t>
            </w:r>
          </w:p>
        </w:tc>
        <w:tc>
          <w:tcPr>
            <w:tcW w:type="dxa" w:w="4320"/>
            <w:shd w:fill="D9EAF7"/>
          </w:tcPr>
          <w:p>
            <w:r>
              <w:rPr>
                <w:b/>
                <w:sz w:val="16"/>
              </w:rPr>
              <w:t>Meaning</w:t>
            </w:r>
          </w:p>
        </w:tc>
        <w:tc>
          <w:tcPr>
            <w:tcW w:type="dxa" w:w="3888"/>
            <w:shd w:fill="D9EAF7"/>
          </w:tcPr>
          <w:p>
            <w:r>
              <w:rPr>
                <w:b/>
                <w:sz w:val="16"/>
              </w:rPr>
              <w:t>Scale guidance</w:t>
            </w:r>
          </w:p>
        </w:tc>
      </w:tr>
      <w:tr>
        <w:tc>
          <w:tcPr>
            <w:tcW w:type="dxa" w:w="2160"/>
            <w:vAlign w:val="top"/>
          </w:tcPr>
          <w:p>
            <w:r>
              <w:rPr>
                <w:sz w:val="16"/>
              </w:rPr>
              <w:t>T - Threat presence</w:t>
            </w:r>
          </w:p>
        </w:tc>
        <w:tc>
          <w:tcPr>
            <w:tcW w:type="dxa" w:w="4320"/>
            <w:vAlign w:val="top"/>
          </w:tcPr>
          <w:p>
            <w:r>
              <w:rPr>
                <w:sz w:val="16"/>
              </w:rPr>
              <w:t>Likelihood that the threat actor, threat event, or adverse condition is present in the environment.</w:t>
            </w:r>
          </w:p>
        </w:tc>
        <w:tc>
          <w:tcPr>
            <w:tcW w:type="dxa" w:w="3888"/>
            <w:vAlign w:val="top"/>
          </w:tcPr>
          <w:p>
            <w:r>
              <w:rPr>
                <w:sz w:val="16"/>
              </w:rPr>
              <w:t>0.0 very unlikely; 0.5 plausible; 1.0 highly likely or already observed.</w:t>
            </w:r>
          </w:p>
        </w:tc>
      </w:tr>
      <w:tr>
        <w:tc>
          <w:tcPr>
            <w:tcW w:type="dxa" w:w="2160"/>
            <w:vAlign w:val="top"/>
          </w:tcPr>
          <w:p>
            <w:r>
              <w:rPr>
                <w:sz w:val="16"/>
              </w:rPr>
              <w:t>E - Exploitability</w:t>
            </w:r>
          </w:p>
        </w:tc>
        <w:tc>
          <w:tcPr>
            <w:tcW w:type="dxa" w:w="4320"/>
            <w:vAlign w:val="top"/>
          </w:tcPr>
          <w:p>
            <w:r>
              <w:rPr>
                <w:sz w:val="16"/>
              </w:rPr>
              <w:t>Likelihood that the threat can exploit the weakness, given current exposure and controls.</w:t>
            </w:r>
          </w:p>
        </w:tc>
        <w:tc>
          <w:tcPr>
            <w:tcW w:type="dxa" w:w="3888"/>
            <w:vAlign w:val="top"/>
          </w:tcPr>
          <w:p>
            <w:r>
              <w:rPr>
                <w:sz w:val="16"/>
              </w:rPr>
              <w:t>0.0 very difficult; 0.5 feasible; 1.0 easy or already exploited.</w:t>
            </w:r>
          </w:p>
        </w:tc>
      </w:tr>
      <w:tr>
        <w:tc>
          <w:tcPr>
            <w:tcW w:type="dxa" w:w="2160"/>
            <w:vAlign w:val="top"/>
          </w:tcPr>
          <w:p>
            <w:r>
              <w:rPr>
                <w:sz w:val="16"/>
              </w:rPr>
              <w:t>I - Business impact</w:t>
            </w:r>
          </w:p>
        </w:tc>
        <w:tc>
          <w:tcPr>
            <w:tcW w:type="dxa" w:w="4320"/>
            <w:vAlign w:val="top"/>
          </w:tcPr>
          <w:p>
            <w:r>
              <w:rPr>
                <w:sz w:val="16"/>
              </w:rPr>
              <w:t>Expected business impact if the scenario occurs.</w:t>
            </w:r>
          </w:p>
        </w:tc>
        <w:tc>
          <w:tcPr>
            <w:tcW w:type="dxa" w:w="3888"/>
            <w:vAlign w:val="top"/>
          </w:tcPr>
          <w:p>
            <w:r>
              <w:rPr>
                <w:sz w:val="16"/>
              </w:rPr>
              <w:t>0.0 negligible; 0.5 material; 1.0 severe enterprise impact.</w:t>
            </w:r>
          </w:p>
        </w:tc>
      </w:tr>
      <w:tr>
        <w:tc>
          <w:tcPr>
            <w:tcW w:type="dxa" w:w="2160"/>
            <w:vAlign w:val="top"/>
          </w:tcPr>
          <w:p>
            <w:r>
              <w:rPr>
                <w:sz w:val="16"/>
              </w:rPr>
              <w:t>C - Control maturity</w:t>
            </w:r>
          </w:p>
        </w:tc>
        <w:tc>
          <w:tcPr>
            <w:tcW w:type="dxa" w:w="4320"/>
            <w:vAlign w:val="top"/>
          </w:tcPr>
          <w:p>
            <w:r>
              <w:rPr>
                <w:sz w:val="16"/>
              </w:rPr>
              <w:t>Effectiveness of preventive, detective, corrective, and governance controls.</w:t>
            </w:r>
          </w:p>
        </w:tc>
        <w:tc>
          <w:tcPr>
            <w:tcW w:type="dxa" w:w="3888"/>
            <w:vAlign w:val="top"/>
          </w:tcPr>
          <w:p>
            <w:r>
              <w:rPr>
                <w:sz w:val="16"/>
              </w:rPr>
              <w:t>0.0 absent; 0.5 partially effective; 1.0 highly effective.</w:t>
            </w:r>
          </w:p>
        </w:tc>
      </w:tr>
      <w:tr>
        <w:tc>
          <w:tcPr>
            <w:tcW w:type="dxa" w:w="2160"/>
            <w:vAlign w:val="top"/>
          </w:tcPr>
          <w:p>
            <w:r>
              <w:rPr>
                <w:sz w:val="16"/>
              </w:rPr>
              <w:t>Inherent risk</w:t>
            </w:r>
          </w:p>
        </w:tc>
        <w:tc>
          <w:tcPr>
            <w:tcW w:type="dxa" w:w="4320"/>
            <w:vAlign w:val="top"/>
          </w:tcPr>
          <w:p>
            <w:r>
              <w:rPr>
                <w:sz w:val="16"/>
              </w:rPr>
              <w:t>Risk before considering current controls.</w:t>
            </w:r>
          </w:p>
        </w:tc>
        <w:tc>
          <w:tcPr>
            <w:tcW w:type="dxa" w:w="3888"/>
            <w:vAlign w:val="top"/>
          </w:tcPr>
          <w:p>
            <w:r>
              <w:rPr>
                <w:sz w:val="16"/>
              </w:rPr>
              <w:t>T x E x I.</w:t>
            </w:r>
          </w:p>
        </w:tc>
      </w:tr>
      <w:tr>
        <w:tc>
          <w:tcPr>
            <w:tcW w:type="dxa" w:w="2160"/>
            <w:vAlign w:val="top"/>
          </w:tcPr>
          <w:p>
            <w:r>
              <w:rPr>
                <w:sz w:val="16"/>
              </w:rPr>
              <w:t>Residual risk</w:t>
            </w:r>
          </w:p>
        </w:tc>
        <w:tc>
          <w:tcPr>
            <w:tcW w:type="dxa" w:w="4320"/>
            <w:vAlign w:val="top"/>
          </w:tcPr>
          <w:p>
            <w:r>
              <w:rPr>
                <w:sz w:val="16"/>
              </w:rPr>
              <w:t>Risk after considering current controls.</w:t>
            </w:r>
          </w:p>
        </w:tc>
        <w:tc>
          <w:tcPr>
            <w:tcW w:type="dxa" w:w="3888"/>
            <w:vAlign w:val="top"/>
          </w:tcPr>
          <w:p>
            <w:r>
              <w:rPr>
                <w:sz w:val="16"/>
              </w:rPr>
              <w:t>Inherent risk x (1 - control effectiveness adjustment). Students must explain their adjustment.</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D9EAF7"/>
          </w:tcPr>
          <w:p>
            <w:r>
              <w:rPr>
                <w:b/>
                <w:sz w:val="16"/>
              </w:rPr>
              <w:t>Risk level</w:t>
            </w:r>
          </w:p>
        </w:tc>
        <w:tc>
          <w:tcPr>
            <w:tcW w:type="dxa" w:w="2880"/>
            <w:shd w:fill="D9EAF7"/>
          </w:tcPr>
          <w:p>
            <w:r>
              <w:rPr>
                <w:b/>
                <w:sz w:val="16"/>
              </w:rPr>
              <w:t>Normalized score range</w:t>
            </w:r>
          </w:p>
        </w:tc>
        <w:tc>
          <w:tcPr>
            <w:tcW w:type="dxa" w:w="5328"/>
            <w:shd w:fill="D9EAF7"/>
          </w:tcPr>
          <w:p>
            <w:r>
              <w:rPr>
                <w:b/>
                <w:sz w:val="16"/>
              </w:rPr>
              <w:t>Expected management action</w:t>
            </w:r>
          </w:p>
        </w:tc>
      </w:tr>
      <w:tr>
        <w:tc>
          <w:tcPr>
            <w:tcW w:type="dxa" w:w="2160"/>
            <w:vAlign w:val="top"/>
          </w:tcPr>
          <w:p>
            <w:r>
              <w:rPr>
                <w:sz w:val="16"/>
              </w:rPr>
              <w:t>Low</w:t>
            </w:r>
          </w:p>
        </w:tc>
        <w:tc>
          <w:tcPr>
            <w:tcW w:type="dxa" w:w="2880"/>
            <w:vAlign w:val="top"/>
          </w:tcPr>
          <w:p>
            <w:r>
              <w:rPr>
                <w:sz w:val="16"/>
              </w:rPr>
              <w:t>0.00 to 0.07</w:t>
            </w:r>
          </w:p>
        </w:tc>
        <w:tc>
          <w:tcPr>
            <w:tcW w:type="dxa" w:w="5328"/>
            <w:vAlign w:val="top"/>
          </w:tcPr>
          <w:p>
            <w:r>
              <w:rPr>
                <w:sz w:val="16"/>
              </w:rPr>
              <w:t>Monitor through normal operations.</w:t>
            </w:r>
          </w:p>
        </w:tc>
      </w:tr>
      <w:tr>
        <w:tc>
          <w:tcPr>
            <w:tcW w:type="dxa" w:w="2160"/>
            <w:vAlign w:val="top"/>
          </w:tcPr>
          <w:p>
            <w:r>
              <w:rPr>
                <w:sz w:val="16"/>
              </w:rPr>
              <w:t>Moderate</w:t>
            </w:r>
          </w:p>
        </w:tc>
        <w:tc>
          <w:tcPr>
            <w:tcW w:type="dxa" w:w="2880"/>
            <w:vAlign w:val="top"/>
          </w:tcPr>
          <w:p>
            <w:r>
              <w:rPr>
                <w:sz w:val="16"/>
              </w:rPr>
              <w:t>&gt;0.07 to 0.15</w:t>
            </w:r>
          </w:p>
        </w:tc>
        <w:tc>
          <w:tcPr>
            <w:tcW w:type="dxa" w:w="5328"/>
            <w:vAlign w:val="top"/>
          </w:tcPr>
          <w:p>
            <w:r>
              <w:rPr>
                <w:sz w:val="16"/>
              </w:rPr>
              <w:t>Assign owner, confirm controls, and track as part of regular risk reporting.</w:t>
            </w:r>
          </w:p>
        </w:tc>
      </w:tr>
      <w:tr>
        <w:tc>
          <w:tcPr>
            <w:tcW w:type="dxa" w:w="2160"/>
            <w:vAlign w:val="top"/>
          </w:tcPr>
          <w:p>
            <w:r>
              <w:rPr>
                <w:sz w:val="16"/>
              </w:rPr>
              <w:t>High</w:t>
            </w:r>
          </w:p>
        </w:tc>
        <w:tc>
          <w:tcPr>
            <w:tcW w:type="dxa" w:w="2880"/>
            <w:vAlign w:val="top"/>
          </w:tcPr>
          <w:p>
            <w:r>
              <w:rPr>
                <w:sz w:val="16"/>
              </w:rPr>
              <w:t>&gt;0.15 to 0.25</w:t>
            </w:r>
          </w:p>
        </w:tc>
        <w:tc>
          <w:tcPr>
            <w:tcW w:type="dxa" w:w="5328"/>
            <w:vAlign w:val="top"/>
          </w:tcPr>
          <w:p>
            <w:r>
              <w:rPr>
                <w:sz w:val="16"/>
              </w:rPr>
              <w:t>Treat through a funded action plan or obtain executive risk acceptance.</w:t>
            </w:r>
          </w:p>
        </w:tc>
      </w:tr>
      <w:tr>
        <w:tc>
          <w:tcPr>
            <w:tcW w:type="dxa" w:w="2160"/>
            <w:vAlign w:val="top"/>
          </w:tcPr>
          <w:p>
            <w:r>
              <w:rPr>
                <w:sz w:val="16"/>
              </w:rPr>
              <w:t>Critical</w:t>
            </w:r>
          </w:p>
        </w:tc>
        <w:tc>
          <w:tcPr>
            <w:tcW w:type="dxa" w:w="2880"/>
            <w:vAlign w:val="top"/>
          </w:tcPr>
          <w:p>
            <w:r>
              <w:rPr>
                <w:sz w:val="16"/>
              </w:rPr>
              <w:t>&gt;0.25</w:t>
            </w:r>
          </w:p>
        </w:tc>
        <w:tc>
          <w:tcPr>
            <w:tcW w:type="dxa" w:w="5328"/>
            <w:vAlign w:val="top"/>
          </w:tcPr>
          <w:p>
            <w:r>
              <w:rPr>
                <w:sz w:val="16"/>
              </w:rPr>
              <w:t>Immediate escalation; treatment plan required; Board visibility if residual risk remains above tolerance.</w:t>
            </w:r>
          </w:p>
        </w:tc>
      </w:tr>
    </w:tbl>
    <w:p/>
    <w:p>
      <w:pPr>
        <w:pStyle w:val="Heading1"/>
      </w:pPr>
      <w:r>
        <w:t>9. Scenario Library</w:t>
      </w:r>
    </w:p>
    <w:p>
      <w:r>
        <w:t>The following scenarios are designed for students to analyze. This library does not provide all risk scores, CVSS values, mitigation costs, or post-mitigation reductions. Students must develop their own defensible analysis. The instructor may provide selected scoring assumptions separately if desired.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07"/>
            <w:shd w:fill="D9EAF7"/>
          </w:tcPr>
          <w:p>
            <w:r>
              <w:rPr>
                <w:b/>
                <w:sz w:val="16"/>
              </w:rPr>
              <w:t>ID</w:t>
            </w:r>
          </w:p>
        </w:tc>
        <w:tc>
          <w:tcPr>
            <w:tcW w:type="dxa" w:w="2304"/>
            <w:shd w:fill="D9EAF7"/>
          </w:tcPr>
          <w:p>
            <w:r>
              <w:rPr>
                <w:b/>
                <w:sz w:val="16"/>
              </w:rPr>
              <w:t>Scenario</w:t>
            </w:r>
          </w:p>
        </w:tc>
        <w:tc>
          <w:tcPr>
            <w:tcW w:type="dxa" w:w="3600"/>
            <w:shd w:fill="D9EAF7"/>
          </w:tcPr>
          <w:p>
            <w:r>
              <w:rPr>
                <w:b/>
                <w:sz w:val="16"/>
              </w:rPr>
              <w:t>Short description</w:t>
            </w:r>
          </w:p>
        </w:tc>
        <w:tc>
          <w:tcPr>
            <w:tcW w:type="dxa" w:w="3456"/>
            <w:shd w:fill="D9EAF7"/>
          </w:tcPr>
          <w:p>
            <w:r>
              <w:rPr>
                <w:b/>
                <w:sz w:val="16"/>
              </w:rPr>
              <w:t>Controls students should consider</w:t>
            </w:r>
          </w:p>
        </w:tc>
      </w:tr>
      <w:tr>
        <w:tc>
          <w:tcPr>
            <w:tcW w:type="dxa" w:w="1007"/>
            <w:vAlign w:val="top"/>
          </w:tcPr>
          <w:p>
            <w:r>
              <w:rPr>
                <w:sz w:val="16"/>
              </w:rPr>
              <w:t>CNIC-01</w:t>
            </w:r>
          </w:p>
        </w:tc>
        <w:tc>
          <w:tcPr>
            <w:tcW w:type="dxa" w:w="2304"/>
            <w:vAlign w:val="top"/>
          </w:tcPr>
          <w:p>
            <w:r>
              <w:rPr>
                <w:sz w:val="16"/>
              </w:rPr>
              <w:t>Ransomware attack on data centers</w:t>
            </w:r>
          </w:p>
        </w:tc>
        <w:tc>
          <w:tcPr>
            <w:tcW w:type="dxa" w:w="3600"/>
            <w:vAlign w:val="top"/>
          </w:tcPr>
          <w:p>
            <w:r>
              <w:rPr>
                <w:sz w:val="16"/>
              </w:rPr>
              <w:t>Attackers encrypt customer records, claims information, and financial transactions, disrupting claims processing and threatening data exposure.</w:t>
            </w:r>
          </w:p>
        </w:tc>
        <w:tc>
          <w:tcPr>
            <w:tcW w:type="dxa" w:w="3456"/>
            <w:vAlign w:val="top"/>
          </w:tcPr>
          <w:p>
            <w:r>
              <w:rPr>
                <w:sz w:val="16"/>
              </w:rPr>
              <w:t>Backups, segmentation, EDR, phishing defenses, incident response, immutable storage, crisis communications.</w:t>
            </w:r>
          </w:p>
        </w:tc>
      </w:tr>
      <w:tr>
        <w:tc>
          <w:tcPr>
            <w:tcW w:type="dxa" w:w="1007"/>
            <w:vAlign w:val="top"/>
          </w:tcPr>
          <w:p>
            <w:r>
              <w:rPr>
                <w:sz w:val="16"/>
              </w:rPr>
              <w:t>CNIC-02</w:t>
            </w:r>
          </w:p>
        </w:tc>
        <w:tc>
          <w:tcPr>
            <w:tcW w:type="dxa" w:w="2304"/>
            <w:vAlign w:val="top"/>
          </w:tcPr>
          <w:p>
            <w:r>
              <w:rPr>
                <w:sz w:val="16"/>
              </w:rPr>
              <w:t>Third-party vendor breach</w:t>
            </w:r>
          </w:p>
        </w:tc>
        <w:tc>
          <w:tcPr>
            <w:tcW w:type="dxa" w:w="3600"/>
            <w:vAlign w:val="top"/>
          </w:tcPr>
          <w:p>
            <w:r>
              <w:rPr>
                <w:sz w:val="16"/>
              </w:rPr>
              <w:t>A cloud, claims-processing, analytics, or support vendor suffers a breach involving CNIC data.</w:t>
            </w:r>
          </w:p>
        </w:tc>
        <w:tc>
          <w:tcPr>
            <w:tcW w:type="dxa" w:w="3456"/>
            <w:vAlign w:val="top"/>
          </w:tcPr>
          <w:p>
            <w:r>
              <w:rPr>
                <w:sz w:val="16"/>
              </w:rPr>
              <w:t>Vendor due diligence, contracts, assurance reports, monitoring, incident clauses, data minimization.</w:t>
            </w:r>
          </w:p>
        </w:tc>
      </w:tr>
      <w:tr>
        <w:tc>
          <w:tcPr>
            <w:tcW w:type="dxa" w:w="1007"/>
            <w:vAlign w:val="top"/>
          </w:tcPr>
          <w:p>
            <w:r>
              <w:rPr>
                <w:sz w:val="16"/>
              </w:rPr>
              <w:t>CNIC-03</w:t>
            </w:r>
          </w:p>
        </w:tc>
        <w:tc>
          <w:tcPr>
            <w:tcW w:type="dxa" w:w="2304"/>
            <w:vAlign w:val="top"/>
          </w:tcPr>
          <w:p>
            <w:r>
              <w:rPr>
                <w:sz w:val="16"/>
              </w:rPr>
              <w:t>Insider exfiltrates client data</w:t>
            </w:r>
          </w:p>
        </w:tc>
        <w:tc>
          <w:tcPr>
            <w:tcW w:type="dxa" w:w="3600"/>
            <w:vAlign w:val="top"/>
          </w:tcPr>
          <w:p>
            <w:r>
              <w:rPr>
                <w:sz w:val="16"/>
              </w:rPr>
              <w:t>A disgruntled employee with privileged access steals personal, medical, and financial information.</w:t>
            </w:r>
          </w:p>
        </w:tc>
        <w:tc>
          <w:tcPr>
            <w:tcW w:type="dxa" w:w="3456"/>
            <w:vAlign w:val="top"/>
          </w:tcPr>
          <w:p>
            <w:r>
              <w:rPr>
                <w:sz w:val="16"/>
              </w:rPr>
              <w:t>Least privilege, PAM, DLP, user behaviour analytics, HR/legal coordination, logging.</w:t>
            </w:r>
          </w:p>
        </w:tc>
      </w:tr>
      <w:tr>
        <w:tc>
          <w:tcPr>
            <w:tcW w:type="dxa" w:w="1007"/>
            <w:vAlign w:val="top"/>
          </w:tcPr>
          <w:p>
            <w:r>
              <w:rPr>
                <w:sz w:val="16"/>
              </w:rPr>
              <w:t>CNIC-04</w:t>
            </w:r>
          </w:p>
        </w:tc>
        <w:tc>
          <w:tcPr>
            <w:tcW w:type="dxa" w:w="2304"/>
            <w:vAlign w:val="top"/>
          </w:tcPr>
          <w:p>
            <w:r>
              <w:rPr>
                <w:sz w:val="16"/>
              </w:rPr>
              <w:t>Executive spear-phishing</w:t>
            </w:r>
          </w:p>
        </w:tc>
        <w:tc>
          <w:tcPr>
            <w:tcW w:type="dxa" w:w="3600"/>
            <w:vAlign w:val="top"/>
          </w:tcPr>
          <w:p>
            <w:r>
              <w:rPr>
                <w:sz w:val="16"/>
              </w:rPr>
              <w:t>Executives are tricked into revealing credentials, exposing strategic, financial, and customer information.</w:t>
            </w:r>
          </w:p>
        </w:tc>
        <w:tc>
          <w:tcPr>
            <w:tcW w:type="dxa" w:w="3456"/>
            <w:vAlign w:val="top"/>
          </w:tcPr>
          <w:p>
            <w:r>
              <w:rPr>
                <w:sz w:val="16"/>
              </w:rPr>
              <w:t>Email security, MFA, executive training, conditional access, session monitoring.</w:t>
            </w:r>
          </w:p>
        </w:tc>
      </w:tr>
      <w:tr>
        <w:tc>
          <w:tcPr>
            <w:tcW w:type="dxa" w:w="1007"/>
            <w:vAlign w:val="top"/>
          </w:tcPr>
          <w:p>
            <w:r>
              <w:rPr>
                <w:sz w:val="16"/>
              </w:rPr>
              <w:t>CNIC-05</w:t>
            </w:r>
          </w:p>
        </w:tc>
        <w:tc>
          <w:tcPr>
            <w:tcW w:type="dxa" w:w="2304"/>
            <w:vAlign w:val="top"/>
          </w:tcPr>
          <w:p>
            <w:r>
              <w:rPr>
                <w:sz w:val="16"/>
              </w:rPr>
              <w:t>Cloud misconfiguration exposes customer data</w:t>
            </w:r>
          </w:p>
        </w:tc>
        <w:tc>
          <w:tcPr>
            <w:tcW w:type="dxa" w:w="3600"/>
            <w:vAlign w:val="top"/>
          </w:tcPr>
          <w:p>
            <w:r>
              <w:rPr>
                <w:sz w:val="16"/>
              </w:rPr>
              <w:t>A cloud storage setting exposes claims attachments, customer records, or analytics datasets.</w:t>
            </w:r>
          </w:p>
        </w:tc>
        <w:tc>
          <w:tcPr>
            <w:tcW w:type="dxa" w:w="3456"/>
            <w:vAlign w:val="top"/>
          </w:tcPr>
          <w:p>
            <w:r>
              <w:rPr>
                <w:sz w:val="16"/>
              </w:rPr>
              <w:t>Cloud posture management, IAM, encryption, logging, data classification, change control.</w:t>
            </w:r>
          </w:p>
        </w:tc>
      </w:tr>
      <w:tr>
        <w:tc>
          <w:tcPr>
            <w:tcW w:type="dxa" w:w="1007"/>
            <w:vAlign w:val="top"/>
          </w:tcPr>
          <w:p>
            <w:r>
              <w:rPr>
                <w:sz w:val="16"/>
              </w:rPr>
              <w:t>CNIC-06</w:t>
            </w:r>
          </w:p>
        </w:tc>
        <w:tc>
          <w:tcPr>
            <w:tcW w:type="dxa" w:w="2304"/>
            <w:vAlign w:val="top"/>
          </w:tcPr>
          <w:p>
            <w:r>
              <w:rPr>
                <w:sz w:val="16"/>
              </w:rPr>
              <w:t>DDoS against customer portal</w:t>
            </w:r>
          </w:p>
        </w:tc>
        <w:tc>
          <w:tcPr>
            <w:tcW w:type="dxa" w:w="3600"/>
            <w:vAlign w:val="top"/>
          </w:tcPr>
          <w:p>
            <w:r>
              <w:rPr>
                <w:sz w:val="16"/>
              </w:rPr>
              <w:t>Attackers overwhelm the portal and mobile app, blocking customers from accessing policies and submitting claims.</w:t>
            </w:r>
          </w:p>
        </w:tc>
        <w:tc>
          <w:tcPr>
            <w:tcW w:type="dxa" w:w="3456"/>
            <w:vAlign w:val="top"/>
          </w:tcPr>
          <w:p>
            <w:r>
              <w:rPr>
                <w:sz w:val="16"/>
              </w:rPr>
              <w:t>DDoS protection, CDN, traffic filtering, service prioritization, customer communications.</w:t>
            </w:r>
          </w:p>
        </w:tc>
      </w:tr>
      <w:tr>
        <w:tc>
          <w:tcPr>
            <w:tcW w:type="dxa" w:w="1007"/>
            <w:vAlign w:val="top"/>
          </w:tcPr>
          <w:p>
            <w:r>
              <w:rPr>
                <w:sz w:val="16"/>
              </w:rPr>
              <w:t>CNIC-07</w:t>
            </w:r>
          </w:p>
        </w:tc>
        <w:tc>
          <w:tcPr>
            <w:tcW w:type="dxa" w:w="2304"/>
            <w:vAlign w:val="top"/>
          </w:tcPr>
          <w:p>
            <w:r>
              <w:rPr>
                <w:sz w:val="16"/>
              </w:rPr>
              <w:t>APT targets corporate network</w:t>
            </w:r>
          </w:p>
        </w:tc>
        <w:tc>
          <w:tcPr>
            <w:tcW w:type="dxa" w:w="3600"/>
            <w:vAlign w:val="top"/>
          </w:tcPr>
          <w:p>
            <w:r>
              <w:rPr>
                <w:sz w:val="16"/>
              </w:rPr>
              <w:t>A sophisticated group establishes persistence and slowly exfiltrates strategic and customer information.</w:t>
            </w:r>
          </w:p>
        </w:tc>
        <w:tc>
          <w:tcPr>
            <w:tcW w:type="dxa" w:w="3456"/>
            <w:vAlign w:val="top"/>
          </w:tcPr>
          <w:p>
            <w:r>
              <w:rPr>
                <w:sz w:val="16"/>
              </w:rPr>
              <w:t>Threat hunting, segmentation, EDR, SIEM use cases, vulnerability management, zero trust.</w:t>
            </w:r>
          </w:p>
        </w:tc>
      </w:tr>
      <w:tr>
        <w:tc>
          <w:tcPr>
            <w:tcW w:type="dxa" w:w="1007"/>
            <w:vAlign w:val="top"/>
          </w:tcPr>
          <w:p>
            <w:r>
              <w:rPr>
                <w:sz w:val="16"/>
              </w:rPr>
              <w:t>CNIC-08</w:t>
            </w:r>
          </w:p>
        </w:tc>
        <w:tc>
          <w:tcPr>
            <w:tcW w:type="dxa" w:w="2304"/>
            <w:vAlign w:val="top"/>
          </w:tcPr>
          <w:p>
            <w:r>
              <w:rPr>
                <w:sz w:val="16"/>
              </w:rPr>
              <w:t>BYOD malware infection</w:t>
            </w:r>
          </w:p>
        </w:tc>
        <w:tc>
          <w:tcPr>
            <w:tcW w:type="dxa" w:w="3600"/>
            <w:vAlign w:val="top"/>
          </w:tcPr>
          <w:p>
            <w:r>
              <w:rPr>
                <w:sz w:val="16"/>
              </w:rPr>
              <w:t>A personal device introduces malware into CNIC’s network.</w:t>
            </w:r>
          </w:p>
        </w:tc>
        <w:tc>
          <w:tcPr>
            <w:tcW w:type="dxa" w:w="3456"/>
            <w:vAlign w:val="top"/>
          </w:tcPr>
          <w:p>
            <w:r>
              <w:rPr>
                <w:sz w:val="16"/>
              </w:rPr>
              <w:t>MDM, conditional access, endpoint protection, BYOD policy, user training, network access control.</w:t>
            </w:r>
          </w:p>
        </w:tc>
      </w:tr>
      <w:tr>
        <w:tc>
          <w:tcPr>
            <w:tcW w:type="dxa" w:w="1007"/>
            <w:vAlign w:val="top"/>
          </w:tcPr>
          <w:p>
            <w:r>
              <w:rPr>
                <w:sz w:val="16"/>
              </w:rPr>
              <w:t>CNIC-09</w:t>
            </w:r>
          </w:p>
        </w:tc>
        <w:tc>
          <w:tcPr>
            <w:tcW w:type="dxa" w:w="2304"/>
            <w:vAlign w:val="top"/>
          </w:tcPr>
          <w:p>
            <w:r>
              <w:rPr>
                <w:sz w:val="16"/>
              </w:rPr>
              <w:t>IoT device hijacking</w:t>
            </w:r>
          </w:p>
        </w:tc>
        <w:tc>
          <w:tcPr>
            <w:tcW w:type="dxa" w:w="3600"/>
            <w:vAlign w:val="top"/>
          </w:tcPr>
          <w:p>
            <w:r>
              <w:rPr>
                <w:sz w:val="16"/>
              </w:rPr>
              <w:t>Building-management devices provide an entry point into the corporate network.</w:t>
            </w:r>
          </w:p>
        </w:tc>
        <w:tc>
          <w:tcPr>
            <w:tcW w:type="dxa" w:w="3456"/>
            <w:vAlign w:val="top"/>
          </w:tcPr>
          <w:p>
            <w:r>
              <w:rPr>
                <w:sz w:val="16"/>
              </w:rPr>
              <w:t>IoT inventory, segmentation, firmware updates, monitoring, vendor controls.</w:t>
            </w:r>
          </w:p>
        </w:tc>
      </w:tr>
      <w:tr>
        <w:tc>
          <w:tcPr>
            <w:tcW w:type="dxa" w:w="1007"/>
            <w:vAlign w:val="top"/>
          </w:tcPr>
          <w:p>
            <w:r>
              <w:rPr>
                <w:sz w:val="16"/>
              </w:rPr>
              <w:t>CNIC-10</w:t>
            </w:r>
          </w:p>
        </w:tc>
        <w:tc>
          <w:tcPr>
            <w:tcW w:type="dxa" w:w="2304"/>
            <w:vAlign w:val="top"/>
          </w:tcPr>
          <w:p>
            <w:r>
              <w:rPr>
                <w:sz w:val="16"/>
              </w:rPr>
              <w:t>Weak password policies enable breach</w:t>
            </w:r>
          </w:p>
        </w:tc>
        <w:tc>
          <w:tcPr>
            <w:tcW w:type="dxa" w:w="3600"/>
            <w:vAlign w:val="top"/>
          </w:tcPr>
          <w:p>
            <w:r>
              <w:rPr>
                <w:sz w:val="16"/>
              </w:rPr>
              <w:t>Attackers exploit reused or weak passwords to access sensitive systems.</w:t>
            </w:r>
          </w:p>
        </w:tc>
        <w:tc>
          <w:tcPr>
            <w:tcW w:type="dxa" w:w="3456"/>
            <w:vAlign w:val="top"/>
          </w:tcPr>
          <w:p>
            <w:r>
              <w:rPr>
                <w:sz w:val="16"/>
              </w:rPr>
              <w:t>MFA, password policy, password audits, conditional access, user education, access monitoring.</w:t>
            </w:r>
          </w:p>
        </w:tc>
      </w:tr>
      <w:tr>
        <w:tc>
          <w:tcPr>
            <w:tcW w:type="dxa" w:w="1007"/>
            <w:vAlign w:val="top"/>
          </w:tcPr>
          <w:p>
            <w:r>
              <w:rPr>
                <w:sz w:val="16"/>
              </w:rPr>
              <w:t>CNIC-11</w:t>
            </w:r>
          </w:p>
        </w:tc>
        <w:tc>
          <w:tcPr>
            <w:tcW w:type="dxa" w:w="2304"/>
            <w:vAlign w:val="top"/>
          </w:tcPr>
          <w:p>
            <w:r>
              <w:rPr>
                <w:sz w:val="16"/>
              </w:rPr>
              <w:t>AI claims manipulation or model integrity failure</w:t>
            </w:r>
          </w:p>
        </w:tc>
        <w:tc>
          <w:tcPr>
            <w:tcW w:type="dxa" w:w="3600"/>
            <w:vAlign w:val="top"/>
          </w:tcPr>
          <w:p>
            <w:r>
              <w:rPr>
                <w:sz w:val="16"/>
              </w:rPr>
              <w:t>Attackers or insiders manipulate claim data, model inputs, or automated approval workflows.</w:t>
            </w:r>
          </w:p>
        </w:tc>
        <w:tc>
          <w:tcPr>
            <w:tcW w:type="dxa" w:w="3456"/>
            <w:vAlign w:val="top"/>
          </w:tcPr>
          <w:p>
            <w:r>
              <w:rPr>
                <w:sz w:val="16"/>
              </w:rPr>
              <w:t>Model governance, human review, data integrity controls, fraud monitoring, change management.</w:t>
            </w:r>
          </w:p>
        </w:tc>
      </w:tr>
      <w:tr>
        <w:tc>
          <w:tcPr>
            <w:tcW w:type="dxa" w:w="1007"/>
            <w:vAlign w:val="top"/>
          </w:tcPr>
          <w:p>
            <w:r>
              <w:rPr>
                <w:sz w:val="16"/>
              </w:rPr>
              <w:t>CNIC-12</w:t>
            </w:r>
          </w:p>
        </w:tc>
        <w:tc>
          <w:tcPr>
            <w:tcW w:type="dxa" w:w="2304"/>
            <w:vAlign w:val="top"/>
          </w:tcPr>
          <w:p>
            <w:r>
              <w:rPr>
                <w:sz w:val="16"/>
              </w:rPr>
              <w:t>Data leakage from analytics or CRM</w:t>
            </w:r>
          </w:p>
        </w:tc>
        <w:tc>
          <w:tcPr>
            <w:tcW w:type="dxa" w:w="3600"/>
            <w:vAlign w:val="top"/>
          </w:tcPr>
          <w:p>
            <w:r>
              <w:rPr>
                <w:sz w:val="16"/>
              </w:rPr>
              <w:t>Customer segmentation, policy, or health-related data is overexposed through analytics or CRM access.</w:t>
            </w:r>
          </w:p>
        </w:tc>
        <w:tc>
          <w:tcPr>
            <w:tcW w:type="dxa" w:w="3456"/>
            <w:vAlign w:val="top"/>
          </w:tcPr>
          <w:p>
            <w:r>
              <w:rPr>
                <w:sz w:val="16"/>
              </w:rPr>
              <w:t>Data minimization, role-based access, monitoring, masking, privacy impact assessment.</w:t>
            </w:r>
          </w:p>
        </w:tc>
      </w:tr>
    </w:tbl>
    <w:p/>
    <w:p>
      <w:pPr>
        <w:pStyle w:val="IntenseQuote"/>
      </w:pPr>
      <w:r>
        <w:rPr>
          <w:b/>
        </w:rPr>
        <w:t xml:space="preserve">Scenario analysis prompt. </w:t>
      </w:r>
      <w:r>
        <w:t>For each assigned scenario, students should state the threat event, affected assets, vulnerabilities, existing controls, control gaps, inherent risk, residual risk, treatment options, recommended controls, estimated cost category, expected implementation difficulty, risk owner, and residual risk acceptance authority. Students should also explain whether CVSS is appropriate. CVSS may support technical vulnerability analysis, but it does not replace enterprise risk analysis in scenarios such as insider threats, weak governance, poor incident response, vendor dependencies, privacy risk, or AI governance failures.</w:t>
      </w:r>
    </w:p>
    <w:p>
      <w:pPr>
        <w:pStyle w:val="Heading1"/>
      </w:pPr>
      <w:r>
        <w:t>10. Assignment Options and Suggested Deliverables</w:t>
      </w:r>
    </w:p>
    <w:p>
      <w:pPr>
        <w:pStyle w:val="Heading2"/>
      </w:pPr>
      <w:r>
        <w:t>Option 1: Incident response tabletop package</w:t>
      </w:r>
    </w:p>
    <w:p>
      <w:pPr>
        <w:pStyle w:val="ListNumber"/>
      </w:pPr>
      <w:r>
        <w:t>Classify the incident and justify the severity.</w:t>
      </w:r>
    </w:p>
    <w:p>
      <w:pPr>
        <w:pStyle w:val="ListNumber"/>
      </w:pPr>
      <w:r>
        <w:t>Prepare a situation report for the first 24 hours.</w:t>
      </w:r>
    </w:p>
    <w:p>
      <w:pPr>
        <w:pStyle w:val="ListNumber"/>
      </w:pPr>
      <w:r>
        <w:t>Recommend immediate containment steps and evidence preservation measures.</w:t>
      </w:r>
    </w:p>
    <w:p>
      <w:pPr>
        <w:pStyle w:val="ListNumber"/>
      </w:pPr>
      <w:r>
        <w:t>Prepare a stakeholder communication matrix.</w:t>
      </w:r>
    </w:p>
    <w:p>
      <w:pPr>
        <w:pStyle w:val="ListNumber"/>
      </w:pPr>
      <w:r>
        <w:t>Prepare a short executive briefing on the ransom, customer-notification, or service-shutdown decision.</w:t>
      </w:r>
    </w:p>
    <w:p>
      <w:pPr>
        <w:pStyle w:val="ListNumber"/>
      </w:pPr>
      <w:r>
        <w:t>Identify the top five lessons learned and link each to a control improvement.</w:t>
      </w:r>
    </w:p>
    <w:p>
      <w:pPr>
        <w:pStyle w:val="Heading2"/>
      </w:pPr>
      <w:r>
        <w:t>Option 2: Risk-based cybersecurity audit plan</w:t>
      </w:r>
    </w:p>
    <w:p>
      <w:pPr>
        <w:pStyle w:val="ListNumber"/>
      </w:pPr>
      <w:r>
        <w:t>Prepare an audit universe and assign inherent risk ratings.</w:t>
      </w:r>
    </w:p>
    <w:p>
      <w:pPr>
        <w:pStyle w:val="ListNumber"/>
      </w:pPr>
      <w:r>
        <w:t>Select the top five audit priorities for the next 12 months.</w:t>
      </w:r>
    </w:p>
    <w:p>
      <w:pPr>
        <w:pStyle w:val="ListNumber"/>
      </w:pPr>
      <w:r>
        <w:t>Develop one detailed audit program for a selected area.</w:t>
      </w:r>
    </w:p>
    <w:p>
      <w:pPr>
        <w:pStyle w:val="ListNumber"/>
      </w:pPr>
      <w:r>
        <w:t>Explain the evidence needed to test control design and operating effectiveness.</w:t>
      </w:r>
    </w:p>
    <w:p>
      <w:pPr>
        <w:pStyle w:val="ListNumber"/>
      </w:pPr>
      <w:r>
        <w:t>Prepare a Board Risk and Audit Committee memo explaining the audit plan and expected assurance value.</w:t>
      </w:r>
    </w:p>
    <w:p>
      <w:pPr>
        <w:pStyle w:val="Heading2"/>
      </w:pPr>
      <w:r>
        <w:t>Option 3: Scenario-based cybersecurity risk assessment</w:t>
      </w:r>
    </w:p>
    <w:p>
      <w:pPr>
        <w:pStyle w:val="ListNumber"/>
      </w:pPr>
      <w:r>
        <w:t>Select and analyze at least eight risk scenarios from the scenario library.</w:t>
      </w:r>
    </w:p>
    <w:p>
      <w:pPr>
        <w:pStyle w:val="ListNumber"/>
      </w:pPr>
      <w:r>
        <w:t>Calculate or justify inherent risk and residual risk.</w:t>
      </w:r>
    </w:p>
    <w:p>
      <w:pPr>
        <w:pStyle w:val="ListNumber"/>
      </w:pPr>
      <w:r>
        <w:t>Recommend risk treatments and identify risk owners.</w:t>
      </w:r>
    </w:p>
    <w:p>
      <w:pPr>
        <w:pStyle w:val="ListNumber"/>
      </w:pPr>
      <w:r>
        <w:t>Estimate implementation cost category, dependencies, and sequencing.</w:t>
      </w:r>
    </w:p>
    <w:p>
      <w:pPr>
        <w:pStyle w:val="ListNumber"/>
      </w:pPr>
      <w:r>
        <w:t>Develop a 2025-2030 roadmap linked to risk appetite and budget constraints.</w:t>
      </w:r>
    </w:p>
    <w:p>
      <w:pPr>
        <w:pStyle w:val="ListNumber"/>
      </w:pPr>
      <w:r>
        <w:t>Prepare a Board-level executive summary identifying risks to accept, mitigate, transfer, or avoid.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D9EAF7"/>
          </w:tcPr>
          <w:p>
            <w:r>
              <w:rPr>
                <w:b/>
                <w:sz w:val="16"/>
              </w:rPr>
              <w:t>Criterion</w:t>
            </w:r>
          </w:p>
        </w:tc>
        <w:tc>
          <w:tcPr>
            <w:tcW w:type="dxa" w:w="7056"/>
            <w:shd w:fill="D9EAF7"/>
          </w:tcPr>
          <w:p>
            <w:r>
              <w:rPr>
                <w:b/>
                <w:sz w:val="16"/>
              </w:rPr>
              <w:t>Excellent performance indicators</w:t>
            </w:r>
          </w:p>
        </w:tc>
      </w:tr>
      <w:tr>
        <w:tc>
          <w:tcPr>
            <w:tcW w:type="dxa" w:w="3168"/>
            <w:vAlign w:val="top"/>
          </w:tcPr>
          <w:p>
            <w:r>
              <w:rPr>
                <w:sz w:val="16"/>
              </w:rPr>
              <w:t>Use of case facts</w:t>
            </w:r>
          </w:p>
        </w:tc>
        <w:tc>
          <w:tcPr>
            <w:tcW w:type="dxa" w:w="7056"/>
            <w:vAlign w:val="top"/>
          </w:tcPr>
          <w:p>
            <w:r>
              <w:rPr>
                <w:sz w:val="16"/>
              </w:rPr>
              <w:t>Accurately uses CNIC facts, avoids unsupported claims, and documents assumptions clearly.</w:t>
            </w:r>
          </w:p>
        </w:tc>
      </w:tr>
      <w:tr>
        <w:tc>
          <w:tcPr>
            <w:tcW w:type="dxa" w:w="3168"/>
            <w:vAlign w:val="top"/>
          </w:tcPr>
          <w:p>
            <w:r>
              <w:rPr>
                <w:sz w:val="16"/>
              </w:rPr>
              <w:t>Incident response reasoning</w:t>
            </w:r>
          </w:p>
        </w:tc>
        <w:tc>
          <w:tcPr>
            <w:tcW w:type="dxa" w:w="7056"/>
            <w:vAlign w:val="top"/>
          </w:tcPr>
          <w:p>
            <w:r>
              <w:rPr>
                <w:sz w:val="16"/>
              </w:rPr>
              <w:t>Prioritizes containment, evidence, restoration, notification, customer impact, and decision-making under uncertainty.</w:t>
            </w:r>
          </w:p>
        </w:tc>
      </w:tr>
      <w:tr>
        <w:tc>
          <w:tcPr>
            <w:tcW w:type="dxa" w:w="3168"/>
            <w:vAlign w:val="top"/>
          </w:tcPr>
          <w:p>
            <w:r>
              <w:rPr>
                <w:sz w:val="16"/>
              </w:rPr>
              <w:t>Audit planning quality</w:t>
            </w:r>
          </w:p>
        </w:tc>
        <w:tc>
          <w:tcPr>
            <w:tcW w:type="dxa" w:w="7056"/>
            <w:vAlign w:val="top"/>
          </w:tcPr>
          <w:p>
            <w:r>
              <w:rPr>
                <w:sz w:val="16"/>
              </w:rPr>
              <w:t>Links audit priorities to risk, prior findings, control objectives, evidence, and Board Risk and Audit Committee needs.</w:t>
            </w:r>
          </w:p>
        </w:tc>
      </w:tr>
      <w:tr>
        <w:tc>
          <w:tcPr>
            <w:tcW w:type="dxa" w:w="3168"/>
            <w:vAlign w:val="top"/>
          </w:tcPr>
          <w:p>
            <w:r>
              <w:rPr>
                <w:sz w:val="16"/>
              </w:rPr>
              <w:t>Risk analysis quality</w:t>
            </w:r>
          </w:p>
        </w:tc>
        <w:tc>
          <w:tcPr>
            <w:tcW w:type="dxa" w:w="7056"/>
            <w:vAlign w:val="top"/>
          </w:tcPr>
          <w:p>
            <w:r>
              <w:rPr>
                <w:sz w:val="16"/>
              </w:rPr>
              <w:t>Distinguishes inherent and residual risk, connects scenarios to controls, and justifies scoring.</w:t>
            </w:r>
          </w:p>
        </w:tc>
      </w:tr>
      <w:tr>
        <w:tc>
          <w:tcPr>
            <w:tcW w:type="dxa" w:w="3168"/>
            <w:vAlign w:val="top"/>
          </w:tcPr>
          <w:p>
            <w:r>
              <w:rPr>
                <w:sz w:val="16"/>
              </w:rPr>
              <w:t>Governance and regulatory awareness</w:t>
            </w:r>
          </w:p>
        </w:tc>
        <w:tc>
          <w:tcPr>
            <w:tcW w:type="dxa" w:w="7056"/>
            <w:vAlign w:val="top"/>
          </w:tcPr>
          <w:p>
            <w:r>
              <w:rPr>
                <w:sz w:val="16"/>
              </w:rPr>
              <w:t>Recognizes Board oversight, CISO independence, privacy, insurance-sector, third-party, AI, and accountability issues.</w:t>
            </w:r>
          </w:p>
        </w:tc>
      </w:tr>
      <w:tr>
        <w:tc>
          <w:tcPr>
            <w:tcW w:type="dxa" w:w="3168"/>
            <w:vAlign w:val="top"/>
          </w:tcPr>
          <w:p>
            <w:r>
              <w:rPr>
                <w:sz w:val="16"/>
              </w:rPr>
              <w:t>Recommendations</w:t>
            </w:r>
          </w:p>
        </w:tc>
        <w:tc>
          <w:tcPr>
            <w:tcW w:type="dxa" w:w="7056"/>
            <w:vAlign w:val="top"/>
          </w:tcPr>
          <w:p>
            <w:r>
              <w:rPr>
                <w:sz w:val="16"/>
              </w:rPr>
              <w:t>Provides specific, feasible, sequenced, cost-aware actions linked to risk reduction.</w:t>
            </w:r>
          </w:p>
        </w:tc>
      </w:tr>
      <w:tr>
        <w:tc>
          <w:tcPr>
            <w:tcW w:type="dxa" w:w="3168"/>
            <w:vAlign w:val="top"/>
          </w:tcPr>
          <w:p>
            <w:r>
              <w:rPr>
                <w:sz w:val="16"/>
              </w:rPr>
              <w:t>Executive communication</w:t>
            </w:r>
          </w:p>
        </w:tc>
        <w:tc>
          <w:tcPr>
            <w:tcW w:type="dxa" w:w="7056"/>
            <w:vAlign w:val="top"/>
          </w:tcPr>
          <w:p>
            <w:r>
              <w:rPr>
                <w:sz w:val="16"/>
              </w:rPr>
              <w:t>Communicates clearly to non-technical decision-makers and distinguishes facts, assumptions, uncertainty, and decisions required.</w:t>
            </w:r>
          </w:p>
        </w:tc>
      </w:tr>
    </w:tbl>
    <w:p/>
    <w:p>
      <w:pPr>
        <w:pStyle w:val="Heading1"/>
      </w:pPr>
      <w:r>
        <w:t>11. Appendices: Evidence, Templates, and Instructor Notes</w:t>
      </w:r>
    </w:p>
    <w:p>
      <w:pPr>
        <w:pStyle w:val="Heading2"/>
      </w:pPr>
      <w:r>
        <w:t>Appendix A - Sample phishing email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5"/>
            <w:shd w:fill="D9EAF7"/>
          </w:tcPr>
          <w:p>
            <w:r>
              <w:rPr>
                <w:b/>
                <w:sz w:val="16"/>
              </w:rPr>
              <w:t>Field</w:t>
            </w:r>
          </w:p>
        </w:tc>
        <w:tc>
          <w:tcPr>
            <w:tcW w:type="dxa" w:w="8208"/>
            <w:shd w:fill="D9EAF7"/>
          </w:tcPr>
          <w:p>
            <w:r>
              <w:rPr>
                <w:b/>
                <w:sz w:val="16"/>
              </w:rPr>
              <w:t>Content</w:t>
            </w:r>
          </w:p>
        </w:tc>
      </w:tr>
      <w:tr>
        <w:tc>
          <w:tcPr>
            <w:tcW w:type="dxa" w:w="2015"/>
            <w:vAlign w:val="top"/>
          </w:tcPr>
          <w:p>
            <w:r>
              <w:rPr>
                <w:sz w:val="16"/>
              </w:rPr>
              <w:t>From</w:t>
            </w:r>
          </w:p>
        </w:tc>
        <w:tc>
          <w:tcPr>
            <w:tcW w:type="dxa" w:w="8208"/>
            <w:vAlign w:val="top"/>
          </w:tcPr>
          <w:p>
            <w:r>
              <w:rPr>
                <w:sz w:val="16"/>
              </w:rPr>
              <w:t>claims-support-update@[redacted-domain].ca</w:t>
            </w:r>
          </w:p>
        </w:tc>
      </w:tr>
      <w:tr>
        <w:tc>
          <w:tcPr>
            <w:tcW w:type="dxa" w:w="2015"/>
            <w:vAlign w:val="top"/>
          </w:tcPr>
          <w:p>
            <w:r>
              <w:rPr>
                <w:sz w:val="16"/>
              </w:rPr>
              <w:t>To</w:t>
            </w:r>
          </w:p>
        </w:tc>
        <w:tc>
          <w:tcPr>
            <w:tcW w:type="dxa" w:w="8208"/>
            <w:vAlign w:val="top"/>
          </w:tcPr>
          <w:p>
            <w:r>
              <w:rPr>
                <w:sz w:val="16"/>
              </w:rPr>
              <w:t>Claims managers, executive assistants, and selected regional office staff</w:t>
            </w:r>
          </w:p>
        </w:tc>
      </w:tr>
      <w:tr>
        <w:tc>
          <w:tcPr>
            <w:tcW w:type="dxa" w:w="2015"/>
            <w:vAlign w:val="top"/>
          </w:tcPr>
          <w:p>
            <w:r>
              <w:rPr>
                <w:sz w:val="16"/>
              </w:rPr>
              <w:t>Subject</w:t>
            </w:r>
          </w:p>
        </w:tc>
        <w:tc>
          <w:tcPr>
            <w:tcW w:type="dxa" w:w="8208"/>
            <w:vAlign w:val="top"/>
          </w:tcPr>
          <w:p>
            <w:r>
              <w:rPr>
                <w:sz w:val="16"/>
              </w:rPr>
              <w:t>Urgent: Claims platform certificate renewal - action required today</w:t>
            </w:r>
          </w:p>
        </w:tc>
      </w:tr>
      <w:tr>
        <w:tc>
          <w:tcPr>
            <w:tcW w:type="dxa" w:w="2015"/>
            <w:vAlign w:val="top"/>
          </w:tcPr>
          <w:p>
            <w:r>
              <w:rPr>
                <w:sz w:val="16"/>
              </w:rPr>
              <w:t>Body excerpt</w:t>
            </w:r>
          </w:p>
        </w:tc>
        <w:tc>
          <w:tcPr>
            <w:tcW w:type="dxa" w:w="8208"/>
            <w:vAlign w:val="top"/>
          </w:tcPr>
          <w:p>
            <w:r>
              <w:rPr>
                <w:sz w:val="16"/>
              </w:rPr>
              <w:t>Please confirm your credentials to complete the certificate renewal for the claims portal. Failure to complete the update may result in delayed claims processing. Link: hxxps://claims-renewal-[redacted]/login</w:t>
            </w:r>
          </w:p>
        </w:tc>
      </w:tr>
      <w:tr>
        <w:tc>
          <w:tcPr>
            <w:tcW w:type="dxa" w:w="2015"/>
            <w:vAlign w:val="top"/>
          </w:tcPr>
          <w:p>
            <w:r>
              <w:rPr>
                <w:sz w:val="16"/>
              </w:rPr>
              <w:t>SOC clue</w:t>
            </w:r>
          </w:p>
        </w:tc>
        <w:tc>
          <w:tcPr>
            <w:tcW w:type="dxa" w:w="8208"/>
            <w:vAlign w:val="top"/>
          </w:tcPr>
          <w:p>
            <w:r>
              <w:rPr>
                <w:sz w:val="16"/>
              </w:rPr>
              <w:t>The sending domain was newly registered. The link led to a look-alike login page and generated successful logins from unusual geographies.</w:t>
            </w:r>
          </w:p>
        </w:tc>
      </w:tr>
    </w:tbl>
    <w:p/>
    <w:p>
      <w:pPr>
        <w:pStyle w:val="Heading2"/>
      </w:pPr>
      <w:r>
        <w:t>Appendix B - Sample technical evidence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shd w:fill="D9EAF7"/>
          </w:tcPr>
          <w:p>
            <w:r>
              <w:rPr>
                <w:b/>
                <w:sz w:val="16"/>
              </w:rPr>
              <w:t>Source</w:t>
            </w:r>
          </w:p>
        </w:tc>
        <w:tc>
          <w:tcPr>
            <w:tcW w:type="dxa" w:w="4752"/>
            <w:shd w:fill="D9EAF7"/>
          </w:tcPr>
          <w:p>
            <w:r>
              <w:rPr>
                <w:b/>
                <w:sz w:val="16"/>
              </w:rPr>
              <w:t>Fictional evidence excerpt</w:t>
            </w:r>
          </w:p>
        </w:tc>
        <w:tc>
          <w:tcPr>
            <w:tcW w:type="dxa" w:w="3744"/>
            <w:shd w:fill="D9EAF7"/>
          </w:tcPr>
          <w:p>
            <w:r>
              <w:rPr>
                <w:b/>
                <w:sz w:val="16"/>
              </w:rPr>
              <w:t>Student analysis cue</w:t>
            </w:r>
          </w:p>
        </w:tc>
      </w:tr>
      <w:tr>
        <w:tc>
          <w:tcPr>
            <w:tcW w:type="dxa" w:w="1728"/>
            <w:vAlign w:val="top"/>
          </w:tcPr>
          <w:p>
            <w:r>
              <w:rPr>
                <w:sz w:val="16"/>
              </w:rPr>
              <w:t>EDR</w:t>
            </w:r>
          </w:p>
        </w:tc>
        <w:tc>
          <w:tcPr>
            <w:tcW w:type="dxa" w:w="4752"/>
            <w:vAlign w:val="top"/>
          </w:tcPr>
          <w:p>
            <w:r>
              <w:rPr>
                <w:sz w:val="16"/>
              </w:rPr>
              <w:t>2025-05-06 09:43:18 CLAIMS-WS-221 powershell.exe spawned by OUTLOOK.EXE; encoded command; outbound connection attempted.</w:t>
            </w:r>
          </w:p>
        </w:tc>
        <w:tc>
          <w:tcPr>
            <w:tcW w:type="dxa" w:w="3744"/>
            <w:vAlign w:val="top"/>
          </w:tcPr>
          <w:p>
            <w:r>
              <w:rPr>
                <w:sz w:val="16"/>
              </w:rPr>
              <w:t>Was this suspicious? Why was the alert closed? Which other hosts need review?</w:t>
            </w:r>
          </w:p>
        </w:tc>
      </w:tr>
      <w:tr>
        <w:tc>
          <w:tcPr>
            <w:tcW w:type="dxa" w:w="1728"/>
            <w:vAlign w:val="top"/>
          </w:tcPr>
          <w:p>
            <w:r>
              <w:rPr>
                <w:sz w:val="16"/>
              </w:rPr>
              <w:t>Identity provider</w:t>
            </w:r>
          </w:p>
        </w:tc>
        <w:tc>
          <w:tcPr>
            <w:tcW w:type="dxa" w:w="4752"/>
            <w:vAlign w:val="top"/>
          </w:tcPr>
          <w:p>
            <w:r>
              <w:rPr>
                <w:sz w:val="16"/>
              </w:rPr>
              <w:t>2025-05-07 23:12:09 user claimsmgr17 successful login from unusual geography; MFA push approved.</w:t>
            </w:r>
          </w:p>
        </w:tc>
        <w:tc>
          <w:tcPr>
            <w:tcW w:type="dxa" w:w="3744"/>
            <w:vAlign w:val="top"/>
          </w:tcPr>
          <w:p>
            <w:r>
              <w:rPr>
                <w:sz w:val="16"/>
              </w:rPr>
              <w:t>Was this MFA fatigue, token theft, legitimate travel, or account compromise?</w:t>
            </w:r>
          </w:p>
        </w:tc>
      </w:tr>
      <w:tr>
        <w:tc>
          <w:tcPr>
            <w:tcW w:type="dxa" w:w="1728"/>
            <w:vAlign w:val="top"/>
          </w:tcPr>
          <w:p>
            <w:r>
              <w:rPr>
                <w:sz w:val="16"/>
              </w:rPr>
              <w:t>Cloud logs</w:t>
            </w:r>
          </w:p>
        </w:tc>
        <w:tc>
          <w:tcPr>
            <w:tcW w:type="dxa" w:w="4752"/>
            <w:vAlign w:val="top"/>
          </w:tcPr>
          <w:p>
            <w:r>
              <w:rPr>
                <w:sz w:val="16"/>
              </w:rPr>
              <w:t>2025-05-09 02:31:44 42GB download from claims-attachments archive by service account.</w:t>
            </w:r>
          </w:p>
        </w:tc>
        <w:tc>
          <w:tcPr>
            <w:tcW w:type="dxa" w:w="3744"/>
            <w:vAlign w:val="top"/>
          </w:tcPr>
          <w:p>
            <w:r>
              <w:rPr>
                <w:sz w:val="16"/>
              </w:rPr>
              <w:t>Does this indicate exfiltration? What data and logs are needed to confirm?</w:t>
            </w:r>
          </w:p>
        </w:tc>
      </w:tr>
      <w:tr>
        <w:tc>
          <w:tcPr>
            <w:tcW w:type="dxa" w:w="1728"/>
            <w:vAlign w:val="top"/>
          </w:tcPr>
          <w:p>
            <w:r>
              <w:rPr>
                <w:sz w:val="16"/>
              </w:rPr>
              <w:t>Claims system</w:t>
            </w:r>
          </w:p>
        </w:tc>
        <w:tc>
          <w:tcPr>
            <w:tcW w:type="dxa" w:w="4752"/>
            <w:vAlign w:val="top"/>
          </w:tcPr>
          <w:p>
            <w:r>
              <w:rPr>
                <w:sz w:val="16"/>
              </w:rPr>
              <w:t>2025-05-10 12:04:07 spike in failed claims status updates and duplicate retry jobs.</w:t>
            </w:r>
          </w:p>
        </w:tc>
        <w:tc>
          <w:tcPr>
            <w:tcW w:type="dxa" w:w="3744"/>
            <w:vAlign w:val="top"/>
          </w:tcPr>
          <w:p>
            <w:r>
              <w:rPr>
                <w:sz w:val="16"/>
              </w:rPr>
              <w:t>Is this service disruption, fraud manipulation, data integrity failure, or incident impact?</w:t>
            </w:r>
          </w:p>
        </w:tc>
      </w:tr>
      <w:tr>
        <w:tc>
          <w:tcPr>
            <w:tcW w:type="dxa" w:w="1728"/>
            <w:vAlign w:val="top"/>
          </w:tcPr>
          <w:p>
            <w:r>
              <w:rPr>
                <w:sz w:val="16"/>
              </w:rPr>
              <w:t>Backup system</w:t>
            </w:r>
          </w:p>
        </w:tc>
        <w:tc>
          <w:tcPr>
            <w:tcW w:type="dxa" w:w="4752"/>
            <w:vAlign w:val="top"/>
          </w:tcPr>
          <w:p>
            <w:r>
              <w:rPr>
                <w:sz w:val="16"/>
              </w:rPr>
              <w:t>2025-05-11 07:20:12 scheduled backup failed for claims database replicas.</w:t>
            </w:r>
          </w:p>
        </w:tc>
        <w:tc>
          <w:tcPr>
            <w:tcW w:type="dxa" w:w="3744"/>
            <w:vAlign w:val="top"/>
          </w:tcPr>
          <w:p>
            <w:r>
              <w:rPr>
                <w:sz w:val="16"/>
              </w:rPr>
              <w:t>Was backup failure caused by ransomware, access loss, capacity, or prior compromise?</w:t>
            </w:r>
          </w:p>
        </w:tc>
      </w:tr>
    </w:tbl>
    <w:p/>
    <w:p>
      <w:pPr>
        <w:pStyle w:val="Heading2"/>
      </w:pPr>
      <w:r>
        <w:t>Appendix C - Initial situation report template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D9EAF7"/>
          </w:tcPr>
          <w:p>
            <w:r>
              <w:rPr>
                <w:b/>
                <w:sz w:val="16"/>
              </w:rPr>
              <w:t>Section</w:t>
            </w:r>
          </w:p>
        </w:tc>
        <w:tc>
          <w:tcPr>
            <w:tcW w:type="dxa" w:w="7343"/>
            <w:shd w:fill="D9EAF7"/>
          </w:tcPr>
          <w:p>
            <w:r>
              <w:rPr>
                <w:b/>
                <w:sz w:val="16"/>
              </w:rPr>
              <w:t>Required content</w:t>
            </w:r>
          </w:p>
        </w:tc>
      </w:tr>
      <w:tr>
        <w:tc>
          <w:tcPr>
            <w:tcW w:type="dxa" w:w="2880"/>
            <w:vAlign w:val="top"/>
          </w:tcPr>
          <w:p>
            <w:r>
              <w:rPr>
                <w:sz w:val="16"/>
              </w:rPr>
              <w:t>Incident summary</w:t>
            </w:r>
          </w:p>
        </w:tc>
        <w:tc>
          <w:tcPr>
            <w:tcW w:type="dxa" w:w="7343"/>
            <w:vAlign w:val="top"/>
          </w:tcPr>
          <w:p>
            <w:r>
              <w:rPr>
                <w:sz w:val="16"/>
              </w:rPr>
              <w:t>What happened, when detected, affected services, current severity, and confidence level.</w:t>
            </w:r>
          </w:p>
        </w:tc>
      </w:tr>
      <w:tr>
        <w:tc>
          <w:tcPr>
            <w:tcW w:type="dxa" w:w="2880"/>
            <w:vAlign w:val="top"/>
          </w:tcPr>
          <w:p>
            <w:r>
              <w:rPr>
                <w:sz w:val="16"/>
              </w:rPr>
              <w:t>Known facts</w:t>
            </w:r>
          </w:p>
        </w:tc>
        <w:tc>
          <w:tcPr>
            <w:tcW w:type="dxa" w:w="7343"/>
            <w:vAlign w:val="top"/>
          </w:tcPr>
          <w:p>
            <w:r>
              <w:rPr>
                <w:sz w:val="16"/>
              </w:rPr>
              <w:t>Evidence confirmed at the time of the report.</w:t>
            </w:r>
          </w:p>
        </w:tc>
      </w:tr>
      <w:tr>
        <w:tc>
          <w:tcPr>
            <w:tcW w:type="dxa" w:w="2880"/>
            <w:vAlign w:val="top"/>
          </w:tcPr>
          <w:p>
            <w:r>
              <w:rPr>
                <w:sz w:val="16"/>
              </w:rPr>
              <w:t>Assumptions and uncertainties</w:t>
            </w:r>
          </w:p>
        </w:tc>
        <w:tc>
          <w:tcPr>
            <w:tcW w:type="dxa" w:w="7343"/>
            <w:vAlign w:val="top"/>
          </w:tcPr>
          <w:p>
            <w:r>
              <w:rPr>
                <w:sz w:val="16"/>
              </w:rPr>
              <w:t>What is not yet known, what is suspected, and what evidence is pending.</w:t>
            </w:r>
          </w:p>
        </w:tc>
      </w:tr>
      <w:tr>
        <w:tc>
          <w:tcPr>
            <w:tcW w:type="dxa" w:w="2880"/>
            <w:vAlign w:val="top"/>
          </w:tcPr>
          <w:p>
            <w:r>
              <w:rPr>
                <w:sz w:val="16"/>
              </w:rPr>
              <w:t>Client impact</w:t>
            </w:r>
          </w:p>
        </w:tc>
        <w:tc>
          <w:tcPr>
            <w:tcW w:type="dxa" w:w="7343"/>
            <w:vAlign w:val="top"/>
          </w:tcPr>
          <w:p>
            <w:r>
              <w:rPr>
                <w:sz w:val="16"/>
              </w:rPr>
              <w:t>Affected services, data, claimants, policyholders, customer groups, and available workarounds.</w:t>
            </w:r>
          </w:p>
        </w:tc>
      </w:tr>
      <w:tr>
        <w:tc>
          <w:tcPr>
            <w:tcW w:type="dxa" w:w="2880"/>
            <w:vAlign w:val="top"/>
          </w:tcPr>
          <w:p>
            <w:r>
              <w:rPr>
                <w:sz w:val="16"/>
              </w:rPr>
              <w:t>Actions completed</w:t>
            </w:r>
          </w:p>
        </w:tc>
        <w:tc>
          <w:tcPr>
            <w:tcW w:type="dxa" w:w="7343"/>
            <w:vAlign w:val="top"/>
          </w:tcPr>
          <w:p>
            <w:r>
              <w:rPr>
                <w:sz w:val="16"/>
              </w:rPr>
              <w:t>Containment, access revocation, vendor engagement, communications, evidence preservation.</w:t>
            </w:r>
          </w:p>
        </w:tc>
      </w:tr>
      <w:tr>
        <w:tc>
          <w:tcPr>
            <w:tcW w:type="dxa" w:w="2880"/>
            <w:vAlign w:val="top"/>
          </w:tcPr>
          <w:p>
            <w:r>
              <w:rPr>
                <w:sz w:val="16"/>
              </w:rPr>
              <w:t>Decisions required</w:t>
            </w:r>
          </w:p>
        </w:tc>
        <w:tc>
          <w:tcPr>
            <w:tcW w:type="dxa" w:w="7343"/>
            <w:vAlign w:val="top"/>
          </w:tcPr>
          <w:p>
            <w:r>
              <w:rPr>
                <w:sz w:val="16"/>
              </w:rPr>
              <w:t>Executive or Board decisions needed within the next reporting period.</w:t>
            </w:r>
          </w:p>
        </w:tc>
      </w:tr>
      <w:tr>
        <w:tc>
          <w:tcPr>
            <w:tcW w:type="dxa" w:w="2880"/>
            <w:vAlign w:val="top"/>
          </w:tcPr>
          <w:p>
            <w:r>
              <w:rPr>
                <w:sz w:val="16"/>
              </w:rPr>
              <w:t>Next update</w:t>
            </w:r>
          </w:p>
        </w:tc>
        <w:tc>
          <w:tcPr>
            <w:tcW w:type="dxa" w:w="7343"/>
            <w:vAlign w:val="top"/>
          </w:tcPr>
          <w:p>
            <w:r>
              <w:rPr>
                <w:sz w:val="16"/>
              </w:rPr>
              <w:t>Time of next scheduled situation report and responsible owner.</w:t>
            </w:r>
          </w:p>
        </w:tc>
      </w:tr>
    </w:tbl>
    <w:p/>
    <w:p>
      <w:pPr>
        <w:pStyle w:val="Heading2"/>
      </w:pPr>
      <w:r>
        <w:t>Appendix D - Regulatory and privacy assessment prompt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D9EAF7"/>
          </w:tcPr>
          <w:p>
            <w:r>
              <w:rPr>
                <w:b/>
                <w:sz w:val="16"/>
              </w:rPr>
              <w:t>Question</w:t>
            </w:r>
          </w:p>
        </w:tc>
        <w:tc>
          <w:tcPr>
            <w:tcW w:type="dxa" w:w="7200"/>
            <w:shd w:fill="D9EAF7"/>
          </w:tcPr>
          <w:p>
            <w:r>
              <w:rPr>
                <w:b/>
                <w:sz w:val="16"/>
              </w:rPr>
              <w:t>Student response required</w:t>
            </w:r>
          </w:p>
        </w:tc>
      </w:tr>
      <w:tr>
        <w:tc>
          <w:tcPr>
            <w:tcW w:type="dxa" w:w="3024"/>
            <w:vAlign w:val="top"/>
          </w:tcPr>
          <w:p>
            <w:r>
              <w:rPr>
                <w:sz w:val="16"/>
              </w:rPr>
              <w:t>Is the incident material or reportable?</w:t>
            </w:r>
          </w:p>
        </w:tc>
        <w:tc>
          <w:tcPr>
            <w:tcW w:type="dxa" w:w="7200"/>
            <w:vAlign w:val="top"/>
          </w:tcPr>
          <w:p>
            <w:r>
              <w:rPr>
                <w:sz w:val="16"/>
              </w:rPr>
              <w:t>Explain factors such as service disruption, sensitive data exposure, operational impact, financial impact, public/media attention, and regulator relevance.</w:t>
            </w:r>
          </w:p>
        </w:tc>
      </w:tr>
      <w:tr>
        <w:tc>
          <w:tcPr>
            <w:tcW w:type="dxa" w:w="3024"/>
            <w:vAlign w:val="top"/>
          </w:tcPr>
          <w:p>
            <w:r>
              <w:rPr>
                <w:sz w:val="16"/>
              </w:rPr>
              <w:t>What must be reported early?</w:t>
            </w:r>
          </w:p>
        </w:tc>
        <w:tc>
          <w:tcPr>
            <w:tcW w:type="dxa" w:w="7200"/>
            <w:vAlign w:val="top"/>
          </w:tcPr>
          <w:p>
            <w:r>
              <w:rPr>
                <w:sz w:val="16"/>
              </w:rPr>
              <w:t>Prepare an initial incident notification using available facts and clearly label unknowns.</w:t>
            </w:r>
          </w:p>
        </w:tc>
      </w:tr>
      <w:tr>
        <w:tc>
          <w:tcPr>
            <w:tcW w:type="dxa" w:w="3024"/>
            <w:vAlign w:val="top"/>
          </w:tcPr>
          <w:p>
            <w:r>
              <w:rPr>
                <w:sz w:val="16"/>
              </w:rPr>
              <w:t>Does the privacy breach create a real risk of significant harm?</w:t>
            </w:r>
          </w:p>
        </w:tc>
        <w:tc>
          <w:tcPr>
            <w:tcW w:type="dxa" w:w="7200"/>
            <w:vAlign w:val="top"/>
          </w:tcPr>
          <w:p>
            <w:r>
              <w:rPr>
                <w:sz w:val="16"/>
              </w:rPr>
              <w:t>Assess sensitivity of personal information, medical information, financial information, claims context, and probability of misuse.</w:t>
            </w:r>
          </w:p>
        </w:tc>
      </w:tr>
      <w:tr>
        <w:tc>
          <w:tcPr>
            <w:tcW w:type="dxa" w:w="3024"/>
            <w:vAlign w:val="top"/>
          </w:tcPr>
          <w:p>
            <w:r>
              <w:rPr>
                <w:sz w:val="16"/>
              </w:rPr>
              <w:t>Who should be notified?</w:t>
            </w:r>
          </w:p>
        </w:tc>
        <w:tc>
          <w:tcPr>
            <w:tcW w:type="dxa" w:w="7200"/>
            <w:vAlign w:val="top"/>
          </w:tcPr>
          <w:p>
            <w:r>
              <w:rPr>
                <w:sz w:val="16"/>
              </w:rPr>
              <w:t>Identify privacy authorities, insurance regulators, affected individuals, law enforcement, cyber insurer, vendors, brokers, and internal stakeholders.</w:t>
            </w:r>
          </w:p>
        </w:tc>
      </w:tr>
      <w:tr>
        <w:tc>
          <w:tcPr>
            <w:tcW w:type="dxa" w:w="3024"/>
            <w:vAlign w:val="top"/>
          </w:tcPr>
          <w:p>
            <w:r>
              <w:rPr>
                <w:sz w:val="16"/>
              </w:rPr>
              <w:t>What records must be retained?</w:t>
            </w:r>
          </w:p>
        </w:tc>
        <w:tc>
          <w:tcPr>
            <w:tcW w:type="dxa" w:w="7200"/>
            <w:vAlign w:val="top"/>
          </w:tcPr>
          <w:p>
            <w:r>
              <w:rPr>
                <w:sz w:val="16"/>
              </w:rPr>
              <w:t>Identify incident records, breach assessment, forensic evidence, decision logs, notifications, communications, and remediation evidence.</w:t>
            </w:r>
          </w:p>
        </w:tc>
      </w:tr>
    </w:tbl>
    <w:p/>
    <w:p>
      <w:pPr>
        <w:pStyle w:val="Heading1"/>
      </w:pPr>
      <w:r>
        <w:t>12. References and Standards Alignment Notes</w:t>
      </w:r>
    </w:p>
    <w:p>
      <w:r>
        <w:t>This teaching case is fictional but aligned with commonly used cybersecurity governance, incident response, audit, privacy, and risk management concepts. Instructors may adapt the reference set to match the frameworks taught in their course.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D9EAF7"/>
          </w:tcPr>
          <w:p>
            <w:r>
              <w:rPr>
                <w:b/>
                <w:sz w:val="16"/>
              </w:rPr>
              <w:t>Source</w:t>
            </w:r>
          </w:p>
        </w:tc>
        <w:tc>
          <w:tcPr>
            <w:tcW w:type="dxa" w:w="6768"/>
            <w:shd w:fill="D9EAF7"/>
          </w:tcPr>
          <w:p>
            <w:r>
              <w:rPr>
                <w:b/>
                <w:sz w:val="16"/>
              </w:rPr>
              <w:t>How it can be used in the case</w:t>
            </w:r>
          </w:p>
        </w:tc>
      </w:tr>
      <w:tr>
        <w:tc>
          <w:tcPr>
            <w:tcW w:type="dxa" w:w="3456"/>
            <w:vAlign w:val="top"/>
          </w:tcPr>
          <w:p>
            <w:r>
              <w:rPr>
                <w:sz w:val="16"/>
              </w:rPr>
              <w:t>Canadian privacy laws and guidance</w:t>
            </w:r>
          </w:p>
        </w:tc>
        <w:tc>
          <w:tcPr>
            <w:tcW w:type="dxa" w:w="6768"/>
            <w:vAlign w:val="top"/>
          </w:tcPr>
          <w:p>
            <w:r>
              <w:rPr>
                <w:sz w:val="16"/>
              </w:rPr>
              <w:t>Use for privacy breach assessment, real risk of significant harm, individual notification, breach recordkeeping, and data protection expectations.</w:t>
            </w:r>
          </w:p>
        </w:tc>
      </w:tr>
      <w:tr>
        <w:tc>
          <w:tcPr>
            <w:tcW w:type="dxa" w:w="3456"/>
            <w:vAlign w:val="top"/>
          </w:tcPr>
          <w:p>
            <w:r>
              <w:rPr>
                <w:sz w:val="16"/>
              </w:rPr>
              <w:t>Insurance-sector regulatory expectations</w:t>
            </w:r>
          </w:p>
        </w:tc>
        <w:tc>
          <w:tcPr>
            <w:tcW w:type="dxa" w:w="6768"/>
            <w:vAlign w:val="top"/>
          </w:tcPr>
          <w:p>
            <w:r>
              <w:rPr>
                <w:sz w:val="16"/>
              </w:rPr>
              <w:t>Use for governance, operational resilience, outsourcing, conduct, privacy, and regulator-facing incident discussions.</w:t>
            </w:r>
          </w:p>
        </w:tc>
      </w:tr>
      <w:tr>
        <w:tc>
          <w:tcPr>
            <w:tcW w:type="dxa" w:w="3456"/>
            <w:vAlign w:val="top"/>
          </w:tcPr>
          <w:p>
            <w:r>
              <w:rPr>
                <w:sz w:val="16"/>
              </w:rPr>
              <w:t>NIST Cybersecurity Framework 2.0</w:t>
            </w:r>
          </w:p>
        </w:tc>
        <w:tc>
          <w:tcPr>
            <w:tcW w:type="dxa" w:w="6768"/>
            <w:vAlign w:val="top"/>
          </w:tcPr>
          <w:p>
            <w:r>
              <w:rPr>
                <w:sz w:val="16"/>
              </w:rPr>
              <w:t>Use to organize governance, identify, protect, detect, respond, and recover outcomes and to communicate cybersecurity risk.</w:t>
            </w:r>
          </w:p>
        </w:tc>
      </w:tr>
      <w:tr>
        <w:tc>
          <w:tcPr>
            <w:tcW w:type="dxa" w:w="3456"/>
            <w:vAlign w:val="top"/>
          </w:tcPr>
          <w:p>
            <w:r>
              <w:rPr>
                <w:sz w:val="16"/>
              </w:rPr>
              <w:t>NIST SP 800-61 Revision 3</w:t>
            </w:r>
          </w:p>
        </w:tc>
        <w:tc>
          <w:tcPr>
            <w:tcW w:type="dxa" w:w="6768"/>
            <w:vAlign w:val="top"/>
          </w:tcPr>
          <w:p>
            <w:r>
              <w:rPr>
                <w:sz w:val="16"/>
              </w:rPr>
              <w:t>Use for incident response recommendations and for integrating incident response into cybersecurity risk management.</w:t>
            </w:r>
          </w:p>
        </w:tc>
      </w:tr>
      <w:tr>
        <w:tc>
          <w:tcPr>
            <w:tcW w:type="dxa" w:w="3456"/>
            <w:vAlign w:val="top"/>
          </w:tcPr>
          <w:p>
            <w:r>
              <w:rPr>
                <w:sz w:val="16"/>
              </w:rPr>
              <w:t>COBIT 2019</w:t>
            </w:r>
          </w:p>
        </w:tc>
        <w:tc>
          <w:tcPr>
            <w:tcW w:type="dxa" w:w="6768"/>
            <w:vAlign w:val="top"/>
          </w:tcPr>
          <w:p>
            <w:r>
              <w:rPr>
                <w:sz w:val="16"/>
              </w:rPr>
              <w:t>Use for enterprise governance and management of information and technology, audit planning, and governance objective mapping.</w:t>
            </w:r>
          </w:p>
        </w:tc>
      </w:tr>
      <w:tr>
        <w:tc>
          <w:tcPr>
            <w:tcW w:type="dxa" w:w="3456"/>
            <w:vAlign w:val="top"/>
          </w:tcPr>
          <w:p>
            <w:r>
              <w:rPr>
                <w:sz w:val="16"/>
              </w:rPr>
              <w:t>ISO/IEC 27001 and ISO/IEC 27002</w:t>
            </w:r>
          </w:p>
        </w:tc>
        <w:tc>
          <w:tcPr>
            <w:tcW w:type="dxa" w:w="6768"/>
            <w:vAlign w:val="top"/>
          </w:tcPr>
          <w:p>
            <w:r>
              <w:rPr>
                <w:sz w:val="16"/>
              </w:rPr>
              <w:t>Use for information security management system design and control catalogue references.</w:t>
            </w:r>
          </w:p>
        </w:tc>
      </w:tr>
      <w:tr>
        <w:tc>
          <w:tcPr>
            <w:tcW w:type="dxa" w:w="3456"/>
            <w:vAlign w:val="top"/>
          </w:tcPr>
          <w:p>
            <w:r>
              <w:rPr>
                <w:sz w:val="16"/>
              </w:rPr>
              <w:t>MITRE ATT&amp;CK</w:t>
            </w:r>
          </w:p>
        </w:tc>
        <w:tc>
          <w:tcPr>
            <w:tcW w:type="dxa" w:w="6768"/>
            <w:vAlign w:val="top"/>
          </w:tcPr>
          <w:p>
            <w:r>
              <w:rPr>
                <w:sz w:val="16"/>
              </w:rPr>
              <w:t>Use for mapping adversary tactics, techniques, and procedures in the incident response module.</w:t>
            </w:r>
          </w:p>
        </w:tc>
      </w:tr>
      <w:tr>
        <w:tc>
          <w:tcPr>
            <w:tcW w:type="dxa" w:w="3456"/>
            <w:vAlign w:val="top"/>
          </w:tcPr>
          <w:p>
            <w:r>
              <w:rPr>
                <w:sz w:val="16"/>
              </w:rPr>
              <w:t>PCI DSS and payment-card requirements, if used by instructor</w:t>
            </w:r>
          </w:p>
        </w:tc>
        <w:tc>
          <w:tcPr>
            <w:tcW w:type="dxa" w:w="6768"/>
            <w:vAlign w:val="top"/>
          </w:tcPr>
          <w:p>
            <w:r>
              <w:rPr>
                <w:sz w:val="16"/>
              </w:rPr>
              <w:t>Use for payment-related scenarios involving card data, payments, or third-party payment service providers.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D9EAF7"/>
          </w:tcPr>
          <w:p>
            <w:r>
              <w:rPr>
                <w:b/>
                <w:sz w:val="16"/>
              </w:rPr>
              <w:t>Case element</w:t>
            </w:r>
          </w:p>
        </w:tc>
        <w:tc>
          <w:tcPr>
            <w:tcW w:type="dxa" w:w="6768"/>
            <w:shd w:fill="D9EAF7"/>
          </w:tcPr>
          <w:p>
            <w:r>
              <w:rPr>
                <w:b/>
                <w:sz w:val="16"/>
              </w:rPr>
              <w:t>Useful framework mapping</w:t>
            </w:r>
          </w:p>
        </w:tc>
      </w:tr>
      <w:tr>
        <w:tc>
          <w:tcPr>
            <w:tcW w:type="dxa" w:w="3456"/>
            <w:vAlign w:val="top"/>
          </w:tcPr>
          <w:p>
            <w:r>
              <w:rPr>
                <w:sz w:val="16"/>
              </w:rPr>
              <w:t>Board cyber oversight and CISO reporting</w:t>
            </w:r>
          </w:p>
        </w:tc>
        <w:tc>
          <w:tcPr>
            <w:tcW w:type="dxa" w:w="6768"/>
            <w:vAlign w:val="top"/>
          </w:tcPr>
          <w:p>
            <w:r>
              <w:rPr>
                <w:sz w:val="16"/>
              </w:rPr>
              <w:t>NIST CSF 2.0 Govern function; COBIT governance objectives; insurance-sector governance expectations.</w:t>
            </w:r>
          </w:p>
        </w:tc>
      </w:tr>
      <w:tr>
        <w:tc>
          <w:tcPr>
            <w:tcW w:type="dxa" w:w="3456"/>
            <w:vAlign w:val="top"/>
          </w:tcPr>
          <w:p>
            <w:r>
              <w:rPr>
                <w:sz w:val="16"/>
              </w:rPr>
              <w:t>Ransomware incident timeline</w:t>
            </w:r>
          </w:p>
        </w:tc>
        <w:tc>
          <w:tcPr>
            <w:tcW w:type="dxa" w:w="6768"/>
            <w:vAlign w:val="top"/>
          </w:tcPr>
          <w:p>
            <w:r>
              <w:rPr>
                <w:sz w:val="16"/>
              </w:rPr>
              <w:t>NIST SP 800-61r3 incident response considerations; NIST CSF Respond and Recover; MITRE ATT&amp;CK techniques.</w:t>
            </w:r>
          </w:p>
        </w:tc>
      </w:tr>
      <w:tr>
        <w:tc>
          <w:tcPr>
            <w:tcW w:type="dxa" w:w="3456"/>
            <w:vAlign w:val="top"/>
          </w:tcPr>
          <w:p>
            <w:r>
              <w:rPr>
                <w:sz w:val="16"/>
              </w:rPr>
              <w:t>Audit universe and audit plan</w:t>
            </w:r>
          </w:p>
        </w:tc>
        <w:tc>
          <w:tcPr>
            <w:tcW w:type="dxa" w:w="6768"/>
            <w:vAlign w:val="top"/>
          </w:tcPr>
          <w:p>
            <w:r>
              <w:rPr>
                <w:sz w:val="16"/>
              </w:rPr>
              <w:t>COBIT governance/management objectives; internal audit risk-based planning concepts; ISO/IEC 27002 controls.</w:t>
            </w:r>
          </w:p>
        </w:tc>
      </w:tr>
      <w:tr>
        <w:tc>
          <w:tcPr>
            <w:tcW w:type="dxa" w:w="3456"/>
            <w:vAlign w:val="top"/>
          </w:tcPr>
          <w:p>
            <w:r>
              <w:rPr>
                <w:sz w:val="16"/>
              </w:rPr>
              <w:t>Privacy breach decision</w:t>
            </w:r>
          </w:p>
        </w:tc>
        <w:tc>
          <w:tcPr>
            <w:tcW w:type="dxa" w:w="6768"/>
            <w:vAlign w:val="top"/>
          </w:tcPr>
          <w:p>
            <w:r>
              <w:rPr>
                <w:sz w:val="16"/>
              </w:rPr>
              <w:t>Privacy breach reporting, real risk of significant harm, individual notification, and recordkeeping.</w:t>
            </w:r>
          </w:p>
        </w:tc>
      </w:tr>
      <w:tr>
        <w:tc>
          <w:tcPr>
            <w:tcW w:type="dxa" w:w="3456"/>
            <w:vAlign w:val="top"/>
          </w:tcPr>
          <w:p>
            <w:r>
              <w:rPr>
                <w:sz w:val="16"/>
              </w:rPr>
              <w:t>Third-party risk scenario</w:t>
            </w:r>
          </w:p>
        </w:tc>
        <w:tc>
          <w:tcPr>
            <w:tcW w:type="dxa" w:w="6768"/>
            <w:vAlign w:val="top"/>
          </w:tcPr>
          <w:p>
            <w:r>
              <w:rPr>
                <w:sz w:val="16"/>
              </w:rPr>
              <w:t>Third-party risk management, outsourcing governance, security assurance reports, and contract control testing.</w:t>
            </w:r>
          </w:p>
        </w:tc>
      </w:tr>
      <w:tr>
        <w:tc>
          <w:tcPr>
            <w:tcW w:type="dxa" w:w="3456"/>
            <w:vAlign w:val="top"/>
          </w:tcPr>
          <w:p>
            <w:r>
              <w:rPr>
                <w:sz w:val="16"/>
              </w:rPr>
              <w:t>AI claims and CRM scenario</w:t>
            </w:r>
          </w:p>
        </w:tc>
        <w:tc>
          <w:tcPr>
            <w:tcW w:type="dxa" w:w="6768"/>
            <w:vAlign w:val="top"/>
          </w:tcPr>
          <w:p>
            <w:r>
              <w:rPr>
                <w:sz w:val="16"/>
              </w:rPr>
              <w:t>AI governance, model integrity, data quality, privacy, human review, and operational resilience.</w:t>
            </w:r>
          </w:p>
        </w:tc>
      </w:tr>
    </w:tbl>
    <w:p/>
    <w:p>
      <w:pPr>
        <w:sectPr>
          <w:headerReference w:type="default" r:id="rId9"/>
          <w:footerReference w:type="default" r:id="rId10"/>
          <w:pgSz w:w="12240" w:h="15840"/>
          <w:pgMar w:top="936" w:right="936" w:bottom="936" w:left="936" w:header="720" w:footer="720" w:gutter="0"/>
          <w:cols w:space="720"/>
          <w:docGrid w:linePitch="360"/>
        </w:sectPr>
      </w:pPr>
    </w:p>
    <w:p>
      <w:r>
        <w:rPr>
          <w:i/>
        </w:rPr>
        <w:t>Student version (CyberRiskGuardian Education Package 1.0). The instructor annexes, sample answers and instructor guidance appendices of this case are distributed in the Educator Edition. Fictional case — CC BY-NC 4.0, © Marc-André Léger.</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Teaching case - fictional organization - instructor may separate student and instructor materials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Canadian National Insurance Company (CNIC) Cybersecurity Teaching Case - v2.0c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