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MediBec</w:t>
      </w:r>
    </w:p>
    <w:p>
      <w:pPr>
        <w:spacing w:after="200"/>
      </w:pPr>
      <w:r>
        <w:rPr>
          <w:rFonts w:ascii="Arial" w:cs="Arial" w:eastAsia="Arial" w:hAnsi="Arial"/>
          <w:color w:val="1F3864"/>
          <w:sz w:val="36"/>
          <w:szCs w:val="36"/>
        </w:rPr>
        <w:t xml:space="preserve">Scenario-Based Cybersecurity Risk Assessment</w:t>
      </w:r>
    </w:p>
    <w:p>
      <w:pPr>
        <w:spacing w:after="600"/>
      </w:pPr>
      <w:r>
        <w:rPr>
          <w:rFonts w:ascii="Arial" w:cs="Arial" w:eastAsia="Arial" w:hAnsi="Arial"/>
          <w:color w:val="595959"/>
          <w:sz w:val="24"/>
          <w:szCs w:val="24"/>
        </w:rPr>
        <w:t xml:space="preserve">Ten material risk scenarios, quantified risk indicators, treatment portfolio and 24-month roadmap</w:t>
      </w:r>
    </w:p>
    <w:p>
      <w:pPr>
        <w:spacing w:after="120"/>
      </w:pPr>
      <w:r>
        <w:rPr>
          <w:rFonts w:ascii="Arial" w:cs="Arial" w:eastAsia="Arial" w:hAnsi="Arial"/>
          <w:b/>
          <w:bCs/>
        </w:rPr>
        <w:t xml:space="preserve">Prepared for:</w:t>
      </w:r>
      <w:r>
        <w:rPr>
          <w:rFonts w:ascii="Arial" w:cs="Arial" w:eastAsia="Arial" w:hAnsi="Arial"/>
        </w:rPr>
        <w:t xml:space="preserve"> Cybersecurity and Privacy Steering Committee, Executive Leadership, Board / ownership group</w:t>
      </w:r>
    </w:p>
    <w:p>
      <w:pPr>
        <w:spacing w:after="120"/>
      </w:pPr>
      <w:r>
        <w:rPr>
          <w:rFonts w:ascii="Arial" w:cs="Arial" w:eastAsia="Arial" w:hAnsi="Arial"/>
          <w:b/>
          <w:bCs/>
        </w:rPr>
        <w:t xml:space="preserve">Prepared by:</w:t>
      </w:r>
      <w:r>
        <w:rPr>
          <w:rFonts w:ascii="Arial" w:cs="Arial" w:eastAsia="Arial" w:hAnsi="Arial"/>
        </w:rPr>
        <w:t xml:space="preserve"> CyberRiskGuardian analysis (AI-assisted, analyst validation required)</w:t>
      </w:r>
    </w:p>
    <w:p>
      <w:pPr>
        <w:spacing w:after="120"/>
      </w:pPr>
      <w:r>
        <w:rPr>
          <w:rFonts w:ascii="Arial" w:cs="Arial" w:eastAsia="Arial" w:hAnsi="Arial"/>
          <w:b/>
          <w:bCs/>
        </w:rPr>
        <w:t xml:space="preserve">Date:</w:t>
      </w:r>
      <w:r>
        <w:rPr>
          <w:rFonts w:ascii="Arial" w:cs="Arial" w:eastAsia="Arial" w:hAnsi="Arial"/>
        </w:rPr>
        <w:t xml:space="preserve"> 25 September 2026   </w:t>
      </w:r>
      <w:r>
        <w:rPr>
          <w:rFonts w:ascii="Arial" w:cs="Arial" w:eastAsia="Arial" w:hAnsi="Arial"/>
          <w:b/>
          <w:bCs/>
        </w:rPr>
        <w:t xml:space="preserve">Assessment period:</w:t>
      </w:r>
      <w:r>
        <w:rPr>
          <w:rFonts w:ascii="Arial" w:cs="Arial" w:eastAsia="Arial" w:hAnsi="Arial"/>
        </w:rPr>
        <w:t xml:space="preserve"> next 12 months (October 2026 - September 2027)</w:t>
      </w:r>
    </w:p>
    <w:p>
      <w:pPr>
        <w:spacing w:after="120"/>
      </w:pPr>
      <w:r>
        <w:rPr>
          <w:rFonts w:ascii="Arial" w:cs="Arial" w:eastAsia="Arial" w:hAnsi="Arial"/>
          <w:b/>
          <w:bCs/>
        </w:rPr>
        <w:t xml:space="preserve">Methodology:</w:t>
      </w:r>
      <w:r>
        <w:rPr>
          <w:rFonts w:ascii="Arial" w:cs="Arial" w:eastAsia="Arial" w:hAnsi="Arial"/>
        </w:rPr>
        <w:t xml:space="preserve"> CyberRiskGuardian (Excel Guide v1.0c formulas), CVSS v4.0, multiplication factor 1,000</w:t>
      </w:r>
    </w:p>
    <w:p>
      <w:pPr>
        <w:spacing w:after="120"/>
      </w:pPr>
      <w:r>
        <w:rPr>
          <w:rFonts w:ascii="Arial" w:cs="Arial" w:eastAsia="Arial" w:hAnsi="Arial"/>
          <w:b/>
          <w:bCs/>
        </w:rPr>
        <w:t xml:space="preserve">Companion file:</w:t>
      </w:r>
      <w:r>
        <w:rPr>
          <w:rFonts w:ascii="Arial" w:cs="Arial" w:eastAsia="Arial" w:hAnsi="Arial"/>
        </w:rPr>
        <w:t xml:space="preserve"> MediBec</w:t>
      </w:r>
      <w:r>
        <w:rPr>
          <w:rFonts w:ascii="Arial" w:cs="Arial" w:eastAsia="Arial" w:hAnsi="Arial"/>
          <w:i/>
          <w:iCs/>
        </w:rPr>
        <w:t xml:space="preserve">CyberRiskGuardian</w:t>
      </w:r>
      <w:r>
        <w:rPr>
          <w:rFonts w:ascii="Arial" w:cs="Arial" w:eastAsia="Arial" w:hAnsi="Arial"/>
        </w:rPr>
        <w:t xml:space="preserve">Workbook.xlsx (live calculations)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Source and status.</w:t>
            </w:r>
            <w:r>
              <w:rPr>
                <w:rFonts w:ascii="Arial" w:cs="Arial" w:eastAsia="Arial" w:hAnsi="Arial"/>
                <w:sz w:val="19"/>
                <w:szCs w:val="19"/>
              </w:rPr>
              <w:t xml:space="preserve"> Based solely on the MediBec Business Case v2.0b, a fictional teaching case. All probabilities, damages, CVSS vectors, costs and effectiveness values are analytical estimates (</w:t>
            </w:r>
            <w:r>
              <w:rPr>
                <w:rFonts w:ascii="Arial" w:cs="Arial" w:eastAsia="Arial" w:hAnsi="Arial"/>
                <w:b/>
                <w:bCs/>
                <w:sz w:val="19"/>
                <w:szCs w:val="19"/>
              </w:rPr>
              <w:t xml:space="preserve">Analytical estimate — validation required</w:t>
            </w:r>
            <w:r>
              <w:rPr>
                <w:rFonts w:ascii="Arial" w:cs="Arial" w:eastAsia="Arial" w:hAnsi="Arial"/>
                <w:sz w:val="19"/>
                <w:szCs w:val="19"/>
              </w:rPr>
              <w:t xml:space="preserve">). Scores are relative decision-support indicators, not predictions of incidents or dollar losses. Risk acceptance decisions remain with MediBec management.</w:t>
            </w:r>
          </w:p>
        </w:tc>
      </w:tr>
    </w:tbl>
    <w:p>
      <w:r>
        <w:br w:type="page"/>
      </w:r>
    </w:p>
    <w:p>
      <w:pPr>
        <w:spacing w:after="2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pPr>
      <w:r>
        <w:rPr>
          <w:rFonts w:ascii="Arial" w:cs="Arial" w:eastAsia="Arial" w:hAnsi="Arial"/>
        </w:rPr>
        <w:t xml:space="preserve">MediBec operates 10 clinics that depend on a central Montreal data centre, an integrated EHR, cloud-based remote access and interconnected medical equipment, protected by a two-person cybersecurity team. Attack attempts have increased, and although no breach is confirmed, the case evidence shows the weak points a real intrusion would use: push-based MFA that can be fatigued, alerts closed without correlation, untested backups and recovery, and little visibility over cloud storage, service accounts, medical devices and vendors.</w:t>
      </w:r>
    </w:p>
    <w:p>
      <w:pPr>
        <w:spacing w:after="120"/>
      </w:pPr>
      <w:r>
        <w:rPr>
          <w:rFonts w:ascii="Arial" w:cs="Arial" w:eastAsia="Arial" w:hAnsi="Arial"/>
        </w:rPr>
        <w:t xml:space="preserve">From 20 candidate scenarios, ten were retained. Against an estimated risk appetite of </w:t>
      </w:r>
      <w:r>
        <w:rPr>
          <w:rFonts w:ascii="Arial" w:cs="Arial" w:eastAsia="Arial" w:hAnsi="Arial"/>
          <w:b/>
          <w:bCs/>
        </w:rPr>
        <w:t xml:space="preserve">0.30</w:t>
      </w:r>
      <w:r>
        <w:rPr>
          <w:rFonts w:ascii="Arial" w:cs="Arial" w:eastAsia="Arial" w:hAnsi="Arial"/>
        </w:rPr>
        <w:t xml:space="preserve">, </w:t>
      </w:r>
      <w:r>
        <w:rPr>
          <w:rFonts w:ascii="Arial" w:cs="Arial" w:eastAsia="Arial" w:hAnsi="Arial"/>
          <w:b/>
          <w:bCs/>
        </w:rPr>
        <w:t xml:space="preserve">every scenario is currently above tolerance</w:t>
      </w:r>
      <w:r>
        <w:rPr>
          <w:rFonts w:ascii="Arial" w:cs="Arial" w:eastAsia="Arial" w:hAnsi="Arial"/>
        </w:rPr>
        <w:t xml:space="preserve"> (pre-treatment estimated-to-tolerated ratios of 2.00-2.75). After the recommended portfolio, the picture is:</w:t>
      </w:r>
    </w:p>
    <w:p>
      <w:pPr>
        <w:pStyle w:val="ListParagraph"/>
        <w:numPr>
          <w:ilvl w:val="0"/>
          <w:numId w:val="2"/>
        </w:numPr>
        <w:spacing w:after="60"/>
      </w:pPr>
      <w:r>
        <w:rPr>
          <w:rFonts w:ascii="Arial" w:cs="Arial" w:eastAsia="Arial" w:hAnsi="Arial"/>
          <w:b/>
          <w:bCs/>
        </w:rPr>
        <w:t xml:space="preserve">Above tolerance (5):</w:t>
      </w:r>
      <w:r>
        <w:rPr>
          <w:rFonts w:ascii="Arial" w:cs="Arial" w:eastAsia="Arial" w:hAnsi="Arial"/>
        </w:rPr>
        <w:t xml:space="preserve"> S2 (1.20), S5 (1.22), S7 (1.45), S9 (1.54), S10 (1.19) - ransomware, insider/privileged misuse, medical devices, vendors and record integrity. These need Board / ownership-group acceptance, further treatment or transfer.</w:t>
      </w:r>
    </w:p>
    <w:p>
      <w:pPr>
        <w:pStyle w:val="ListParagraph"/>
        <w:numPr>
          <w:ilvl w:val="0"/>
          <w:numId w:val="2"/>
        </w:numPr>
        <w:spacing w:after="60"/>
      </w:pPr>
      <w:r>
        <w:rPr>
          <w:rFonts w:ascii="Arial" w:cs="Arial" w:eastAsia="Arial" w:hAnsi="Arial"/>
          <w:b/>
          <w:bCs/>
        </w:rPr>
        <w:t xml:space="preserve">Approximately at tolerance (4):</w:t>
      </w:r>
      <w:r>
        <w:rPr>
          <w:rFonts w:ascii="Arial" w:cs="Arial" w:eastAsia="Arial" w:hAnsi="Arial"/>
        </w:rPr>
        <w:t xml:space="preserve"> S1 (0.93), S4 (0.91), S6 (1.01), S8 (1.10).</w:t>
      </w:r>
    </w:p>
    <w:p>
      <w:pPr>
        <w:pStyle w:val="ListParagraph"/>
        <w:numPr>
          <w:ilvl w:val="0"/>
          <w:numId w:val="2"/>
        </w:numPr>
        <w:spacing w:after="60"/>
      </w:pPr>
      <w:r>
        <w:rPr>
          <w:rFonts w:ascii="Arial" w:cs="Arial" w:eastAsia="Arial" w:hAnsi="Arial"/>
          <w:b/>
          <w:bCs/>
        </w:rPr>
        <w:t xml:space="preserve">Below tolerance (1):</w:t>
      </w:r>
      <w:r>
        <w:rPr>
          <w:rFonts w:ascii="Arial" w:cs="Arial" w:eastAsia="Arial" w:hAnsi="Arial"/>
        </w:rPr>
        <w:t xml:space="preserve"> S3 (0.80) - backup compromise, provided immutable and isolated backups are delivered.</w:t>
      </w:r>
    </w:p>
    <w:p>
      <w:pPr>
        <w:spacing w:after="120"/>
      </w:pPr>
      <w:r>
        <w:rPr>
          <w:rFonts w:ascii="Arial" w:cs="Arial" w:eastAsia="Arial" w:hAnsi="Arial"/>
        </w:rPr>
        <w:t xml:space="preserve">The portfolio of </w:t>
      </w:r>
      <w:r>
        <w:rPr>
          <w:rFonts w:ascii="Arial" w:cs="Arial" w:eastAsia="Arial" w:hAnsi="Arial"/>
          <w:b/>
          <w:bCs/>
        </w:rPr>
        <w:t xml:space="preserve">13 initiatives</w:t>
      </w:r>
      <w:r>
        <w:rPr>
          <w:rFonts w:ascii="Arial" w:cs="Arial" w:eastAsia="Arial" w:hAnsi="Arial"/>
        </w:rPr>
        <w:t xml:space="preserve"> reduces aggregate estimated risk by about </w:t>
      </w:r>
      <w:r>
        <w:rPr>
          <w:rFonts w:ascii="Arial" w:cs="Arial" w:eastAsia="Arial" w:hAnsi="Arial"/>
          <w:b/>
          <w:bCs/>
        </w:rPr>
        <w:t xml:space="preserve">55%</w:t>
      </w:r>
      <w:r>
        <w:rPr>
          <w:rFonts w:ascii="Arial" w:cs="Arial" w:eastAsia="Arial" w:hAnsi="Arial"/>
        </w:rPr>
        <w:t xml:space="preserve"> (50,306 to 22,722 risk units). Indicative cost: </w:t>
      </w:r>
      <w:r>
        <w:rPr>
          <w:rFonts w:ascii="Arial" w:cs="Arial" w:eastAsia="Arial" w:hAnsi="Arial"/>
          <w:b/>
          <w:bCs/>
        </w:rPr>
        <w:t xml:space="preserve">$2,410,000 initial</w:t>
      </w:r>
      <w:r>
        <w:rPr>
          <w:rFonts w:ascii="Arial" w:cs="Arial" w:eastAsia="Arial" w:hAnsi="Arial"/>
        </w:rPr>
        <w:t xml:space="preserve"> plus </w:t>
      </w:r>
      <w:r>
        <w:rPr>
          <w:rFonts w:ascii="Arial" w:cs="Arial" w:eastAsia="Arial" w:hAnsi="Arial"/>
          <w:b/>
          <w:bCs/>
        </w:rPr>
        <w:t xml:space="preserve">$1,456,000 per year</w:t>
      </w:r>
      <w:r>
        <w:rPr>
          <w:rFonts w:ascii="Arial" w:cs="Arial" w:eastAsia="Arial" w:hAnsi="Arial"/>
        </w:rPr>
        <w:t xml:space="preserve"> recurring, i.e. </w:t>
      </w:r>
      <w:r>
        <w:rPr>
          <w:rFonts w:ascii="Arial" w:cs="Arial" w:eastAsia="Arial" w:hAnsi="Arial"/>
          <w:b/>
          <w:bCs/>
        </w:rPr>
        <w:t xml:space="preserve">$3,866,000 in Year 1</w:t>
      </w:r>
      <w:r>
        <w:rPr>
          <w:rFonts w:ascii="Arial" w:cs="Arial" w:eastAsia="Arial" w:hAnsi="Arial"/>
        </w:rPr>
        <w:t xml:space="preserve"> (implementation plus first-year operation; no quotations obtained).</w:t>
      </w:r>
    </w:p>
    <w:p>
      <w:pPr>
        <w:pStyle w:val="Heading3"/>
      </w:pPr>
      <w:r>
        <w:rPr>
          <w:rFonts w:ascii="Arial" w:cs="Arial" w:eastAsia="Arial" w:hAnsi="Arial"/>
        </w:rPr>
        <w:t xml:space="preserve">Most material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936"/>
        <w:gridCol w:w="936"/>
        <w:gridCol w:w="936"/>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Estimated</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 / Tolerated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468"/>
            <w:tcMar>
              <w:top w:type="dxa" w:w="50"/>
              <w:left w:type="dxa" w:w="80"/>
              <w:bottom w:type="dxa" w:w="50"/>
              <w:right w:type="dxa" w:w="80"/>
            </w:tcMar>
          </w:tcPr>
          <w:p>
            <w:r>
              <w:rPr>
                <w:rFonts w:ascii="Arial" w:cs="Arial" w:eastAsia="Arial" w:hAnsi="Arial"/>
                <w:sz w:val="16"/>
                <w:szCs w:val="16"/>
              </w:rPr>
              <w:t xml:space="preserve">S8</w:t>
            </w:r>
          </w:p>
        </w:tc>
        <w:tc>
          <w:tcPr>
            <w:tcW w:type="dxa" w:w="4212"/>
            <w:tcMar>
              <w:top w:type="dxa" w:w="50"/>
              <w:left w:type="dxa" w:w="80"/>
              <w:bottom w:type="dxa" w:w="50"/>
              <w:right w:type="dxa" w:w="80"/>
            </w:tcMar>
          </w:tcPr>
          <w:p>
            <w:r>
              <w:rPr>
                <w:rFonts w:ascii="Arial" w:cs="Arial" w:eastAsia="Arial" w:hAnsi="Arial"/>
                <w:sz w:val="16"/>
                <w:szCs w:val="16"/>
              </w:rPr>
              <w:t xml:space="preserve">Detection and response gaps allow an intrusion to persist and escalate</w:t>
            </w:r>
          </w:p>
        </w:tc>
        <w:tc>
          <w:tcPr>
            <w:tcW w:type="dxa" w:w="936"/>
            <w:tcMar>
              <w:top w:type="dxa" w:w="50"/>
              <w:left w:type="dxa" w:w="80"/>
              <w:bottom w:type="dxa" w:w="50"/>
              <w:right w:type="dxa" w:w="80"/>
            </w:tcMar>
          </w:tcPr>
          <w:p>
            <w:r>
              <w:rPr>
                <w:rFonts w:ascii="Arial" w:cs="Arial" w:eastAsia="Arial" w:hAnsi="Arial"/>
                <w:sz w:val="16"/>
                <w:szCs w:val="16"/>
              </w:rPr>
              <w:t xml:space="preserve">9,384</w:t>
            </w:r>
          </w:p>
        </w:tc>
        <w:tc>
          <w:tcPr>
            <w:tcW w:type="dxa" w:w="936"/>
            <w:tcMar>
              <w:top w:type="dxa" w:w="50"/>
              <w:left w:type="dxa" w:w="80"/>
              <w:bottom w:type="dxa" w:w="50"/>
              <w:right w:type="dxa" w:w="80"/>
            </w:tcMar>
          </w:tcPr>
          <w:p>
            <w:r>
              <w:rPr>
                <w:rFonts w:ascii="Arial" w:cs="Arial" w:eastAsia="Arial" w:hAnsi="Arial"/>
                <w:sz w:val="16"/>
                <w:szCs w:val="16"/>
              </w:rPr>
              <w:t xml:space="preserve">4,129</w:t>
            </w:r>
          </w:p>
        </w:tc>
        <w:tc>
          <w:tcPr>
            <w:tcW w:type="dxa" w:w="936"/>
            <w:tcMar>
              <w:top w:type="dxa" w:w="50"/>
              <w:left w:type="dxa" w:w="80"/>
              <w:bottom w:type="dxa" w:w="50"/>
              <w:right w:type="dxa" w:w="80"/>
            </w:tcMar>
          </w:tcPr>
          <w:p>
            <w:r>
              <w:rPr>
                <w:rFonts w:ascii="Arial" w:cs="Arial" w:eastAsia="Arial" w:hAnsi="Arial"/>
                <w:sz w:val="16"/>
                <w:szCs w:val="16"/>
              </w:rPr>
              <w:t xml:space="preserve">1.10</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w:t>
            </w:r>
          </w:p>
        </w:tc>
        <w:tc>
          <w:tcPr>
            <w:tcW w:type="dxa" w:w="4212"/>
            <w:tcMar>
              <w:top w:type="dxa" w:w="50"/>
              <w:left w:type="dxa" w:w="80"/>
              <w:bottom w:type="dxa" w:w="50"/>
              <w:right w:type="dxa" w:w="80"/>
            </w:tcMar>
          </w:tcPr>
          <w:p>
            <w:r>
              <w:rPr>
                <w:rFonts w:ascii="Arial" w:cs="Arial" w:eastAsia="Arial" w:hAnsi="Arial"/>
                <w:sz w:val="16"/>
                <w:szCs w:val="16"/>
              </w:rPr>
              <w:t xml:space="preserve">Ransomware disrupting EHR access and clinic operations across the network</w:t>
            </w:r>
          </w:p>
        </w:tc>
        <w:tc>
          <w:tcPr>
            <w:tcW w:type="dxa" w:w="936"/>
            <w:tcMar>
              <w:top w:type="dxa" w:w="50"/>
              <w:left w:type="dxa" w:w="80"/>
              <w:bottom w:type="dxa" w:w="50"/>
              <w:right w:type="dxa" w:w="80"/>
            </w:tcMar>
          </w:tcPr>
          <w:p>
            <w:r>
              <w:rPr>
                <w:rFonts w:ascii="Arial" w:cs="Arial" w:eastAsia="Arial" w:hAnsi="Arial"/>
                <w:sz w:val="16"/>
                <w:szCs w:val="16"/>
              </w:rPr>
              <w:t xml:space="preserve">7,810</w:t>
            </w:r>
          </w:p>
        </w:tc>
        <w:tc>
          <w:tcPr>
            <w:tcW w:type="dxa" w:w="936"/>
            <w:tcMar>
              <w:top w:type="dxa" w:w="50"/>
              <w:left w:type="dxa" w:w="80"/>
              <w:bottom w:type="dxa" w:w="50"/>
              <w:right w:type="dxa" w:w="80"/>
            </w:tcMar>
          </w:tcPr>
          <w:p>
            <w:r>
              <w:rPr>
                <w:rFonts w:ascii="Arial" w:cs="Arial" w:eastAsia="Arial" w:hAnsi="Arial"/>
                <w:sz w:val="16"/>
                <w:szCs w:val="16"/>
              </w:rPr>
              <w:t xml:space="preserve">3,417</w:t>
            </w:r>
          </w:p>
        </w:tc>
        <w:tc>
          <w:tcPr>
            <w:tcW w:type="dxa" w:w="936"/>
            <w:tcMar>
              <w:top w:type="dxa" w:w="50"/>
              <w:left w:type="dxa" w:w="80"/>
              <w:bottom w:type="dxa" w:w="50"/>
              <w:right w:type="dxa" w:w="80"/>
            </w:tcMar>
          </w:tcPr>
          <w:p>
            <w:r>
              <w:rPr>
                <w:rFonts w:ascii="Arial" w:cs="Arial" w:eastAsia="Arial" w:hAnsi="Arial"/>
                <w:sz w:val="16"/>
                <w:szCs w:val="16"/>
              </w:rPr>
              <w:t xml:space="preserve">1.20</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S1</w:t>
            </w:r>
          </w:p>
        </w:tc>
        <w:tc>
          <w:tcPr>
            <w:tcW w:type="dxa" w:w="4212"/>
            <w:tcMar>
              <w:top w:type="dxa" w:w="50"/>
              <w:left w:type="dxa" w:w="80"/>
              <w:bottom w:type="dxa" w:w="50"/>
              <w:right w:type="dxa" w:w="80"/>
            </w:tcMar>
          </w:tcPr>
          <w:p>
            <w:r>
              <w:rPr>
                <w:rFonts w:ascii="Arial" w:cs="Arial" w:eastAsia="Arial" w:hAnsi="Arial"/>
                <w:sz w:val="16"/>
                <w:szCs w:val="16"/>
              </w:rPr>
              <w:t xml:space="preserve">Credential compromise of clinical administrator accounts through phishing and MFA fatigue</w:t>
            </w:r>
          </w:p>
        </w:tc>
        <w:tc>
          <w:tcPr>
            <w:tcW w:type="dxa" w:w="936"/>
            <w:tcMar>
              <w:top w:type="dxa" w:w="50"/>
              <w:left w:type="dxa" w:w="80"/>
              <w:bottom w:type="dxa" w:w="50"/>
              <w:right w:type="dxa" w:w="80"/>
            </w:tcMar>
          </w:tcPr>
          <w:p>
            <w:r>
              <w:rPr>
                <w:rFonts w:ascii="Arial" w:cs="Arial" w:eastAsia="Arial" w:hAnsi="Arial"/>
                <w:sz w:val="16"/>
                <w:szCs w:val="16"/>
              </w:rPr>
              <w:t xml:space="preserve">6,467</w:t>
            </w:r>
          </w:p>
        </w:tc>
        <w:tc>
          <w:tcPr>
            <w:tcW w:type="dxa" w:w="936"/>
            <w:tcMar>
              <w:top w:type="dxa" w:w="50"/>
              <w:left w:type="dxa" w:w="80"/>
              <w:bottom w:type="dxa" w:w="50"/>
              <w:right w:type="dxa" w:w="80"/>
            </w:tcMar>
          </w:tcPr>
          <w:p>
            <w:r>
              <w:rPr>
                <w:rFonts w:ascii="Arial" w:cs="Arial" w:eastAsia="Arial" w:hAnsi="Arial"/>
                <w:sz w:val="16"/>
                <w:szCs w:val="16"/>
              </w:rPr>
              <w:t xml:space="preserve">2,587</w:t>
            </w:r>
          </w:p>
        </w:tc>
        <w:tc>
          <w:tcPr>
            <w:tcW w:type="dxa" w:w="936"/>
            <w:tcMar>
              <w:top w:type="dxa" w:w="50"/>
              <w:left w:type="dxa" w:w="80"/>
              <w:bottom w:type="dxa" w:w="50"/>
              <w:right w:type="dxa" w:w="80"/>
            </w:tcMar>
          </w:tcPr>
          <w:p>
            <w:r>
              <w:rPr>
                <w:rFonts w:ascii="Arial" w:cs="Arial" w:eastAsia="Arial" w:hAnsi="Arial"/>
                <w:sz w:val="16"/>
                <w:szCs w:val="16"/>
              </w:rPr>
              <w:t xml:space="preserve">0.93</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S6</w:t>
            </w:r>
          </w:p>
        </w:tc>
        <w:tc>
          <w:tcPr>
            <w:tcW w:type="dxa" w:w="4212"/>
            <w:tcMar>
              <w:top w:type="dxa" w:w="50"/>
              <w:left w:type="dxa" w:w="80"/>
              <w:bottom w:type="dxa" w:w="50"/>
              <w:right w:type="dxa" w:w="80"/>
            </w:tcMar>
          </w:tcPr>
          <w:p>
            <w:r>
              <w:rPr>
                <w:rFonts w:ascii="Arial" w:cs="Arial" w:eastAsia="Arial" w:hAnsi="Arial"/>
                <w:sz w:val="16"/>
                <w:szCs w:val="16"/>
              </w:rPr>
              <w:t xml:space="preserve">Exploitation of unpatched internet-facing or end-of-life systems</w:t>
            </w:r>
          </w:p>
        </w:tc>
        <w:tc>
          <w:tcPr>
            <w:tcW w:type="dxa" w:w="936"/>
            <w:tcMar>
              <w:top w:type="dxa" w:w="50"/>
              <w:left w:type="dxa" w:w="80"/>
              <w:bottom w:type="dxa" w:w="50"/>
              <w:right w:type="dxa" w:w="80"/>
            </w:tcMar>
          </w:tcPr>
          <w:p>
            <w:r>
              <w:rPr>
                <w:rFonts w:ascii="Arial" w:cs="Arial" w:eastAsia="Arial" w:hAnsi="Arial"/>
                <w:sz w:val="16"/>
                <w:szCs w:val="16"/>
              </w:rPr>
              <w:t xml:space="preserve">6,375</w:t>
            </w:r>
          </w:p>
        </w:tc>
        <w:tc>
          <w:tcPr>
            <w:tcW w:type="dxa" w:w="936"/>
            <w:tcMar>
              <w:top w:type="dxa" w:w="50"/>
              <w:left w:type="dxa" w:w="80"/>
              <w:bottom w:type="dxa" w:w="50"/>
              <w:right w:type="dxa" w:w="80"/>
            </w:tcMar>
          </w:tcPr>
          <w:p>
            <w:r>
              <w:rPr>
                <w:rFonts w:ascii="Arial" w:cs="Arial" w:eastAsia="Arial" w:hAnsi="Arial"/>
                <w:sz w:val="16"/>
                <w:szCs w:val="16"/>
              </w:rPr>
              <w:t xml:space="preserve">2,582</w:t>
            </w:r>
          </w:p>
        </w:tc>
        <w:tc>
          <w:tcPr>
            <w:tcW w:type="dxa" w:w="936"/>
            <w:tcMar>
              <w:top w:type="dxa" w:w="50"/>
              <w:left w:type="dxa" w:w="80"/>
              <w:bottom w:type="dxa" w:w="50"/>
              <w:right w:type="dxa" w:w="80"/>
            </w:tcMar>
          </w:tcPr>
          <w:p>
            <w:r>
              <w:rPr>
                <w:rFonts w:ascii="Arial" w:cs="Arial" w:eastAsia="Arial" w:hAnsi="Arial"/>
                <w:sz w:val="16"/>
                <w:szCs w:val="16"/>
              </w:rPr>
              <w:t xml:space="preserve">1.01</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S3</w:t>
            </w:r>
          </w:p>
        </w:tc>
        <w:tc>
          <w:tcPr>
            <w:tcW w:type="dxa" w:w="4212"/>
            <w:tcMar>
              <w:top w:type="dxa" w:w="50"/>
              <w:left w:type="dxa" w:w="80"/>
              <w:bottom w:type="dxa" w:w="50"/>
              <w:right w:type="dxa" w:w="80"/>
            </w:tcMar>
          </w:tcPr>
          <w:p>
            <w:r>
              <w:rPr>
                <w:rFonts w:ascii="Arial" w:cs="Arial" w:eastAsia="Arial" w:hAnsi="Arial"/>
                <w:sz w:val="16"/>
                <w:szCs w:val="16"/>
              </w:rPr>
              <w:t xml:space="preserve">Backup environment compromised, preventing recovery after a destructive attack</w:t>
            </w:r>
          </w:p>
        </w:tc>
        <w:tc>
          <w:tcPr>
            <w:tcW w:type="dxa" w:w="936"/>
            <w:tcMar>
              <w:top w:type="dxa" w:w="50"/>
              <w:left w:type="dxa" w:w="80"/>
              <w:bottom w:type="dxa" w:w="50"/>
              <w:right w:type="dxa" w:w="80"/>
            </w:tcMar>
          </w:tcPr>
          <w:p>
            <w:r>
              <w:rPr>
                <w:rFonts w:ascii="Arial" w:cs="Arial" w:eastAsia="Arial" w:hAnsi="Arial"/>
                <w:sz w:val="16"/>
                <w:szCs w:val="16"/>
              </w:rPr>
              <w:t xml:space="preserve">4,879</w:t>
            </w:r>
          </w:p>
        </w:tc>
        <w:tc>
          <w:tcPr>
            <w:tcW w:type="dxa" w:w="936"/>
            <w:tcMar>
              <w:top w:type="dxa" w:w="50"/>
              <w:left w:type="dxa" w:w="80"/>
              <w:bottom w:type="dxa" w:w="50"/>
              <w:right w:type="dxa" w:w="80"/>
            </w:tcMar>
          </w:tcPr>
          <w:p>
            <w:r>
              <w:rPr>
                <w:rFonts w:ascii="Arial" w:cs="Arial" w:eastAsia="Arial" w:hAnsi="Arial"/>
                <w:sz w:val="16"/>
                <w:szCs w:val="16"/>
              </w:rPr>
              <w:t xml:space="preserve">1,561</w:t>
            </w:r>
          </w:p>
        </w:tc>
        <w:tc>
          <w:tcPr>
            <w:tcW w:type="dxa" w:w="936"/>
            <w:tcMar>
              <w:top w:type="dxa" w:w="50"/>
              <w:left w:type="dxa" w:w="80"/>
              <w:bottom w:type="dxa" w:w="50"/>
              <w:right w:type="dxa" w:w="80"/>
            </w:tcMar>
          </w:tcPr>
          <w:p>
            <w:r>
              <w:rPr>
                <w:rFonts w:ascii="Arial" w:cs="Arial" w:eastAsia="Arial" w:hAnsi="Arial"/>
                <w:sz w:val="16"/>
                <w:szCs w:val="16"/>
              </w:rPr>
              <w:t xml:space="preserve">0.80</w:t>
            </w:r>
          </w:p>
        </w:tc>
        <w:tc>
          <w:tcPr>
            <w:tcW w:type="dxa" w:w="1872"/>
            <w:shd w:fill="D9EAD3" w:color="auto" w:val="clear"/>
            <w:tcMar>
              <w:top w:type="dxa" w:w="50"/>
              <w:left w:type="dxa" w:w="80"/>
              <w:bottom w:type="dxa" w:w="50"/>
              <w:right w:type="dxa" w:w="80"/>
            </w:tcMar>
          </w:tcPr>
          <w:p>
            <w:r>
              <w:rPr>
                <w:rFonts w:ascii="Arial" w:cs="Arial" w:eastAsia="Arial" w:hAnsi="Arial"/>
                <w:sz w:val="16"/>
                <w:szCs w:val="16"/>
              </w:rPr>
              <w:t xml:space="preserve">Below tolerance</w:t>
            </w:r>
          </w:p>
        </w:tc>
      </w:tr>
    </w:tbl>
    <w:p>
      <w:pPr>
        <w:spacing w:after="80"/>
      </w:pPr>
    </w:p>
    <w:p>
      <w:pPr>
        <w:pStyle w:val="Heading3"/>
      </w:pPr>
      <w:r>
        <w:rPr>
          <w:rFonts w:ascii="Arial" w:cs="Arial" w:eastAsia="Arial" w:hAnsi="Arial"/>
        </w:rPr>
        <w:t xml:space="preserve">Systemic weaknesses</w:t>
      </w:r>
    </w:p>
    <w:p>
      <w:pPr>
        <w:pStyle w:val="ListParagraph"/>
        <w:numPr>
          <w:ilvl w:val="0"/>
          <w:numId w:val="2"/>
        </w:numPr>
        <w:spacing w:after="60"/>
      </w:pPr>
      <w:r>
        <w:rPr>
          <w:rFonts w:ascii="Arial" w:cs="Arial" w:eastAsia="Arial" w:hAnsi="Arial"/>
          <w:b/>
          <w:bCs/>
        </w:rPr>
        <w:t xml:space="preserve">Identity</w:t>
      </w:r>
      <w:r>
        <w:rPr>
          <w:rFonts w:ascii="Arial" w:cs="Arial" w:eastAsia="Arial" w:hAnsi="Arial"/>
        </w:rPr>
        <w:t xml:space="preserve"> - push MFA without phishing resistance, no evidence of conditional access or privileged-access management; over-privileged service account (ehr-sync-svc).</w:t>
      </w:r>
    </w:p>
    <w:p>
      <w:pPr>
        <w:pStyle w:val="ListParagraph"/>
        <w:numPr>
          <w:ilvl w:val="0"/>
          <w:numId w:val="2"/>
        </w:numPr>
        <w:spacing w:after="60"/>
      </w:pPr>
      <w:r>
        <w:rPr>
          <w:rFonts w:ascii="Arial" w:cs="Arial" w:eastAsia="Arial" w:hAnsi="Arial"/>
          <w:b/>
          <w:bCs/>
        </w:rPr>
        <w:t xml:space="preserve">Detection and response capacity</w:t>
      </w:r>
      <w:r>
        <w:rPr>
          <w:rFonts w:ascii="Arial" w:cs="Arial" w:eastAsia="Arial" w:hAnsi="Arial"/>
        </w:rPr>
        <w:t xml:space="preserve"> - two staff, no 24/7 monitoring, weak alert triage, untested incident response across clinics.</w:t>
      </w:r>
    </w:p>
    <w:p>
      <w:pPr>
        <w:pStyle w:val="ListParagraph"/>
        <w:numPr>
          <w:ilvl w:val="0"/>
          <w:numId w:val="2"/>
        </w:numPr>
        <w:spacing w:after="60"/>
      </w:pPr>
      <w:r>
        <w:rPr>
          <w:rFonts w:ascii="Arial" w:cs="Arial" w:eastAsia="Arial" w:hAnsi="Arial"/>
          <w:b/>
          <w:bCs/>
        </w:rPr>
        <w:t xml:space="preserve">Recoverability</w:t>
      </w:r>
      <w:r>
        <w:rPr>
          <w:rFonts w:ascii="Arial" w:cs="Arial" w:eastAsia="Arial" w:hAnsi="Arial"/>
        </w:rPr>
        <w:t xml:space="preserve"> - backups exist but isolation, immutability and restore testing are not evidenced.</w:t>
      </w:r>
    </w:p>
    <w:p>
      <w:pPr>
        <w:pStyle w:val="ListParagraph"/>
        <w:numPr>
          <w:ilvl w:val="0"/>
          <w:numId w:val="2"/>
        </w:numPr>
        <w:spacing w:after="60"/>
      </w:pPr>
      <w:r>
        <w:rPr>
          <w:rFonts w:ascii="Arial" w:cs="Arial" w:eastAsia="Arial" w:hAnsi="Arial"/>
          <w:b/>
          <w:bCs/>
        </w:rPr>
        <w:t xml:space="preserve">Flat, device-rich clinic networks</w:t>
      </w:r>
      <w:r>
        <w:rPr>
          <w:rFonts w:ascii="Arial" w:cs="Arial" w:eastAsia="Arial" w:hAnsi="Arial"/>
        </w:rPr>
        <w:t xml:space="preserve"> - medical devices, Wi-Fi and workstations not demonstrably segmented; patching constrained.</w:t>
      </w:r>
    </w:p>
    <w:p>
      <w:pPr>
        <w:pStyle w:val="ListParagraph"/>
        <w:numPr>
          <w:ilvl w:val="0"/>
          <w:numId w:val="2"/>
        </w:numPr>
        <w:spacing w:after="60"/>
      </w:pPr>
      <w:r>
        <w:rPr>
          <w:rFonts w:ascii="Arial" w:cs="Arial" w:eastAsia="Arial" w:hAnsi="Arial"/>
          <w:b/>
          <w:bCs/>
        </w:rPr>
        <w:t xml:space="preserve">Third-party and cloud visibility</w:t>
      </w:r>
      <w:r>
        <w:rPr>
          <w:rFonts w:ascii="Arial" w:cs="Arial" w:eastAsia="Arial" w:hAnsi="Arial"/>
        </w:rPr>
        <w:t xml:space="preserve"> - no vendor assurance, contract clauses or cloud posture management evidenced.</w:t>
      </w:r>
    </w:p>
    <w:p>
      <w:pPr>
        <w:pStyle w:val="Heading3"/>
      </w:pPr>
      <w:r>
        <w:rPr>
          <w:rFonts w:ascii="Arial" w:cs="Arial" w:eastAsia="Arial" w:hAnsi="Arial"/>
        </w:rPr>
        <w:t xml:space="preserve">Decisions requested</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Confirm the cybersecurity risk appetite (analytical estimate 0.30 vs. 0.40 stated in the case). At 0.40, only S9 remains above tolerance and S7 sits at the upper edge.</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treatment portfolio ($3,866,000 Year 1) and immediate 0-90-day actions: phishing-resistant MFA for privileged and remote access, 24/7 MDR, backup isolation, cloud public-access block, service-account lockdown, tabletop exercise.</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Board / ownership-group decision on residual risk above tolerance for S2, S5, S7, S9, S10: accept formally, fund further treatment, or transfer (cyber insurance, vendor contracts).</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Clinical leadership sign-off on S7 and S10: the appetite statement allows no residual risk creating a credible immediate threat to patient care.</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one dedicated vulnerability-management FTE (costed) and assess a second IAM/PAM role (not costed).</w:t>
      </w:r>
    </w:p>
    <w:p>
      <w:pPr>
        <w:pStyle w:val="Heading1"/>
        <w:pageBreakBefore/>
      </w:pPr>
      <w:r>
        <w:rPr>
          <w:rFonts w:ascii="Arial" w:cs="Arial" w:eastAsia="Arial" w:hAnsi="Arial"/>
        </w:rPr>
        <w:t xml:space="preserve">2. Assessment scope and methodology</w:t>
      </w:r>
    </w:p>
    <w:p>
      <w:pPr>
        <w:pStyle w:val="Heading2"/>
      </w:pPr>
      <w:r>
        <w:rPr>
          <w:rFonts w:ascii="Arial" w:cs="Arial" w:eastAsia="Arial" w:hAnsi="Arial"/>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6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684"/>
            <w:tcMar>
              <w:top w:type="dxa" w:w="50"/>
              <w:left w:type="dxa" w:w="80"/>
              <w:bottom w:type="dxa" w:w="50"/>
              <w:right w:type="dxa" w:w="80"/>
            </w:tcMar>
          </w:tcPr>
          <w:p>
            <w:r>
              <w:rPr>
                <w:rFonts w:ascii="Arial" w:cs="Arial" w:eastAsia="Arial" w:hAnsi="Arial"/>
                <w:sz w:val="16"/>
                <w:szCs w:val="16"/>
              </w:rPr>
              <w:t xml:space="preserve">Organization</w:t>
            </w:r>
          </w:p>
        </w:tc>
        <w:tc>
          <w:tcPr>
            <w:tcW w:type="dxa" w:w="7676"/>
            <w:tcMar>
              <w:top w:type="dxa" w:w="50"/>
              <w:left w:type="dxa" w:w="80"/>
              <w:bottom w:type="dxa" w:w="50"/>
              <w:right w:type="dxa" w:w="80"/>
            </w:tcMar>
          </w:tcPr>
          <w:p>
            <w:r>
              <w:rPr>
                <w:rFonts w:ascii="Arial" w:cs="Arial" w:eastAsia="Arial" w:hAnsi="Arial"/>
                <w:sz w:val="16"/>
                <w:szCs w:val="16"/>
              </w:rPr>
              <w:t xml:space="preserve">MediBec private medical centre: Montreal head office and data centre, 10 clinics (Montreal, Quebec City, Gatineau, Saguenay).</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In scope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EHR and clinical systems (radiology, laboratory, pharmacy), scheduling and online services, billing and administration, identity and remote access, cloud storage, data centre, WAN, backups, clinic networks and Wi-Fi, connected medical equipment, critical vendors.</w:t>
            </w:r>
          </w:p>
        </w:tc>
      </w:tr>
      <w:tr>
        <w:tc>
          <w:tcPr>
            <w:tcW w:type="dxa" w:w="1684"/>
            <w:tcMar>
              <w:top w:type="dxa" w:w="50"/>
              <w:left w:type="dxa" w:w="80"/>
              <w:bottom w:type="dxa" w:w="50"/>
              <w:right w:type="dxa" w:w="80"/>
            </w:tcMar>
          </w:tcPr>
          <w:p>
            <w:r>
              <w:rPr>
                <w:rFonts w:ascii="Arial" w:cs="Arial" w:eastAsia="Arial" w:hAnsi="Arial"/>
                <w:sz w:val="16"/>
                <w:szCs w:val="16"/>
              </w:rPr>
              <w:t xml:space="preserve">Period</w:t>
            </w:r>
          </w:p>
        </w:tc>
        <w:tc>
          <w:tcPr>
            <w:tcW w:type="dxa" w:w="7676"/>
            <w:tcMar>
              <w:top w:type="dxa" w:w="50"/>
              <w:left w:type="dxa" w:w="80"/>
              <w:bottom w:type="dxa" w:w="50"/>
              <w:right w:type="dxa" w:w="80"/>
            </w:tcMar>
          </w:tcPr>
          <w:p>
            <w:r>
              <w:rPr>
                <w:rFonts w:ascii="Arial" w:cs="Arial" w:eastAsia="Arial" w:hAnsi="Arial"/>
                <w:sz w:val="16"/>
                <w:szCs w:val="16"/>
              </w:rPr>
              <w:t xml:space="preserve">Next 12 months (October 2026 - September 2027); roadmap extends to 24 months and aligns with the 2024-2030 planning horizon.</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Risk perspective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Confidentiality, integrity, availability, privacy, patient safety, operations, finance, legal/regulatory compliance, reputation, strategy.</w:t>
            </w:r>
          </w:p>
        </w:tc>
      </w:tr>
      <w:tr>
        <w:tc>
          <w:tcPr>
            <w:tcW w:type="dxa" w:w="1684"/>
            <w:tcMar>
              <w:top w:type="dxa" w:w="50"/>
              <w:left w:type="dxa" w:w="80"/>
              <w:bottom w:type="dxa" w:w="50"/>
              <w:right w:type="dxa" w:w="80"/>
            </w:tcMar>
          </w:tcPr>
          <w:p>
            <w:r>
              <w:rPr>
                <w:rFonts w:ascii="Arial" w:cs="Arial" w:eastAsia="Arial" w:hAnsi="Arial"/>
                <w:sz w:val="16"/>
                <w:szCs w:val="16"/>
              </w:rPr>
              <w:t xml:space="preserve">Exclusions</w:t>
            </w:r>
          </w:p>
        </w:tc>
        <w:tc>
          <w:tcPr>
            <w:tcW w:type="dxa" w:w="7676"/>
            <w:tcMar>
              <w:top w:type="dxa" w:w="50"/>
              <w:left w:type="dxa" w:w="80"/>
              <w:bottom w:type="dxa" w:w="50"/>
              <w:right w:type="dxa" w:w="80"/>
            </w:tcMar>
          </w:tcPr>
          <w:p>
            <w:r>
              <w:rPr>
                <w:rFonts w:ascii="Arial" w:cs="Arial" w:eastAsia="Arial" w:hAnsi="Arial"/>
                <w:sz w:val="16"/>
                <w:szCs w:val="16"/>
              </w:rPr>
              <w:t xml:space="preserve">Physical security, non-malicious data-centre outages (candidate C16 - referred to BCP/DR review), payment-card scope, detailed legal analysis.</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Evidence limits</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No asset inventory, architecture diagrams, scan results, audit reports, contracts or incident records were supplied. Incident injects (Appendices A-B of the case) are treated as illustrative indicators to validate, not confirmed facts.</w:t>
            </w:r>
          </w:p>
        </w:tc>
      </w:tr>
    </w:tbl>
    <w:p>
      <w:pPr>
        <w:pStyle w:val="Heading2"/>
      </w:pPr>
      <w:r>
        <w:rPr>
          <w:rFonts w:ascii="Arial" w:cs="Arial" w:eastAsia="Arial" w:hAnsi="Arial"/>
        </w:rPr>
        <w:t xml:space="preserve">2.2 Method</w:t>
      </w:r>
    </w:p>
    <w:p>
      <w:pPr>
        <w:spacing w:after="120"/>
      </w:pPr>
      <w:r>
        <w:rPr>
          <w:rFonts w:ascii="Arial" w:cs="Arial" w:eastAsia="Arial" w:hAnsi="Arial"/>
        </w:rPr>
        <w:t xml:space="preserve">The assessment follows the CyberRiskGuardian method: context and crown jewels, risk appetite, 20 candidate scenarios screened to 10, detailed causal-chain scenarios, six parameters on a 0-1 scale, CVSS v4.0 base score (CVSS-B) for a representative weakness, KRI calculation, treatment portfolio with shared-control allocation, residual-risk recalculation, sensitivity analysis and multi-criteria prioritization.</w:t>
      </w:r>
    </w:p>
    <w:p>
      <w:pPr>
        <w:spacing w:after="120"/>
      </w:pPr>
      <w:r>
        <w:rPr>
          <w:rFonts w:ascii="Arial" w:cs="Arial" w:eastAsia="Arial" w:hAnsi="Arial"/>
          <w:b/>
          <w:bCs/>
        </w:rPr>
        <w:t xml:space="preserve">Formulas (Excel Guide v1.0c, s.11 - used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Indicator</w:t>
            </w:r>
          </w:p>
        </w:tc>
        <w:tc>
          <w:tcPr>
            <w:tcW w:type="dxa" w:w="702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Formula</w:t>
            </w:r>
          </w:p>
        </w:tc>
      </w:tr>
      <w:tr>
        <w:tc>
          <w:tcPr>
            <w:tcW w:type="dxa" w:w="2340"/>
            <w:tcMar>
              <w:top w:type="dxa" w:w="50"/>
              <w:left w:type="dxa" w:w="80"/>
              <w:bottom w:type="dxa" w:w="50"/>
              <w:right w:type="dxa" w:w="80"/>
            </w:tcMar>
          </w:tcPr>
          <w:p>
            <w:r>
              <w:rPr>
                <w:rFonts w:ascii="Arial" w:cs="Arial" w:eastAsia="Arial" w:hAnsi="Arial"/>
                <w:sz w:val="16"/>
                <w:szCs w:val="16"/>
              </w:rPr>
              <w:t xml:space="preserve">Estimated risk (Re)</w:t>
            </w:r>
          </w:p>
        </w:tc>
        <w:tc>
          <w:tcPr>
            <w:tcW w:type="dxa" w:w="7020"/>
            <w:tcMar>
              <w:top w:type="dxa" w:w="50"/>
              <w:left w:type="dxa" w:w="80"/>
              <w:bottom w:type="dxa" w:w="50"/>
              <w:right w:type="dxa" w:w="80"/>
            </w:tcMar>
          </w:tcPr>
          <w:p>
            <w:r>
              <w:rPr>
                <w:rFonts w:ascii="Arial" w:cs="Arial" w:eastAsia="Arial" w:hAnsi="Arial"/>
                <w:sz w:val="16"/>
                <w:szCs w:val="16"/>
              </w:rPr>
              <w:t xml:space="preserve">Pb(A) x Pb(psi,A) x CVSS x ((de + dm) / 2) x mu(E) / theta x Factor</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Tolerated risk (Rt)</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Pb(A) x Pb(psi,A) x CVSS x Appetite x mu(E) / theta x Factor</w:t>
            </w:r>
          </w:p>
        </w:tc>
      </w:tr>
      <w:tr>
        <w:tc>
          <w:tcPr>
            <w:tcW w:type="dxa" w:w="2340"/>
            <w:tcMar>
              <w:top w:type="dxa" w:w="50"/>
              <w:left w:type="dxa" w:w="80"/>
              <w:bottom w:type="dxa" w:w="50"/>
              <w:right w:type="dxa" w:w="80"/>
            </w:tcMar>
          </w:tcPr>
          <w:p>
            <w:r>
              <w:rPr>
                <w:rFonts w:ascii="Arial" w:cs="Arial" w:eastAsia="Arial" w:hAnsi="Arial"/>
                <w:sz w:val="16"/>
                <w:szCs w:val="16"/>
              </w:rPr>
              <w:t xml:space="preserve">Mitigated amount</w:t>
            </w:r>
          </w:p>
        </w:tc>
        <w:tc>
          <w:tcPr>
            <w:tcW w:type="dxa" w:w="7020"/>
            <w:tcMar>
              <w:top w:type="dxa" w:w="50"/>
              <w:left w:type="dxa" w:w="80"/>
              <w:bottom w:type="dxa" w:w="50"/>
              <w:right w:type="dxa" w:w="80"/>
            </w:tcMar>
          </w:tcPr>
          <w:p>
            <w:r>
              <w:rPr>
                <w:rFonts w:ascii="Arial" w:cs="Arial" w:eastAsia="Arial" w:hAnsi="Arial"/>
                <w:sz w:val="16"/>
                <w:szCs w:val="16"/>
              </w:rPr>
              <w:t xml:space="preserve">Re x Probability reduction x Impact reduction</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Residual risk</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Mitigated (the template's ABS() is equivalent because reductions are kept within 0-1)</w:t>
            </w:r>
          </w:p>
        </w:tc>
      </w:tr>
      <w:tr>
        <w:tc>
          <w:tcPr>
            <w:tcW w:type="dxa" w:w="2340"/>
            <w:tcMar>
              <w:top w:type="dxa" w:w="50"/>
              <w:left w:type="dxa" w:w="80"/>
              <w:bottom w:type="dxa" w:w="50"/>
              <w:right w:type="dxa" w:w="80"/>
            </w:tcMar>
          </w:tcPr>
          <w:p>
            <w:r>
              <w:rPr>
                <w:rFonts w:ascii="Arial" w:cs="Arial" w:eastAsia="Arial" w:hAnsi="Arial"/>
                <w:sz w:val="16"/>
                <w:szCs w:val="16"/>
              </w:rPr>
              <w:t xml:space="preserve">Risk-to-tolerance ratio</w:t>
            </w:r>
          </w:p>
        </w:tc>
        <w:tc>
          <w:tcPr>
            <w:tcW w:type="dxa" w:w="7020"/>
            <w:tcMar>
              <w:top w:type="dxa" w:w="50"/>
              <w:left w:type="dxa" w:w="80"/>
              <w:bottom w:type="dxa" w:w="50"/>
              <w:right w:type="dxa" w:w="80"/>
            </w:tcMar>
          </w:tcPr>
          <w:p>
            <w:r>
              <w:rPr>
                <w:rFonts w:ascii="Arial" w:cs="Arial" w:eastAsia="Arial" w:hAnsi="Arial"/>
                <w:sz w:val="16"/>
                <w:szCs w:val="16"/>
              </w:rPr>
              <w:t xml:space="preserve">Residual / Tolerated.  &lt; 0.90 below;  0.90-1.10 approximately at;  &gt; 1.10 above tolerance</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Cost-effectiveness</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Residual) / allocated Year-1 cost x 1,000 (risk units removed per $1,000)</w:t>
            </w:r>
          </w:p>
        </w:tc>
      </w:tr>
    </w:tbl>
    <w:p>
      <w:pPr>
        <w:spacing w:after="80"/>
      </w:pPr>
    </w:p>
    <w:p>
      <w:pPr>
        <w:spacing w:after="120"/>
      </w:pPr>
      <w:r>
        <w:rPr>
          <w:rFonts w:ascii="Arial" w:cs="Arial" w:eastAsia="Arial" w:hAnsi="Arial"/>
        </w:rPr>
        <w:t xml:space="preserve">Factor = 1,000 for every scenario. Parameters: Pb(A) threat presence; Pb(psi,A) exploitation; de expected damage; dm maximum damage; theta organizational resilience (higher = stronger); mu(E) criticality of the affected service. Confidence is rated High / Medium / Low for each value. The 'approximately at' band of +/-10% is an analyst convention reflecting estimate precision.</w:t>
      </w:r>
    </w:p>
    <w:p>
      <w:pPr>
        <w:pStyle w:val="Heading2"/>
      </w:pPr>
      <w:r>
        <w:rPr>
          <w:rFonts w:ascii="Arial" w:cs="Arial" w:eastAsia="Arial" w:hAnsi="Arial"/>
        </w:rPr>
        <w:t xml:space="preserve">2.3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808"/>
        <w:gridCol w:w="1591"/>
        <w:gridCol w:w="4400"/>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Source</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440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Content used</w:t>
            </w:r>
          </w:p>
        </w:tc>
      </w:tr>
      <w:tr>
        <w:tc>
          <w:tcPr>
            <w:tcW w:type="dxa" w:w="561"/>
            <w:tcMar>
              <w:top w:type="dxa" w:w="50"/>
              <w:left w:type="dxa" w:w="80"/>
              <w:bottom w:type="dxa" w:w="50"/>
              <w:right w:type="dxa" w:w="80"/>
            </w:tcMar>
          </w:tcPr>
          <w:p>
            <w:r>
              <w:rPr>
                <w:rFonts w:ascii="Arial" w:cs="Arial" w:eastAsia="Arial" w:hAnsi="Arial"/>
                <w:sz w:val="15"/>
                <w:szCs w:val="15"/>
              </w:rPr>
              <w:t xml:space="preserve">E1</w:t>
            </w:r>
          </w:p>
        </w:tc>
        <w:tc>
          <w:tcPr>
            <w:tcW w:type="dxa" w:w="2808"/>
            <w:tcMar>
              <w:top w:type="dxa" w:w="50"/>
              <w:left w:type="dxa" w:w="80"/>
              <w:bottom w:type="dxa" w:w="50"/>
              <w:right w:type="dxa" w:w="80"/>
            </w:tcMar>
          </w:tcPr>
          <w:p>
            <w:r>
              <w:rPr>
                <w:rFonts w:ascii="Arial" w:cs="Arial" w:eastAsia="Arial" w:hAnsi="Arial"/>
                <w:sz w:val="15"/>
                <w:szCs w:val="15"/>
              </w:rPr>
              <w:t xml:space="preserve">MediBec business case v2.0b, s.3 - Background and healthcare profile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HQ Montreal; 10 clinics (Montreal, Quebec City, Gatineau, Saguenay); EHR, radiology, lab, pharmacy, billing, communications; sensitive health data.</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s.4 - Technology environment table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Central network hub in Montreal, WAN fibre to clinics, firewalls, IDS/IPS, antivirus/antimalware; Montreal data centre, local clinic storage, on-site and off-site backups, encrypted storage; cloud-based remote access; interconnected medical equipment.</w:t>
            </w:r>
          </w:p>
        </w:tc>
      </w:tr>
      <w:tr>
        <w:tc>
          <w:tcPr>
            <w:tcW w:type="dxa" w:w="561"/>
            <w:tcMar>
              <w:top w:type="dxa" w:w="50"/>
              <w:left w:type="dxa" w:w="80"/>
              <w:bottom w:type="dxa" w:w="50"/>
              <w:right w:type="dxa" w:w="80"/>
            </w:tcMar>
          </w:tcPr>
          <w:p>
            <w:r>
              <w:rPr>
                <w:rFonts w:ascii="Arial" w:cs="Arial" w:eastAsia="Arial" w:hAnsi="Arial"/>
                <w:sz w:val="15"/>
                <w:szCs w:val="15"/>
              </w:rPr>
              <w:t xml:space="preserve">E3</w:t>
            </w:r>
          </w:p>
        </w:tc>
        <w:tc>
          <w:tcPr>
            <w:tcW w:type="dxa" w:w="2808"/>
            <w:tcMar>
              <w:top w:type="dxa" w:w="50"/>
              <w:left w:type="dxa" w:w="80"/>
              <w:bottom w:type="dxa" w:w="50"/>
              <w:right w:type="dxa" w:w="80"/>
            </w:tcMar>
          </w:tcPr>
          <w:p>
            <w:r>
              <w:rPr>
                <w:rFonts w:ascii="Arial" w:cs="Arial" w:eastAsia="Arial" w:hAnsi="Arial"/>
                <w:sz w:val="15"/>
                <w:szCs w:val="15"/>
              </w:rPr>
              <w:t xml:space="preserve">Business case s.4 - Operating model and budget context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15-person IT department, 2 dedicated cybersecurity staff; stated IT budget CAD 100M incl. salaries; 2024-2030 roadmap; medical-device certification and clinical change constraints.</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s.5 - Threat context</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Multiple unsuccessful attack attempts since 2020, increasing recently; no confirmed successful breach; open questions on log sufficiency, device inventories, cloud configuration.</w:t>
            </w:r>
          </w:p>
        </w:tc>
      </w:tr>
      <w:tr>
        <w:tc>
          <w:tcPr>
            <w:tcW w:type="dxa" w:w="561"/>
            <w:tcMar>
              <w:top w:type="dxa" w:w="50"/>
              <w:left w:type="dxa" w:w="80"/>
              <w:bottom w:type="dxa" w:w="50"/>
              <w:right w:type="dxa" w:w="80"/>
            </w:tcMar>
          </w:tcPr>
          <w:p>
            <w:r>
              <w:rPr>
                <w:rFonts w:ascii="Arial" w:cs="Arial" w:eastAsia="Arial" w:hAnsi="Arial"/>
                <w:sz w:val="15"/>
                <w:szCs w:val="15"/>
              </w:rPr>
              <w:t xml:space="preserve">E5</w:t>
            </w:r>
          </w:p>
        </w:tc>
        <w:tc>
          <w:tcPr>
            <w:tcW w:type="dxa" w:w="2808"/>
            <w:tcMar>
              <w:top w:type="dxa" w:w="50"/>
              <w:left w:type="dxa" w:w="80"/>
              <w:bottom w:type="dxa" w:w="50"/>
              <w:right w:type="dxa" w:w="80"/>
            </w:tcMar>
          </w:tcPr>
          <w:p>
            <w:r>
              <w:rPr>
                <w:rFonts w:ascii="Arial" w:cs="Arial" w:eastAsia="Arial" w:hAnsi="Arial"/>
                <w:sz w:val="15"/>
                <w:szCs w:val="15"/>
              </w:rPr>
              <w:t xml:space="preserve">Business case s.8 - Risk appetite statement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Low appetite for patient safety, health-data confidentiality, compliance, public trust; moderate for governed innovation; normalized tolerance 0.40; residual &gt;0.25 executive review, &gt;0.40 Board acceptance.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s.6 and Appendices A-B - Incident injects and technical evidence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Exercise evidence (illustrative - validate)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Phishing with .docm macro; EDR PowerShell alert closed as low severity; remote login from unusual geography with MFA push approved; cloud medical</w:t>
            </w:r>
            <w:r>
              <w:rPr>
                <w:rFonts w:ascii="Arial" w:cs="Arial" w:eastAsia="Arial" w:hAnsi="Arial"/>
                <w:i/>
                <w:iCs/>
                <w:sz w:val="15"/>
                <w:szCs w:val="15"/>
              </w:rPr>
              <w:t xml:space="preserve">image</w:t>
            </w:r>
            <w:r>
              <w:rPr>
                <w:rFonts w:ascii="Arial" w:cs="Arial" w:eastAsia="Arial" w:hAnsi="Arial"/>
                <w:sz w:val="15"/>
                <w:szCs w:val="15"/>
              </w:rPr>
              <w:t xml:space="preserve">export.zip downloaded from unknown IP; ehr-sync-svc service account unusual query volume; clinic backup failures.</w:t>
            </w:r>
          </w:p>
        </w:tc>
      </w:tr>
      <w:tr>
        <w:tc>
          <w:tcPr>
            <w:tcW w:type="dxa" w:w="561"/>
            <w:tcMar>
              <w:top w:type="dxa" w:w="50"/>
              <w:left w:type="dxa" w:w="80"/>
              <w:bottom w:type="dxa" w:w="50"/>
              <w:right w:type="dxa" w:w="80"/>
            </w:tcMar>
          </w:tcPr>
          <w:p>
            <w:r>
              <w:rPr>
                <w:rFonts w:ascii="Arial" w:cs="Arial" w:eastAsia="Arial" w:hAnsi="Arial"/>
                <w:sz w:val="15"/>
                <w:szCs w:val="15"/>
              </w:rPr>
              <w:t xml:space="preserve">E7</w:t>
            </w:r>
          </w:p>
        </w:tc>
        <w:tc>
          <w:tcPr>
            <w:tcW w:type="dxa" w:w="2808"/>
            <w:tcMar>
              <w:top w:type="dxa" w:w="50"/>
              <w:left w:type="dxa" w:w="80"/>
              <w:bottom w:type="dxa" w:w="50"/>
              <w:right w:type="dxa" w:w="80"/>
            </w:tcMar>
          </w:tcPr>
          <w:p>
            <w:r>
              <w:rPr>
                <w:rFonts w:ascii="Arial" w:cs="Arial" w:eastAsia="Arial" w:hAnsi="Arial"/>
                <w:sz w:val="15"/>
                <w:szCs w:val="15"/>
              </w:rPr>
              <w:t xml:space="preserve">Business case s.7 - Audit universe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Auditable areas incl. EHR access/IAM, cloud/remote access, backup, medical device/IoT, Wi-Fi, patching, IDS/SIEM, privacy, third parties, API keys, awareness, remediation governance.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s.9 - Scenario library MED-CYR-01 to 15</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Fifteen candidate scenario themes with suggested control families.</w:t>
            </w:r>
          </w:p>
        </w:tc>
      </w:tr>
      <w:tr>
        <w:tc>
          <w:tcPr>
            <w:tcW w:type="dxa" w:w="561"/>
            <w:tcMar>
              <w:top w:type="dxa" w:w="50"/>
              <w:left w:type="dxa" w:w="80"/>
              <w:bottom w:type="dxa" w:w="50"/>
              <w:right w:type="dxa" w:w="80"/>
            </w:tcMar>
          </w:tcPr>
          <w:p>
            <w:r>
              <w:rPr>
                <w:rFonts w:ascii="Arial" w:cs="Arial" w:eastAsia="Arial" w:hAnsi="Arial"/>
                <w:sz w:val="15"/>
                <w:szCs w:val="15"/>
              </w:rPr>
              <w:t xml:space="preserve">E9</w:t>
            </w:r>
          </w:p>
        </w:tc>
        <w:tc>
          <w:tcPr>
            <w:tcW w:type="dxa" w:w="2808"/>
            <w:tcMar>
              <w:top w:type="dxa" w:w="50"/>
              <w:left w:type="dxa" w:w="80"/>
              <w:bottom w:type="dxa" w:w="50"/>
              <w:right w:type="dxa" w:w="80"/>
            </w:tcMar>
          </w:tcPr>
          <w:p>
            <w:r>
              <w:rPr>
                <w:rFonts w:ascii="Arial" w:cs="Arial" w:eastAsia="Arial" w:hAnsi="Arial"/>
                <w:sz w:val="15"/>
                <w:szCs w:val="15"/>
              </w:rPr>
              <w:t xml:space="preserve">Business case Instructor Annex A - Detailed scenarios</w:t>
            </w:r>
          </w:p>
        </w:tc>
        <w:tc>
          <w:tcPr>
            <w:tcW w:type="dxa" w:w="1591"/>
            <w:tcMar>
              <w:top w:type="dxa" w:w="50"/>
              <w:left w:type="dxa" w:w="80"/>
              <w:bottom w:type="dxa" w:w="50"/>
              <w:right w:type="dxa" w:w="80"/>
            </w:tcMar>
          </w:tcPr>
          <w:p>
            <w:r>
              <w:rPr>
                <w:rFonts w:ascii="Arial" w:cs="Arial" w:eastAsia="Arial" w:hAnsi="Arial"/>
                <w:sz w:val="15"/>
                <w:szCs w:val="15"/>
              </w:rPr>
              <w:t xml:space="preserve">Illustrative values (calibration only)</w:t>
            </w:r>
          </w:p>
        </w:tc>
        <w:tc>
          <w:tcPr>
            <w:tcW w:type="dxa" w:w="4400"/>
            <w:tcMar>
              <w:top w:type="dxa" w:w="50"/>
              <w:left w:type="dxa" w:w="80"/>
              <w:bottom w:type="dxa" w:w="50"/>
              <w:right w:type="dxa" w:w="80"/>
            </w:tcMar>
          </w:tcPr>
          <w:p>
            <w:r>
              <w:rPr>
                <w:rFonts w:ascii="Arial" w:cs="Arial" w:eastAsia="Arial" w:hAnsi="Arial"/>
                <w:sz w:val="15"/>
                <w:szCs w:val="15"/>
              </w:rPr>
              <w:t xml:space="preserve">Illustrative probabilities, damages, resilience, CVSS v3.1 and budgets. Used only as a calibration cross-check; not adopted as evidence.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E10</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Project KB - Cybersecurity Risk Assessment Excel Guide v1.0c</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Methodology</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Authoritative risk-index formulas; CVSS v4.0; multiplication factor 1,000 in worked example; reductions must stay within 0-1.</w:t>
            </w:r>
          </w:p>
        </w:tc>
      </w:tr>
      <w:tr>
        <w:tc>
          <w:tcPr>
            <w:tcW w:type="dxa" w:w="561"/>
            <w:tcMar>
              <w:top w:type="dxa" w:w="50"/>
              <w:left w:type="dxa" w:w="80"/>
              <w:bottom w:type="dxa" w:w="50"/>
              <w:right w:type="dxa" w:w="80"/>
            </w:tcMar>
          </w:tcPr>
          <w:p>
            <w:r>
              <w:rPr>
                <w:rFonts w:ascii="Arial" w:cs="Arial" w:eastAsia="Arial" w:hAnsi="Arial"/>
                <w:sz w:val="15"/>
                <w:szCs w:val="15"/>
              </w:rPr>
              <w:t xml:space="preserve">E11</w:t>
            </w:r>
          </w:p>
        </w:tc>
        <w:tc>
          <w:tcPr>
            <w:tcW w:type="dxa" w:w="2808"/>
            <w:tcMar>
              <w:top w:type="dxa" w:w="50"/>
              <w:left w:type="dxa" w:w="80"/>
              <w:bottom w:type="dxa" w:w="50"/>
              <w:right w:type="dxa" w:w="80"/>
            </w:tcMar>
          </w:tcPr>
          <w:p>
            <w:r>
              <w:rPr>
                <w:rFonts w:ascii="Arial" w:cs="Arial" w:eastAsia="Arial" w:hAnsi="Arial"/>
                <w:sz w:val="15"/>
                <w:szCs w:val="15"/>
              </w:rPr>
              <w:t xml:space="preserve">Project KB - Master task specification / Scenario development guide</w:t>
            </w:r>
          </w:p>
        </w:tc>
        <w:tc>
          <w:tcPr>
            <w:tcW w:type="dxa" w:w="1591"/>
            <w:tcMar>
              <w:top w:type="dxa" w:w="50"/>
              <w:left w:type="dxa" w:w="80"/>
              <w:bottom w:type="dxa" w:w="50"/>
              <w:right w:type="dxa" w:w="80"/>
            </w:tcMar>
          </w:tcPr>
          <w:p>
            <w:r>
              <w:rPr>
                <w:rFonts w:ascii="Arial" w:cs="Arial" w:eastAsia="Arial" w:hAnsi="Arial"/>
                <w:sz w:val="15"/>
                <w:szCs w:val="15"/>
              </w:rPr>
              <w:t xml:space="preserve">Methodology</w:t>
            </w:r>
          </w:p>
        </w:tc>
        <w:tc>
          <w:tcPr>
            <w:tcW w:type="dxa" w:w="4400"/>
            <w:tcMar>
              <w:top w:type="dxa" w:w="50"/>
              <w:left w:type="dxa" w:w="80"/>
              <w:bottom w:type="dxa" w:w="50"/>
              <w:right w:type="dxa" w:w="80"/>
            </w:tcMar>
          </w:tcPr>
          <w:p>
            <w:r>
              <w:rPr>
                <w:rFonts w:ascii="Arial" w:cs="Arial" w:eastAsia="Arial" w:hAnsi="Arial"/>
                <w:sz w:val="15"/>
                <w:szCs w:val="15"/>
              </w:rPr>
              <w:t xml:space="preserve">Scenario construction standard, 20-to-10 screening, reporting structure, QC checklist.</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FIRST CVSS v4.0 specification (computed with the 'cvss' Python library)</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External reference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Base scores (CVSS-B) computed from the documented vectors.</w:t>
            </w:r>
          </w:p>
        </w:tc>
      </w:tr>
    </w:tbl>
    <w:p>
      <w:pPr>
        <w:spacing w:after="80"/>
      </w:pPr>
    </w:p>
    <w:p>
      <w:pPr>
        <w:spacing w:after="120"/>
      </w:pPr>
      <w:r>
        <w:rPr>
          <w:rFonts w:ascii="Arial" w:cs="Arial" w:eastAsia="Arial" w:hAnsi="Arial"/>
        </w:rPr>
        <w:t xml:space="preserve">Basis tags used in this report: </w:t>
      </w:r>
      <w:r>
        <w:rPr>
          <w:rFonts w:ascii="Arial" w:cs="Arial" w:eastAsia="Arial" w:hAnsi="Arial"/>
          <w:b/>
          <w:bCs/>
        </w:rPr>
        <w:t xml:space="preserve">(E#)</w:t>
      </w:r>
      <w:r>
        <w:rPr>
          <w:rFonts w:ascii="Arial" w:cs="Arial" w:eastAsia="Arial" w:hAnsi="Arial"/>
        </w:rPr>
        <w:t xml:space="preserve"> documented case evidence; </w:t>
      </w:r>
      <w:r>
        <w:rPr>
          <w:rFonts w:ascii="Arial" w:cs="Arial" w:eastAsia="Arial" w:hAnsi="Arial"/>
          <w:b/>
          <w:bCs/>
        </w:rPr>
        <w:t xml:space="preserve">Exercise evidence</w:t>
      </w:r>
      <w:r>
        <w:rPr>
          <w:rFonts w:ascii="Arial" w:cs="Arial" w:eastAsia="Arial" w:hAnsi="Arial"/>
        </w:rPr>
        <w:t xml:space="preserve"> simulated injects - validate; </w:t>
      </w:r>
      <w:r>
        <w:rPr>
          <w:rFonts w:ascii="Arial" w:cs="Arial" w:eastAsia="Arial" w:hAnsi="Arial"/>
          <w:b/>
          <w:bCs/>
        </w:rPr>
        <w:t xml:space="preserve">Analyst assumption</w:t>
      </w:r>
      <w:r>
        <w:rPr>
          <w:rFonts w:ascii="Arial" w:cs="Arial" w:eastAsia="Arial" w:hAnsi="Arial"/>
        </w:rPr>
        <w:t xml:space="preserve"> / </w:t>
      </w:r>
      <w:r>
        <w:rPr>
          <w:rFonts w:ascii="Arial" w:cs="Arial" w:eastAsia="Arial" w:hAnsi="Arial"/>
          <w:b/>
          <w:bCs/>
        </w:rPr>
        <w:t xml:space="preserve">Analytical estimate — validation required</w:t>
      </w:r>
      <w:r>
        <w:rPr>
          <w:rFonts w:ascii="Arial" w:cs="Arial" w:eastAsia="Arial" w:hAnsi="Arial"/>
        </w:rPr>
        <w:t xml:space="preserve">; </w:t>
      </w:r>
      <w:r>
        <w:rPr>
          <w:rFonts w:ascii="Arial" w:cs="Arial" w:eastAsia="Arial" w:hAnsi="Arial"/>
          <w:b/>
          <w:bCs/>
        </w:rPr>
        <w:t xml:space="preserve">Information gap — organizational validation required</w:t>
      </w:r>
      <w:r>
        <w:rPr>
          <w:rFonts w:ascii="Arial" w:cs="Arial" w:eastAsia="Arial" w:hAnsi="Arial"/>
        </w:rPr>
        <w:t xml:space="preserve">. Instructor Annex A values were used only as a calibration cross-check: the estimates here fall in a comparable range (e.g. resilience 0.30-0.40 vs. 0.38-0.55 in the annex), but were derived independently.</w:t>
      </w:r>
    </w:p>
    <w:p>
      <w:pPr>
        <w:pStyle w:val="Heading1"/>
        <w:pageBreakBefore/>
      </w:pPr>
      <w:r>
        <w:rPr>
          <w:rFonts w:ascii="Arial" w:cs="Arial" w:eastAsia="Arial" w:hAnsi="Arial"/>
        </w:rPr>
        <w:t xml:space="preserve">3. Organizational and technology context</w:t>
      </w:r>
    </w:p>
    <w:p>
      <w:pPr>
        <w:spacing w:after="120"/>
      </w:pPr>
      <w:r>
        <w:rPr>
          <w:rFonts w:ascii="Arial" w:cs="Arial" w:eastAsia="Arial" w:hAnsi="Arial"/>
        </w:rPr>
        <w:t xml:space="preserve">MediBec's mission is to deliver high-quality healthcare supported by modern technology, efficient clinical workflows and secure access to patient information (E1). Its risk is therefore not only data theft: an outage or integrity failure can delay diagnosis, disrupt medication management and cancel appointments across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393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Documented facts (E1-E4)</w:t>
            </w:r>
          </w:p>
        </w:tc>
        <w:tc>
          <w:tcPr>
            <w:tcW w:type="dxa" w:w="393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Implication for risk</w:t>
            </w:r>
          </w:p>
        </w:tc>
      </w:tr>
      <w:tr>
        <w:tc>
          <w:tcPr>
            <w:tcW w:type="dxa" w:w="1497"/>
            <w:tcMar>
              <w:top w:type="dxa" w:w="50"/>
              <w:left w:type="dxa" w:w="80"/>
              <w:bottom w:type="dxa" w:w="50"/>
              <w:right w:type="dxa" w:w="80"/>
            </w:tcMar>
          </w:tcPr>
          <w:p>
            <w:r>
              <w:rPr>
                <w:rFonts w:ascii="Arial" w:cs="Arial" w:eastAsia="Arial" w:hAnsi="Arial"/>
                <w:sz w:val="16"/>
                <w:szCs w:val="16"/>
              </w:rPr>
              <w:t xml:space="preserve">Network</w:t>
            </w:r>
          </w:p>
        </w:tc>
        <w:tc>
          <w:tcPr>
            <w:tcW w:type="dxa" w:w="3931"/>
            <w:tcMar>
              <w:top w:type="dxa" w:w="50"/>
              <w:left w:type="dxa" w:w="80"/>
              <w:bottom w:type="dxa" w:w="50"/>
              <w:right w:type="dxa" w:w="80"/>
            </w:tcMar>
          </w:tcPr>
          <w:p>
            <w:r>
              <w:rPr>
                <w:rFonts w:ascii="Arial" w:cs="Arial" w:eastAsia="Arial" w:hAnsi="Arial"/>
                <w:sz w:val="16"/>
                <w:szCs w:val="16"/>
              </w:rPr>
              <w:t xml:space="preserve">Montreal hub, WAN fibre to clinics, firewalls, IDS/IPS, antivirus</w:t>
            </w:r>
          </w:p>
        </w:tc>
        <w:tc>
          <w:tcPr>
            <w:tcW w:type="dxa" w:w="3932"/>
            <w:tcMar>
              <w:top w:type="dxa" w:w="50"/>
              <w:left w:type="dxa" w:w="80"/>
              <w:bottom w:type="dxa" w:w="50"/>
              <w:right w:type="dxa" w:w="80"/>
            </w:tcMar>
          </w:tcPr>
          <w:p>
            <w:r>
              <w:rPr>
                <w:rFonts w:ascii="Arial" w:cs="Arial" w:eastAsia="Arial" w:hAnsi="Arial"/>
                <w:sz w:val="16"/>
                <w:szCs w:val="16"/>
              </w:rPr>
              <w:t xml:space="preserve">Perimeter controls exist; segmentation, east-west monitoring and Wi-Fi security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Data centre and storage</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Montreal DC, local clinic storage, on-site and off-site backups, encrypted storage</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Concentration on one hub; backup isolation and restore testing not evidenced</w:t>
            </w:r>
          </w:p>
        </w:tc>
      </w:tr>
      <w:tr>
        <w:tc>
          <w:tcPr>
            <w:tcW w:type="dxa" w:w="1497"/>
            <w:tcMar>
              <w:top w:type="dxa" w:w="50"/>
              <w:left w:type="dxa" w:w="80"/>
              <w:bottom w:type="dxa" w:w="50"/>
              <w:right w:type="dxa" w:w="80"/>
            </w:tcMar>
          </w:tcPr>
          <w:p>
            <w:r>
              <w:rPr>
                <w:rFonts w:ascii="Arial" w:cs="Arial" w:eastAsia="Arial" w:hAnsi="Arial"/>
                <w:sz w:val="16"/>
                <w:szCs w:val="16"/>
              </w:rPr>
              <w:t xml:space="preserve">Cloud and remote access</w:t>
            </w:r>
          </w:p>
        </w:tc>
        <w:tc>
          <w:tcPr>
            <w:tcW w:type="dxa" w:w="3931"/>
            <w:tcMar>
              <w:top w:type="dxa" w:w="50"/>
              <w:left w:type="dxa" w:w="80"/>
              <w:bottom w:type="dxa" w:w="50"/>
              <w:right w:type="dxa" w:w="80"/>
            </w:tcMar>
          </w:tcPr>
          <w:p>
            <w:r>
              <w:rPr>
                <w:rFonts w:ascii="Arial" w:cs="Arial" w:eastAsia="Arial" w:hAnsi="Arial"/>
                <w:sz w:val="16"/>
                <w:szCs w:val="16"/>
              </w:rPr>
              <w:t xml:space="preserve">Cloud-based remote data access for staff and clinicians</w:t>
            </w:r>
          </w:p>
        </w:tc>
        <w:tc>
          <w:tcPr>
            <w:tcW w:type="dxa" w:w="3932"/>
            <w:tcMar>
              <w:top w:type="dxa" w:w="50"/>
              <w:left w:type="dxa" w:w="80"/>
              <w:bottom w:type="dxa" w:w="50"/>
              <w:right w:type="dxa" w:w="80"/>
            </w:tcMar>
          </w:tcPr>
          <w:p>
            <w:r>
              <w:rPr>
                <w:rFonts w:ascii="Arial" w:cs="Arial" w:eastAsia="Arial" w:hAnsi="Arial"/>
                <w:sz w:val="16"/>
                <w:szCs w:val="16"/>
              </w:rPr>
              <w:t xml:space="preserve">Identity is the new perimeter; cloud configuration and logging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Endpoints and devices</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Workstations, tablets, handhelds, interconnected medical equipment</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Device inventory and patch status unknown; certification limits patching</w:t>
            </w:r>
          </w:p>
        </w:tc>
      </w:tr>
      <w:tr>
        <w:tc>
          <w:tcPr>
            <w:tcW w:type="dxa" w:w="1497"/>
            <w:tcMar>
              <w:top w:type="dxa" w:w="50"/>
              <w:left w:type="dxa" w:w="80"/>
              <w:bottom w:type="dxa" w:w="50"/>
              <w:right w:type="dxa" w:w="80"/>
            </w:tcMar>
          </w:tcPr>
          <w:p>
            <w:r>
              <w:rPr>
                <w:rFonts w:ascii="Arial" w:cs="Arial" w:eastAsia="Arial" w:hAnsi="Arial"/>
                <w:sz w:val="16"/>
                <w:szCs w:val="16"/>
              </w:rPr>
              <w:t xml:space="preserve">Applications</w:t>
            </w:r>
          </w:p>
        </w:tc>
        <w:tc>
          <w:tcPr>
            <w:tcW w:type="dxa" w:w="3931"/>
            <w:tcMar>
              <w:top w:type="dxa" w:w="50"/>
              <w:left w:type="dxa" w:w="80"/>
              <w:bottom w:type="dxa" w:w="50"/>
              <w:right w:type="dxa" w:w="80"/>
            </w:tcMar>
          </w:tcPr>
          <w:p>
            <w:r>
              <w:rPr>
                <w:rFonts w:ascii="Arial" w:cs="Arial" w:eastAsia="Arial" w:hAnsi="Arial"/>
                <w:sz w:val="16"/>
                <w:szCs w:val="16"/>
              </w:rPr>
              <w:t xml:space="preserve">Integrated EHR, radiology, lab, pharmacy, billing, communications</w:t>
            </w:r>
          </w:p>
        </w:tc>
        <w:tc>
          <w:tcPr>
            <w:tcW w:type="dxa" w:w="3932"/>
            <w:tcMar>
              <w:top w:type="dxa" w:w="50"/>
              <w:left w:type="dxa" w:w="80"/>
              <w:bottom w:type="dxa" w:w="50"/>
              <w:right w:type="dxa" w:w="80"/>
            </w:tcMar>
          </w:tcPr>
          <w:p>
            <w:r>
              <w:rPr>
                <w:rFonts w:ascii="Arial" w:cs="Arial" w:eastAsia="Arial" w:hAnsi="Arial"/>
                <w:sz w:val="16"/>
                <w:szCs w:val="16"/>
              </w:rPr>
              <w:t xml:space="preserve">Highly interdependent; one compromise spreads across clinical workflows</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People and budget</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15 IT staff, 2 cybersecurity; IT budget stated as CAD 100M incl. salaries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Capacity is the binding constraint. </w:t>
            </w:r>
            <w:r>
              <w:rPr>
                <w:rFonts w:ascii="Arial" w:cs="Arial" w:eastAsia="Arial" w:hAnsi="Arial"/>
                <w:sz w:val="16"/>
                <w:szCs w:val="16"/>
              </w:rPr>
              <w:t xml:space="preserve">Information gap — organizational validation required</w:t>
            </w:r>
            <w:r>
              <w:rPr>
                <w:rFonts w:ascii="Arial" w:cs="Arial" w:eastAsia="Arial" w:hAnsi="Arial"/>
                <w:sz w:val="16"/>
                <w:szCs w:val="16"/>
              </w:rPr>
              <w:t xml:space="preserve"> - the stated budget appears high relative to 15 staff; cybersecurity budget share not stated</w:t>
            </w:r>
          </w:p>
        </w:tc>
      </w:tr>
      <w:tr>
        <w:tc>
          <w:tcPr>
            <w:tcW w:type="dxa" w:w="1497"/>
            <w:tcMar>
              <w:top w:type="dxa" w:w="50"/>
              <w:left w:type="dxa" w:w="80"/>
              <w:bottom w:type="dxa" w:w="50"/>
              <w:right w:type="dxa" w:w="80"/>
            </w:tcMar>
          </w:tcPr>
          <w:p>
            <w:r>
              <w:rPr>
                <w:rFonts w:ascii="Arial" w:cs="Arial" w:eastAsia="Arial" w:hAnsi="Arial"/>
                <w:sz w:val="16"/>
                <w:szCs w:val="16"/>
              </w:rPr>
              <w:t xml:space="preserve">Governance</w:t>
            </w:r>
          </w:p>
        </w:tc>
        <w:tc>
          <w:tcPr>
            <w:tcW w:type="dxa" w:w="3931"/>
            <w:tcMar>
              <w:top w:type="dxa" w:w="50"/>
              <w:left w:type="dxa" w:w="80"/>
              <w:bottom w:type="dxa" w:w="50"/>
              <w:right w:type="dxa" w:w="80"/>
            </w:tcMar>
          </w:tcPr>
          <w:p>
            <w:r>
              <w:rPr>
                <w:rFonts w:ascii="Arial" w:cs="Arial" w:eastAsia="Arial" w:hAnsi="Arial"/>
                <w:sz w:val="16"/>
                <w:szCs w:val="16"/>
              </w:rPr>
              <w:t xml:space="preserve">Steering Committee (teaching assumption); Board accepts material residual risk</w:t>
            </w:r>
          </w:p>
        </w:tc>
        <w:tc>
          <w:tcPr>
            <w:tcW w:type="dxa" w:w="3932"/>
            <w:tcMar>
              <w:top w:type="dxa" w:w="50"/>
              <w:left w:type="dxa" w:w="80"/>
              <w:bottom w:type="dxa" w:w="50"/>
              <w:right w:type="dxa" w:w="80"/>
            </w:tcMar>
          </w:tcPr>
          <w:p>
            <w:r>
              <w:rPr>
                <w:rFonts w:ascii="Arial" w:cs="Arial" w:eastAsia="Arial" w:hAnsi="Arial"/>
                <w:sz w:val="16"/>
                <w:szCs w:val="16"/>
              </w:rPr>
              <w:t xml:space="preserve">Structure exists on paper; operation and reporting unproven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Quebec and Canadian privacy expectations, health information confidentiality, professional obligations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Confidentiality incidents involving health data are likely to trigger register, assessment and notification duties - </w:t>
            </w:r>
            <w:r>
              <w:rPr>
                <w:rFonts w:ascii="Arial" w:cs="Arial" w:eastAsia="Arial" w:hAnsi="Arial"/>
                <w:sz w:val="16"/>
                <w:szCs w:val="16"/>
              </w:rPr>
              <w:t xml:space="preserve">legal counsel to confirm applicable regime</w:t>
            </w:r>
          </w:p>
        </w:tc>
      </w:tr>
    </w:tbl>
    <w:p>
      <w:pPr>
        <w:pStyle w:val="Heading2"/>
      </w:pPr>
      <w:r>
        <w:rPr>
          <w:rFonts w:ascii="Arial" w:cs="Arial" w:eastAsia="Arial" w:hAnsi="Arial"/>
        </w:rPr>
        <w:t xml:space="preserve">3.1 Crown-jewel assets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1310"/>
        <w:gridCol w:w="655"/>
        <w:gridCol w:w="655"/>
        <w:gridCol w:w="655"/>
        <w:gridCol w:w="1591"/>
        <w:gridCol w:w="1218"/>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Asset / service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Business purpose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Owner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Technical dependencies</w:t>
            </w:r>
          </w:p>
        </w:tc>
        <w:tc>
          <w:tcPr>
            <w:tcW w:type="dxa" w:w="121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Third parties</w:t>
            </w:r>
          </w:p>
        </w:tc>
      </w:tr>
      <w:tr>
        <w:tc>
          <w:tcPr>
            <w:tcW w:type="dxa" w:w="468"/>
            <w:tcMar>
              <w:top w:type="dxa" w:w="50"/>
              <w:left w:type="dxa" w:w="80"/>
              <w:bottom w:type="dxa" w:w="50"/>
              <w:right w:type="dxa" w:w="80"/>
            </w:tcMar>
          </w:tcPr>
          <w:p>
            <w:r>
              <w:rPr>
                <w:rFonts w:ascii="Arial" w:cs="Arial" w:eastAsia="Arial" w:hAnsi="Arial"/>
                <w:sz w:val="14"/>
                <w:szCs w:val="14"/>
              </w:rPr>
              <w:t xml:space="preserve">CJ1</w:t>
            </w:r>
          </w:p>
        </w:tc>
        <w:tc>
          <w:tcPr>
            <w:tcW w:type="dxa" w:w="1404"/>
            <w:tcMar>
              <w:top w:type="dxa" w:w="50"/>
              <w:left w:type="dxa" w:w="80"/>
              <w:bottom w:type="dxa" w:w="50"/>
              <w:right w:type="dxa" w:w="80"/>
            </w:tcMar>
          </w:tcPr>
          <w:p>
            <w:r>
              <w:rPr>
                <w:rFonts w:ascii="Arial" w:cs="Arial" w:eastAsia="Arial" w:hAnsi="Arial"/>
                <w:sz w:val="14"/>
                <w:szCs w:val="14"/>
              </w:rPr>
              <w:t xml:space="preserve">Integrated EHR and clinical record data</w:t>
            </w:r>
          </w:p>
        </w:tc>
        <w:tc>
          <w:tcPr>
            <w:tcW w:type="dxa" w:w="1404"/>
            <w:tcMar>
              <w:top w:type="dxa" w:w="50"/>
              <w:left w:type="dxa" w:w="80"/>
              <w:bottom w:type="dxa" w:w="50"/>
              <w:right w:type="dxa" w:w="80"/>
            </w:tcMar>
          </w:tcPr>
          <w:p>
            <w:r>
              <w:rPr>
                <w:rFonts w:ascii="Arial" w:cs="Arial" w:eastAsia="Arial" w:hAnsi="Arial"/>
                <w:sz w:val="14"/>
                <w:szCs w:val="14"/>
              </w:rPr>
              <w:t xml:space="preserve">Clinical documentation, decision support, continuity of care across 10 clinics</w:t>
            </w:r>
          </w:p>
        </w:tc>
        <w:tc>
          <w:tcPr>
            <w:tcW w:type="dxa" w:w="1310"/>
            <w:tcMar>
              <w:top w:type="dxa" w:w="50"/>
              <w:left w:type="dxa" w:w="80"/>
              <w:bottom w:type="dxa" w:w="50"/>
              <w:right w:type="dxa" w:w="80"/>
            </w:tcMar>
          </w:tcPr>
          <w:p>
            <w:r>
              <w:rPr>
                <w:rFonts w:ascii="Arial" w:cs="Arial" w:eastAsia="Arial" w:hAnsi="Arial"/>
                <w:sz w:val="14"/>
                <w:szCs w:val="14"/>
              </w:rPr>
              <w:t xml:space="preserve">Chief Medical Officer / Clinical Ops (business); CIO (technical)</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Identity/directory, Montreal DC, WAN, EHR database, ehr-sync-svc integration</w:t>
            </w:r>
          </w:p>
        </w:tc>
        <w:tc>
          <w:tcPr>
            <w:tcW w:type="dxa" w:w="1218"/>
            <w:tcMar>
              <w:top w:type="dxa" w:w="50"/>
              <w:left w:type="dxa" w:w="80"/>
              <w:bottom w:type="dxa" w:w="50"/>
              <w:right w:type="dxa" w:w="80"/>
            </w:tcMar>
          </w:tcPr>
          <w:p>
            <w:r>
              <w:rPr>
                <w:rFonts w:ascii="Arial" w:cs="Arial" w:eastAsia="Arial" w:hAnsi="Arial"/>
                <w:sz w:val="14"/>
                <w:szCs w:val="14"/>
              </w:rPr>
              <w:t xml:space="preserve">EHR vendor (identity not stated)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CJ2</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 systems - radiology imaging, laboratory, pharmacy</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Diagnosis, results, medication management</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Clinical Ops; department heads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EHR interfaces, cloud image transfer, medical equipment</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Imaging, lab and pharmacy system vendors</w:t>
            </w:r>
          </w:p>
        </w:tc>
      </w:tr>
      <w:tr>
        <w:tc>
          <w:tcPr>
            <w:tcW w:type="dxa" w:w="468"/>
            <w:tcMar>
              <w:top w:type="dxa" w:w="50"/>
              <w:left w:type="dxa" w:w="80"/>
              <w:bottom w:type="dxa" w:w="50"/>
              <w:right w:type="dxa" w:w="80"/>
            </w:tcMar>
          </w:tcPr>
          <w:p>
            <w:r>
              <w:rPr>
                <w:rFonts w:ascii="Arial" w:cs="Arial" w:eastAsia="Arial" w:hAnsi="Arial"/>
                <w:sz w:val="14"/>
                <w:szCs w:val="14"/>
              </w:rPr>
              <w:t xml:space="preserve">CJ3</w:t>
            </w:r>
          </w:p>
        </w:tc>
        <w:tc>
          <w:tcPr>
            <w:tcW w:type="dxa" w:w="1404"/>
            <w:tcMar>
              <w:top w:type="dxa" w:w="50"/>
              <w:left w:type="dxa" w:w="80"/>
              <w:bottom w:type="dxa" w:w="50"/>
              <w:right w:type="dxa" w:w="80"/>
            </w:tcMar>
          </w:tcPr>
          <w:p>
            <w:r>
              <w:rPr>
                <w:rFonts w:ascii="Arial" w:cs="Arial" w:eastAsia="Arial" w:hAnsi="Arial"/>
                <w:sz w:val="14"/>
                <w:szCs w:val="14"/>
              </w:rPr>
              <w:t xml:space="preserve">Scheduling, appointments and patient online services</w:t>
            </w:r>
          </w:p>
        </w:tc>
        <w:tc>
          <w:tcPr>
            <w:tcW w:type="dxa" w:w="1404"/>
            <w:tcMar>
              <w:top w:type="dxa" w:w="50"/>
              <w:left w:type="dxa" w:w="80"/>
              <w:bottom w:type="dxa" w:w="50"/>
              <w:right w:type="dxa" w:w="80"/>
            </w:tcMar>
          </w:tcPr>
          <w:p>
            <w:r>
              <w:rPr>
                <w:rFonts w:ascii="Arial" w:cs="Arial" w:eastAsia="Arial" w:hAnsi="Arial"/>
                <w:sz w:val="14"/>
                <w:szCs w:val="14"/>
              </w:rPr>
              <w:t xml:space="preserve">Patient access, clinic throughput</w:t>
            </w:r>
          </w:p>
        </w:tc>
        <w:tc>
          <w:tcPr>
            <w:tcW w:type="dxa" w:w="1310"/>
            <w:tcMar>
              <w:top w:type="dxa" w:w="50"/>
              <w:left w:type="dxa" w:w="80"/>
              <w:bottom w:type="dxa" w:w="50"/>
              <w:right w:type="dxa" w:w="80"/>
            </w:tcMar>
          </w:tcPr>
          <w:p>
            <w:r>
              <w:rPr>
                <w:rFonts w:ascii="Arial" w:cs="Arial" w:eastAsia="Arial" w:hAnsi="Arial"/>
                <w:sz w:val="14"/>
                <w:szCs w:val="14"/>
              </w:rPr>
              <w:t xml:space="preserve">Clinic managers; COO-equivalent</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Web front end, EHR, communications</w:t>
            </w:r>
          </w:p>
        </w:tc>
        <w:tc>
          <w:tcPr>
            <w:tcW w:type="dxa" w:w="1218"/>
            <w:tcMar>
              <w:top w:type="dxa" w:w="50"/>
              <w:left w:type="dxa" w:w="80"/>
              <w:bottom w:type="dxa" w:w="50"/>
              <w:right w:type="dxa" w:w="80"/>
            </w:tcMar>
          </w:tcPr>
          <w:p>
            <w:r>
              <w:rPr>
                <w:rFonts w:ascii="Arial" w:cs="Arial" w:eastAsia="Arial" w:hAnsi="Arial"/>
                <w:sz w:val="14"/>
                <w:szCs w:val="14"/>
              </w:rPr>
              <w:t xml:space="preserve">Hosting / online service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CJ4</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Billing and administrative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Revenue cycle, payer claims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Finance lead</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Medium</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Directory, database, email</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Billing software vendor</w:t>
            </w:r>
          </w:p>
        </w:tc>
      </w:tr>
      <w:tr>
        <w:tc>
          <w:tcPr>
            <w:tcW w:type="dxa" w:w="468"/>
            <w:tcMar>
              <w:top w:type="dxa" w:w="50"/>
              <w:left w:type="dxa" w:w="80"/>
              <w:bottom w:type="dxa" w:w="50"/>
              <w:right w:type="dxa" w:w="80"/>
            </w:tcMar>
          </w:tcPr>
          <w:p>
            <w:r>
              <w:rPr>
                <w:rFonts w:ascii="Arial" w:cs="Arial" w:eastAsia="Arial" w:hAnsi="Arial"/>
                <w:sz w:val="14"/>
                <w:szCs w:val="14"/>
              </w:rPr>
              <w:t xml:space="preserve">CJ5</w:t>
            </w:r>
          </w:p>
        </w:tc>
        <w:tc>
          <w:tcPr>
            <w:tcW w:type="dxa" w:w="1404"/>
            <w:tcMar>
              <w:top w:type="dxa" w:w="50"/>
              <w:left w:type="dxa" w:w="80"/>
              <w:bottom w:type="dxa" w:w="50"/>
              <w:right w:type="dxa" w:w="80"/>
            </w:tcMar>
          </w:tcPr>
          <w:p>
            <w:r>
              <w:rPr>
                <w:rFonts w:ascii="Arial" w:cs="Arial" w:eastAsia="Arial" w:hAnsi="Arial"/>
                <w:sz w:val="14"/>
                <w:szCs w:val="14"/>
              </w:rPr>
              <w:t xml:space="preserve">Identity, remote access and cloud access</w:t>
            </w:r>
          </w:p>
        </w:tc>
        <w:tc>
          <w:tcPr>
            <w:tcW w:type="dxa" w:w="1404"/>
            <w:tcMar>
              <w:top w:type="dxa" w:w="50"/>
              <w:left w:type="dxa" w:w="80"/>
              <w:bottom w:type="dxa" w:w="50"/>
              <w:right w:type="dxa" w:w="80"/>
            </w:tcMar>
          </w:tcPr>
          <w:p>
            <w:r>
              <w:rPr>
                <w:rFonts w:ascii="Arial" w:cs="Arial" w:eastAsia="Arial" w:hAnsi="Arial"/>
                <w:sz w:val="14"/>
                <w:szCs w:val="14"/>
              </w:rPr>
              <w:t xml:space="preserve">Enables every clinical and administrative service</w:t>
            </w:r>
          </w:p>
        </w:tc>
        <w:tc>
          <w:tcPr>
            <w:tcW w:type="dxa" w:w="1310"/>
            <w:tcMar>
              <w:top w:type="dxa" w:w="50"/>
              <w:left w:type="dxa" w:w="80"/>
              <w:bottom w:type="dxa" w:w="50"/>
              <w:right w:type="dxa" w:w="80"/>
            </w:tcMar>
          </w:tcPr>
          <w:p>
            <w:r>
              <w:rPr>
                <w:rFonts w:ascii="Arial" w:cs="Arial" w:eastAsia="Arial" w:hAnsi="Arial"/>
                <w:sz w:val="14"/>
                <w:szCs w:val="14"/>
              </w:rPr>
              <w:t xml:space="preserve">CIO / Cybersecurity lead</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1591"/>
            <w:tcMar>
              <w:top w:type="dxa" w:w="50"/>
              <w:left w:type="dxa" w:w="80"/>
              <w:bottom w:type="dxa" w:w="50"/>
              <w:right w:type="dxa" w:w="80"/>
            </w:tcMar>
          </w:tcPr>
          <w:p>
            <w:r>
              <w:rPr>
                <w:rFonts w:ascii="Arial" w:cs="Arial" w:eastAsia="Arial" w:hAnsi="Arial"/>
                <w:sz w:val="14"/>
                <w:szCs w:val="14"/>
              </w:rPr>
              <w:t xml:space="preserve">Directory, MFA (push), remote access gateway, cloud IdP</w:t>
            </w:r>
          </w:p>
        </w:tc>
        <w:tc>
          <w:tcPr>
            <w:tcW w:type="dxa" w:w="1218"/>
            <w:tcMar>
              <w:top w:type="dxa" w:w="50"/>
              <w:left w:type="dxa" w:w="80"/>
              <w:bottom w:type="dxa" w:w="50"/>
              <w:right w:type="dxa" w:w="80"/>
            </w:tcMar>
          </w:tcPr>
          <w:p>
            <w:r>
              <w:rPr>
                <w:rFonts w:ascii="Arial" w:cs="Arial" w:eastAsia="Arial" w:hAnsi="Arial"/>
                <w:sz w:val="14"/>
                <w:szCs w:val="14"/>
              </w:rPr>
              <w:t xml:space="preserve">Cloud / MFA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Montreal data centre, WAN and backup environment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Hosting, connectivity, recoverability</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CIO (Infrastructure)</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Power, WAN links, backup servers, off-site copies, local clinic storage</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Telecom carriers, off-site backup provider</w:t>
            </w:r>
          </w:p>
        </w:tc>
      </w:tr>
      <w:tr>
        <w:tc>
          <w:tcPr>
            <w:tcW w:type="dxa" w:w="468"/>
            <w:tcMar>
              <w:top w:type="dxa" w:w="50"/>
              <w:left w:type="dxa" w:w="80"/>
              <w:bottom w:type="dxa" w:w="50"/>
              <w:right w:type="dxa" w:w="80"/>
            </w:tcMar>
          </w:tcPr>
          <w:p>
            <w:r>
              <w:rPr>
                <w:rFonts w:ascii="Arial" w:cs="Arial" w:eastAsia="Arial" w:hAnsi="Arial"/>
                <w:sz w:val="14"/>
                <w:szCs w:val="14"/>
              </w:rPr>
              <w:t xml:space="preserve">CJ7</w:t>
            </w:r>
          </w:p>
        </w:tc>
        <w:tc>
          <w:tcPr>
            <w:tcW w:type="dxa" w:w="1404"/>
            <w:tcMar>
              <w:top w:type="dxa" w:w="50"/>
              <w:left w:type="dxa" w:w="80"/>
              <w:bottom w:type="dxa" w:w="50"/>
              <w:right w:type="dxa" w:w="80"/>
            </w:tcMar>
          </w:tcPr>
          <w:p>
            <w:r>
              <w:rPr>
                <w:rFonts w:ascii="Arial" w:cs="Arial" w:eastAsia="Arial" w:hAnsi="Arial"/>
                <w:sz w:val="14"/>
                <w:szCs w:val="14"/>
              </w:rPr>
              <w:t xml:space="preserve">Cloud storage for medical-image transfer and exports</w:t>
            </w:r>
          </w:p>
        </w:tc>
        <w:tc>
          <w:tcPr>
            <w:tcW w:type="dxa" w:w="1404"/>
            <w:tcMar>
              <w:top w:type="dxa" w:w="50"/>
              <w:left w:type="dxa" w:w="80"/>
              <w:bottom w:type="dxa" w:w="50"/>
              <w:right w:type="dxa" w:w="80"/>
            </w:tcMar>
          </w:tcPr>
          <w:p>
            <w:r>
              <w:rPr>
                <w:rFonts w:ascii="Arial" w:cs="Arial" w:eastAsia="Arial" w:hAnsi="Arial"/>
                <w:sz w:val="14"/>
                <w:szCs w:val="14"/>
              </w:rPr>
              <w:t xml:space="preserve">Sharing images and exports with clinicians/partners</w:t>
            </w:r>
          </w:p>
        </w:tc>
        <w:tc>
          <w:tcPr>
            <w:tcW w:type="dxa" w:w="1310"/>
            <w:tcMar>
              <w:top w:type="dxa" w:w="50"/>
              <w:left w:type="dxa" w:w="80"/>
              <w:bottom w:type="dxa" w:w="50"/>
              <w:right w:type="dxa" w:w="80"/>
            </w:tcMar>
          </w:tcPr>
          <w:p>
            <w:r>
              <w:rPr>
                <w:rFonts w:ascii="Arial" w:cs="Arial" w:eastAsia="Arial" w:hAnsi="Arial"/>
                <w:sz w:val="14"/>
                <w:szCs w:val="14"/>
              </w:rPr>
              <w:t xml:space="preserve">Radiology lead; CIO</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1591"/>
            <w:tcMar>
              <w:top w:type="dxa" w:w="50"/>
              <w:left w:type="dxa" w:w="80"/>
              <w:bottom w:type="dxa" w:w="50"/>
              <w:right w:type="dxa" w:w="80"/>
            </w:tcMar>
          </w:tcPr>
          <w:p>
            <w:r>
              <w:rPr>
                <w:rFonts w:ascii="Arial" w:cs="Arial" w:eastAsia="Arial" w:hAnsi="Arial"/>
                <w:sz w:val="14"/>
                <w:szCs w:val="14"/>
              </w:rPr>
              <w:t xml:space="preserve">Cloud tenant, IAM, sharing links</w:t>
            </w:r>
          </w:p>
        </w:tc>
        <w:tc>
          <w:tcPr>
            <w:tcW w:type="dxa" w:w="1218"/>
            <w:tcMar>
              <w:top w:type="dxa" w:w="50"/>
              <w:left w:type="dxa" w:w="80"/>
              <w:bottom w:type="dxa" w:w="50"/>
              <w:right w:type="dxa" w:w="80"/>
            </w:tcMar>
          </w:tcPr>
          <w:p>
            <w:r>
              <w:rPr>
                <w:rFonts w:ascii="Arial" w:cs="Arial" w:eastAsia="Arial" w:hAnsi="Arial"/>
                <w:sz w:val="14"/>
                <w:szCs w:val="14"/>
              </w:rPr>
              <w:t xml:space="preserve">Cloud service provider</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Connected medical equipment and IoT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Diagnostics and treatment devices feeding the EHR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Biomedical engineering / Clinical Ops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Clinic LAN, EHR interfaces</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Device manufacturers (patching, certification)</w:t>
            </w:r>
          </w:p>
        </w:tc>
      </w:tr>
    </w:tbl>
    <w:p>
      <w:pPr>
        <w:spacing w:after="80"/>
      </w:pPr>
    </w:p>
    <w:p>
      <w:pPr>
        <w:spacing w:after="120"/>
      </w:pPr>
      <w:r>
        <w:rPr>
          <w:rFonts w:ascii="Arial" w:cs="Arial" w:eastAsia="Arial" w:hAnsi="Arial"/>
        </w:rPr>
        <w:t xml:space="preserve">Owners are proposed roles, not documented appointments - </w:t>
      </w:r>
      <w:r>
        <w:rPr>
          <w:rFonts w:ascii="Arial" w:cs="Arial" w:eastAsia="Arial" w:hAnsi="Arial"/>
          <w:b/>
          <w:bCs/>
        </w:rPr>
        <w:t xml:space="preserve">Information gap — organizational validation required</w:t>
      </w:r>
      <w:r>
        <w:rPr>
          <w:rFonts w:ascii="Arial" w:cs="Arial" w:eastAsia="Arial" w:hAnsi="Arial"/>
        </w:rPr>
        <w:t xml:space="preserve">.</w:t>
      </w:r>
    </w:p>
    <w:p>
      <w:pPr>
        <w:pStyle w:val="Heading1"/>
        <w:pageBreakBefore/>
      </w:pPr>
      <w:r>
        <w:rPr>
          <w:rFonts w:ascii="Arial" w:cs="Arial" w:eastAsia="Arial" w:hAnsi="Arial"/>
        </w:rPr>
        <w:t xml:space="preserve">4.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Estimated Risk Appetite: 0.30</w:t>
            </w:r>
            <w:r>
              <w:rPr>
                <w:rFonts w:ascii="Arial" w:cs="Arial" w:eastAsia="Arial" w:hAnsi="Arial"/>
                <w:sz w:val="19"/>
                <w:szCs w:val="19"/>
              </w:rPr>
              <w:t xml:space="preserve"> (risk averse). Analytical estimate — validation required.</w:t>
            </w:r>
          </w:p>
        </w:tc>
      </w:tr>
    </w:tbl>
    <w:p>
      <w:pPr>
        <w:spacing w:after="80"/>
      </w:pPr>
    </w:p>
    <w:p>
      <w:pPr>
        <w:spacing w:after="120"/>
      </w:pPr>
      <w:r>
        <w:rPr>
          <w:rFonts w:ascii="Arial" w:cs="Arial" w:eastAsia="Arial" w:hAnsi="Arial"/>
          <w:b/>
          <w:bCs/>
        </w:rPr>
        <w:t xml:space="preserve">Rationale.</w:t>
      </w:r>
    </w:p>
    <w:p>
      <w:pPr>
        <w:pStyle w:val="ListParagraph"/>
        <w:numPr>
          <w:ilvl w:val="0"/>
          <w:numId w:val="2"/>
        </w:numPr>
        <w:spacing w:after="60"/>
      </w:pPr>
      <w:r>
        <w:rPr>
          <w:rFonts w:ascii="Arial" w:cs="Arial" w:eastAsia="Arial" w:hAnsi="Arial"/>
          <w:b/>
          <w:bCs/>
        </w:rPr>
        <w:t xml:space="preserve">Sector and mission</w:t>
      </w:r>
      <w:r>
        <w:rPr>
          <w:rFonts w:ascii="Arial" w:cs="Arial" w:eastAsia="Arial" w:hAnsi="Arial"/>
        </w:rPr>
        <w:t xml:space="preserve"> - healthcare delivery where cyber events can affect clinical decisions; MediBec states a </w:t>
      </w:r>
      <w:r>
        <w:rPr>
          <w:rFonts w:ascii="Arial" w:cs="Arial" w:eastAsia="Arial" w:hAnsi="Arial"/>
          <w:b/>
          <w:bCs/>
        </w:rPr>
        <w:t xml:space="preserve">low</w:t>
      </w:r>
      <w:r>
        <w:rPr>
          <w:rFonts w:ascii="Arial" w:cs="Arial" w:eastAsia="Arial" w:hAnsi="Arial"/>
        </w:rPr>
        <w:t xml:space="preserve"> appetite for risks to patient safety, health-data confidentiality, compliance and public trust (E5).</w:t>
      </w:r>
    </w:p>
    <w:p>
      <w:pPr>
        <w:pStyle w:val="ListParagraph"/>
        <w:numPr>
          <w:ilvl w:val="0"/>
          <w:numId w:val="2"/>
        </w:numPr>
        <w:spacing w:after="60"/>
      </w:pPr>
      <w:r>
        <w:rPr>
          <w:rFonts w:ascii="Arial" w:cs="Arial" w:eastAsia="Arial" w:hAnsi="Arial"/>
          <w:b/>
          <w:bCs/>
        </w:rPr>
        <w:t xml:space="preserve">Information sensitivity</w:t>
      </w:r>
      <w:r>
        <w:rPr>
          <w:rFonts w:ascii="Arial" w:cs="Arial" w:eastAsia="Arial" w:hAnsi="Arial"/>
        </w:rPr>
        <w:t xml:space="preserve"> - EHR, imaging, lab, pharmacy and billing data are among the most sensitive personal information.</w:t>
      </w:r>
    </w:p>
    <w:p>
      <w:pPr>
        <w:pStyle w:val="ListParagraph"/>
        <w:numPr>
          <w:ilvl w:val="0"/>
          <w:numId w:val="2"/>
        </w:numPr>
        <w:spacing w:after="60"/>
      </w:pPr>
      <w:r>
        <w:rPr>
          <w:rFonts w:ascii="Arial" w:cs="Arial" w:eastAsia="Arial" w:hAnsi="Arial"/>
          <w:b/>
          <w:bCs/>
        </w:rPr>
        <w:t xml:space="preserve">Regulatory exposure</w:t>
      </w:r>
      <w:r>
        <w:rPr>
          <w:rFonts w:ascii="Arial" w:cs="Arial" w:eastAsia="Arial" w:hAnsi="Arial"/>
        </w:rPr>
        <w:t xml:space="preserve"> - privacy-incident obligations and professional duties amplify the consequences of any breach.</w:t>
      </w:r>
    </w:p>
    <w:p>
      <w:pPr>
        <w:pStyle w:val="ListParagraph"/>
        <w:numPr>
          <w:ilvl w:val="0"/>
          <w:numId w:val="2"/>
        </w:numPr>
        <w:spacing w:after="60"/>
      </w:pPr>
      <w:r>
        <w:rPr>
          <w:rFonts w:ascii="Arial" w:cs="Arial" w:eastAsia="Arial" w:hAnsi="Arial"/>
          <w:b/>
          <w:bCs/>
        </w:rPr>
        <w:t xml:space="preserve">Operational dependence</w:t>
      </w:r>
      <w:r>
        <w:rPr>
          <w:rFonts w:ascii="Arial" w:cs="Arial" w:eastAsia="Arial" w:hAnsi="Arial"/>
        </w:rPr>
        <w:t xml:space="preserve"> - all 10 clinics depend on central services; a single failure has network-wide effects.</w:t>
      </w:r>
    </w:p>
    <w:p>
      <w:pPr>
        <w:pStyle w:val="ListParagraph"/>
        <w:numPr>
          <w:ilvl w:val="0"/>
          <w:numId w:val="2"/>
        </w:numPr>
        <w:spacing w:after="60"/>
      </w:pPr>
      <w:r>
        <w:rPr>
          <w:rFonts w:ascii="Arial" w:cs="Arial" w:eastAsia="Arial" w:hAnsi="Arial"/>
          <w:b/>
          <w:bCs/>
        </w:rPr>
        <w:t xml:space="preserve">Capacity</w:t>
      </w:r>
      <w:r>
        <w:rPr>
          <w:rFonts w:ascii="Arial" w:cs="Arial" w:eastAsia="Arial" w:hAnsi="Arial"/>
        </w:rPr>
        <w:t xml:space="preserve"> - a two-person team limits MediBec's ability to absorb and respond to incidents, arguing against a neutral appetite.</w:t>
      </w:r>
    </w:p>
    <w:p>
      <w:pPr>
        <w:pStyle w:val="ListParagraph"/>
        <w:numPr>
          <w:ilvl w:val="0"/>
          <w:numId w:val="2"/>
        </w:numPr>
        <w:spacing w:after="60"/>
      </w:pPr>
      <w:r>
        <w:rPr>
          <w:rFonts w:ascii="Arial" w:cs="Arial" w:eastAsia="Arial" w:hAnsi="Arial"/>
          <w:b/>
          <w:bCs/>
        </w:rPr>
        <w:t xml:space="preserve">Moderating factor</w:t>
      </w:r>
      <w:r>
        <w:rPr>
          <w:rFonts w:ascii="Arial" w:cs="Arial" w:eastAsia="Arial" w:hAnsi="Arial"/>
        </w:rPr>
        <w:t xml:space="preserve"> - MediBec accepts moderate risk for governed innovation (E5), which argues against an extreme (0.1-0.2) value.</w:t>
      </w:r>
    </w:p>
    <w:p>
      <w:pPr>
        <w:spacing w:after="120"/>
      </w:pPr>
      <w:r>
        <w:rPr>
          <w:rFonts w:ascii="Arial" w:cs="Arial" w:eastAsia="Arial" w:hAnsi="Arial"/>
          <w:b/>
          <w:bCs/>
        </w:rPr>
        <w:t xml:space="preserve">Relationship to the case value.</w:t>
      </w:r>
      <w:r>
        <w:rPr>
          <w:rFonts w:ascii="Arial" w:cs="Arial" w:eastAsia="Arial" w:hAnsi="Arial"/>
        </w:rPr>
        <w:t xml:space="preserve"> The case gives a normalized tolerance of 0.40, blending low appetite for clinical and privacy risk with moderate appetite for innovation, and designed for a different scoring scale (T x E x I). Every scenario in this assessment involves health data or patient care, so the stricter 0.30 is proposed. Because the choice changes outcomes, it is shown below as a sensitivity. </w:t>
      </w:r>
      <w:r>
        <w:rPr>
          <w:rFonts w:ascii="Arial" w:cs="Arial" w:eastAsia="Arial" w:hAnsi="Arial"/>
          <w:b/>
          <w:bCs/>
        </w:rPr>
        <w:t xml:space="preserve">Management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404"/>
        <w:gridCol w:w="1404"/>
        <w:gridCol w:w="1404"/>
      </w:tblGrid>
      <w:tr>
        <w:trPr>
          <w:tblHeader/>
        </w:trPr>
        <w:tc>
          <w:tcPr>
            <w:tcW w:type="dxa" w:w="514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Ratio @ 0.20</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Ratio @ 0.30 (base)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Ratio @ 0.40 (case)</w:t>
            </w:r>
          </w:p>
        </w:tc>
      </w:tr>
      <w:tr>
        <w:tc>
          <w:tcPr>
            <w:tcW w:type="dxa" w:w="5148"/>
            <w:tcMar>
              <w:top w:type="dxa" w:w="50"/>
              <w:left w:type="dxa" w:w="80"/>
              <w:bottom w:type="dxa" w:w="50"/>
              <w:right w:type="dxa" w:w="80"/>
            </w:tcMar>
          </w:tcPr>
          <w:p>
            <w:r>
              <w:rPr>
                <w:rFonts w:ascii="Arial" w:cs="Arial" w:eastAsia="Arial" w:hAnsi="Arial"/>
                <w:sz w:val="16"/>
                <w:szCs w:val="16"/>
              </w:rPr>
              <w:t xml:space="preserve">S1 Credential compromise of clinical administrator accounts through phishing and MFA fatigue</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0.93</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0.70</w:t>
            </w:r>
          </w:p>
        </w:tc>
      </w:tr>
      <w:tr>
        <w:tc>
          <w:tcPr>
            <w:tcW w:type="dxa" w:w="5148"/>
            <w:tcMar>
              <w:top w:type="dxa" w:w="50"/>
              <w:left w:type="dxa" w:w="80"/>
              <w:bottom w:type="dxa" w:w="50"/>
              <w:right w:type="dxa" w:w="80"/>
            </w:tcMar>
          </w:tcPr>
          <w:p>
            <w:r>
              <w:rPr>
                <w:rFonts w:ascii="Arial" w:cs="Arial" w:eastAsia="Arial" w:hAnsi="Arial"/>
                <w:sz w:val="16"/>
                <w:szCs w:val="16"/>
              </w:rPr>
              <w:t xml:space="preserve">S2 Ransomware disrupting EHR access and clinic operations across the network</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1.80</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1.20</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0.90</w:t>
            </w:r>
          </w:p>
        </w:tc>
      </w:tr>
      <w:tr>
        <w:tc>
          <w:tcPr>
            <w:tcW w:type="dxa" w:w="5148"/>
            <w:tcMar>
              <w:top w:type="dxa" w:w="50"/>
              <w:left w:type="dxa" w:w="80"/>
              <w:bottom w:type="dxa" w:w="50"/>
              <w:right w:type="dxa" w:w="80"/>
            </w:tcMar>
          </w:tcPr>
          <w:p>
            <w:r>
              <w:rPr>
                <w:rFonts w:ascii="Arial" w:cs="Arial" w:eastAsia="Arial" w:hAnsi="Arial"/>
                <w:sz w:val="16"/>
                <w:szCs w:val="16"/>
              </w:rPr>
              <w:t xml:space="preserve">S3 Backup environment compromised, preventing recovery after a destructive attack</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1.20</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0.60</w:t>
            </w:r>
          </w:p>
        </w:tc>
      </w:tr>
      <w:tr>
        <w:tc>
          <w:tcPr>
            <w:tcW w:type="dxa" w:w="5148"/>
            <w:tcMar>
              <w:top w:type="dxa" w:w="50"/>
              <w:left w:type="dxa" w:w="80"/>
              <w:bottom w:type="dxa" w:w="50"/>
              <w:right w:type="dxa" w:w="80"/>
            </w:tcMar>
          </w:tcPr>
          <w:p>
            <w:r>
              <w:rPr>
                <w:rFonts w:ascii="Arial" w:cs="Arial" w:eastAsia="Arial" w:hAnsi="Arial"/>
                <w:sz w:val="16"/>
                <w:szCs w:val="16"/>
              </w:rPr>
              <w:t xml:space="preserve">S4 Cloud medical-image transfer storage exposed, enabling bulk health-data exfiltration</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1.37</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0.91</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0.68</w:t>
            </w:r>
          </w:p>
        </w:tc>
      </w:tr>
      <w:tr>
        <w:tc>
          <w:tcPr>
            <w:tcW w:type="dxa" w:w="5148"/>
            <w:tcMar>
              <w:top w:type="dxa" w:w="50"/>
              <w:left w:type="dxa" w:w="80"/>
              <w:bottom w:type="dxa" w:w="50"/>
              <w:right w:type="dxa" w:w="80"/>
            </w:tcMar>
          </w:tcPr>
          <w:p>
            <w:r>
              <w:rPr>
                <w:rFonts w:ascii="Arial" w:cs="Arial" w:eastAsia="Arial" w:hAnsi="Arial"/>
                <w:sz w:val="16"/>
                <w:szCs w:val="16"/>
              </w:rPr>
              <w:t xml:space="preserve">S5 Misuse of legitimate clinical, privileged or service-account access to extract patient records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1.83</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1.22</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0.91</w:t>
            </w:r>
          </w:p>
        </w:tc>
      </w:tr>
      <w:tr>
        <w:tc>
          <w:tcPr>
            <w:tcW w:type="dxa" w:w="5148"/>
            <w:tcMar>
              <w:top w:type="dxa" w:w="50"/>
              <w:left w:type="dxa" w:w="80"/>
              <w:bottom w:type="dxa" w:w="50"/>
              <w:right w:type="dxa" w:w="80"/>
            </w:tcMar>
          </w:tcPr>
          <w:p>
            <w:r>
              <w:rPr>
                <w:rFonts w:ascii="Arial" w:cs="Arial" w:eastAsia="Arial" w:hAnsi="Arial"/>
                <w:sz w:val="16"/>
                <w:szCs w:val="16"/>
              </w:rPr>
              <w:t xml:space="preserve">S6 Exploitation of unpatched internet-facing or end-of-life systems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1.52</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1.01</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0.76</w:t>
            </w:r>
          </w:p>
        </w:tc>
      </w:tr>
      <w:tr>
        <w:tc>
          <w:tcPr>
            <w:tcW w:type="dxa" w:w="5148"/>
            <w:tcMar>
              <w:top w:type="dxa" w:w="50"/>
              <w:left w:type="dxa" w:w="80"/>
              <w:bottom w:type="dxa" w:w="50"/>
              <w:right w:type="dxa" w:w="80"/>
            </w:tcMar>
          </w:tcPr>
          <w:p>
            <w:r>
              <w:rPr>
                <w:rFonts w:ascii="Arial" w:cs="Arial" w:eastAsia="Arial" w:hAnsi="Arial"/>
                <w:sz w:val="16"/>
                <w:szCs w:val="16"/>
              </w:rPr>
              <w:t xml:space="preserve">S7 Connected medical device used as a foothold to disrupt clinical equipment and reach the EHR network</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2.18</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1.45</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1.09</w:t>
            </w:r>
          </w:p>
        </w:tc>
      </w:tr>
      <w:tr>
        <w:tc>
          <w:tcPr>
            <w:tcW w:type="dxa" w:w="5148"/>
            <w:tcMar>
              <w:top w:type="dxa" w:w="50"/>
              <w:left w:type="dxa" w:w="80"/>
              <w:bottom w:type="dxa" w:w="50"/>
              <w:right w:type="dxa" w:w="80"/>
            </w:tcMar>
          </w:tcPr>
          <w:p>
            <w:r>
              <w:rPr>
                <w:rFonts w:ascii="Arial" w:cs="Arial" w:eastAsia="Arial" w:hAnsi="Arial"/>
                <w:sz w:val="16"/>
                <w:szCs w:val="16"/>
              </w:rPr>
              <w:t xml:space="preserve">S8 Detection and response gaps allow an intrusion to persist and escalate</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1.65</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1.10</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0.82</w:t>
            </w:r>
          </w:p>
        </w:tc>
      </w:tr>
      <w:tr>
        <w:tc>
          <w:tcPr>
            <w:tcW w:type="dxa" w:w="5148"/>
            <w:tcMar>
              <w:top w:type="dxa" w:w="50"/>
              <w:left w:type="dxa" w:w="80"/>
              <w:bottom w:type="dxa" w:w="50"/>
              <w:right w:type="dxa" w:w="80"/>
            </w:tcMar>
          </w:tcPr>
          <w:p>
            <w:r>
              <w:rPr>
                <w:rFonts w:ascii="Arial" w:cs="Arial" w:eastAsia="Arial" w:hAnsi="Arial"/>
                <w:sz w:val="16"/>
                <w:szCs w:val="16"/>
              </w:rPr>
              <w:t xml:space="preserve">S9 Compromise of a critical vendor with remote access to MediBec systems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2.31</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1.54</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1.15</w:t>
            </w:r>
          </w:p>
        </w:tc>
      </w:tr>
      <w:tr>
        <w:tc>
          <w:tcPr>
            <w:tcW w:type="dxa" w:w="5148"/>
            <w:tcMar>
              <w:top w:type="dxa" w:w="50"/>
              <w:left w:type="dxa" w:w="80"/>
              <w:bottom w:type="dxa" w:w="50"/>
              <w:right w:type="dxa" w:w="80"/>
            </w:tcMar>
          </w:tcPr>
          <w:p>
            <w:r>
              <w:rPr>
                <w:rFonts w:ascii="Arial" w:cs="Arial" w:eastAsia="Arial" w:hAnsi="Arial"/>
                <w:sz w:val="16"/>
                <w:szCs w:val="16"/>
              </w:rPr>
              <w:t xml:space="preserve">S10 Manipulation of patient, medication or billing records undermining clinical decisions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1.78</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1.19</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0.89</w:t>
            </w:r>
          </w:p>
        </w:tc>
      </w:tr>
    </w:tbl>
    <w:p>
      <w:pPr>
        <w:spacing w:after="80"/>
      </w:pPr>
    </w:p>
    <w:p>
      <w:pPr>
        <w:spacing w:after="120"/>
      </w:pPr>
      <w:r>
        <w:rPr>
          <w:rFonts w:ascii="Arial" w:cs="Arial" w:eastAsia="Arial" w:hAnsi="Arial"/>
        </w:rPr>
        <w:t xml:space="preserve">Residual risk / tolerated risk after treatment. At 0.40, only S9 (vendors) stays above tolerance and S7 (medical devices) sits at the upper edge (1.09); at 0.20 all ten would be above.</w:t>
      </w:r>
    </w:p>
    <w:p>
      <w:pPr>
        <w:pStyle w:val="Heading1"/>
        <w:pageBreakBefore/>
      </w:pPr>
      <w:r>
        <w:rPr>
          <w:rFonts w:ascii="Arial" w:cs="Arial" w:eastAsia="Arial" w:hAnsi="Arial"/>
        </w:rPr>
        <w:t xml:space="preserve">5. Scenario development and selection</w:t>
      </w:r>
    </w:p>
    <w:p>
      <w:pPr>
        <w:spacing w:after="120"/>
      </w:pPr>
      <w:r>
        <w:rPr>
          <w:rFonts w:ascii="Arial" w:cs="Arial" w:eastAsia="Arial" w:hAnsi="Arial"/>
        </w:rPr>
        <w:t xml:space="preserve">Twenty candidates were generated from six perspectives - top-down (clinical continuity, privacy), bottom-up (documented weaknesses), threat-driven, asset-driven (crown jewels), third-party and human - using the case scenario library (MED-CYR-01 to 15), the exercise evidence and the extended catalogue. Each is expressed as threat source, condition, asset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404"/>
        <w:gridCol w:w="842"/>
        <w:gridCol w:w="1310"/>
        <w:gridCol w:w="655"/>
        <w:gridCol w:w="936"/>
        <w:gridCol w:w="748"/>
        <w:gridCol w:w="842"/>
        <w:gridCol w:w="224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Candidate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Threat source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Vulnerability / condition</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Asset</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Outcome</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Ref</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Decision</w:t>
            </w:r>
          </w:p>
        </w:tc>
        <w:tc>
          <w:tcPr>
            <w:tcW w:type="dxa" w:w="224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Rationale</w:t>
            </w:r>
          </w:p>
        </w:tc>
      </w:tr>
      <w:tr>
        <w:tc>
          <w:tcPr>
            <w:tcW w:type="dxa" w:w="374"/>
            <w:tcMar>
              <w:top w:type="dxa" w:w="50"/>
              <w:left w:type="dxa" w:w="80"/>
              <w:bottom w:type="dxa" w:w="50"/>
              <w:right w:type="dxa" w:w="80"/>
            </w:tcMar>
          </w:tcPr>
          <w:p>
            <w:r>
              <w:rPr>
                <w:rFonts w:ascii="Arial" w:cs="Arial" w:eastAsia="Arial" w:hAnsi="Arial"/>
                <w:sz w:val="13"/>
                <w:szCs w:val="13"/>
              </w:rPr>
              <w:t xml:space="preserve">C01</w:t>
            </w:r>
          </w:p>
        </w:tc>
        <w:tc>
          <w:tcPr>
            <w:tcW w:type="dxa" w:w="1404"/>
            <w:tcMar>
              <w:top w:type="dxa" w:w="50"/>
              <w:left w:type="dxa" w:w="80"/>
              <w:bottom w:type="dxa" w:w="50"/>
              <w:right w:type="dxa" w:w="80"/>
            </w:tcMar>
          </w:tcPr>
          <w:p>
            <w:r>
              <w:rPr>
                <w:rFonts w:ascii="Arial" w:cs="Arial" w:eastAsia="Arial" w:hAnsi="Arial"/>
                <w:sz w:val="13"/>
                <w:szCs w:val="13"/>
              </w:rPr>
              <w:t xml:space="preserve">Phishing-led compromise of clinic administrator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Push-based MFA susceptible to fatigue; macro attachments delivered</w:t>
            </w:r>
          </w:p>
        </w:tc>
        <w:tc>
          <w:tcPr>
            <w:tcW w:type="dxa" w:w="655"/>
            <w:tcMar>
              <w:top w:type="dxa" w:w="50"/>
              <w:left w:type="dxa" w:w="80"/>
              <w:bottom w:type="dxa" w:w="50"/>
              <w:right w:type="dxa" w:w="80"/>
            </w:tcMar>
          </w:tcPr>
          <w:p>
            <w:r>
              <w:rPr>
                <w:rFonts w:ascii="Arial" w:cs="Arial" w:eastAsia="Arial" w:hAnsi="Arial"/>
                <w:sz w:val="13"/>
                <w:szCs w:val="13"/>
              </w:rPr>
              <w:t xml:space="preserve">CJ5 / CJ1</w:t>
            </w:r>
          </w:p>
        </w:tc>
        <w:tc>
          <w:tcPr>
            <w:tcW w:type="dxa" w:w="936"/>
            <w:tcMar>
              <w:top w:type="dxa" w:w="50"/>
              <w:left w:type="dxa" w:w="80"/>
              <w:bottom w:type="dxa" w:w="50"/>
              <w:right w:type="dxa" w:w="80"/>
            </w:tcMar>
          </w:tcPr>
          <w:p>
            <w:r>
              <w:rPr>
                <w:rFonts w:ascii="Arial" w:cs="Arial" w:eastAsia="Arial" w:hAnsi="Arial"/>
                <w:sz w:val="13"/>
                <w:szCs w:val="13"/>
              </w:rPr>
              <w:t xml:space="preserve">Unauthorized EHR and remote access</w:t>
            </w:r>
          </w:p>
        </w:tc>
        <w:tc>
          <w:tcPr>
            <w:tcW w:type="dxa" w:w="748"/>
            <w:tcMar>
              <w:top w:type="dxa" w:w="50"/>
              <w:left w:type="dxa" w:w="80"/>
              <w:bottom w:type="dxa" w:w="50"/>
              <w:right w:type="dxa" w:w="80"/>
            </w:tcMar>
          </w:tcPr>
          <w:p>
            <w:r>
              <w:rPr>
                <w:rFonts w:ascii="Arial" w:cs="Arial" w:eastAsia="Arial" w:hAnsi="Arial"/>
                <w:sz w:val="13"/>
                <w:szCs w:val="13"/>
              </w:rPr>
              <w:t xml:space="preserve">MED-CYR-01, 12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w:t>
            </w:r>
          </w:p>
        </w:tc>
        <w:tc>
          <w:tcPr>
            <w:tcW w:type="dxa" w:w="2249"/>
            <w:tcMar>
              <w:top w:type="dxa" w:w="50"/>
              <w:left w:type="dxa" w:w="80"/>
              <w:bottom w:type="dxa" w:w="50"/>
              <w:right w:type="dxa" w:w="80"/>
            </w:tcMar>
          </w:tcPr>
          <w:p>
            <w:r>
              <w:rPr>
                <w:rFonts w:ascii="Arial" w:cs="Arial" w:eastAsia="Arial" w:hAnsi="Arial"/>
                <w:sz w:val="13"/>
                <w:szCs w:val="13"/>
              </w:rPr>
              <w:t xml:space="preserve">Most frequent initial-access path; directly evidenced by injects E6.</w:t>
            </w:r>
          </w:p>
        </w:tc>
      </w:tr>
      <w:tr>
        <w:tc>
          <w:tcPr>
            <w:tcW w:type="dxa" w:w="374"/>
            <w:tcMar>
              <w:top w:type="dxa" w:w="50"/>
              <w:left w:type="dxa" w:w="80"/>
              <w:bottom w:type="dxa" w:w="50"/>
              <w:right w:type="dxa" w:w="80"/>
            </w:tcMar>
          </w:tcPr>
          <w:p>
            <w:r>
              <w:rPr>
                <w:rFonts w:ascii="Arial" w:cs="Arial" w:eastAsia="Arial" w:hAnsi="Arial"/>
                <w:sz w:val="13"/>
                <w:szCs w:val="13"/>
              </w:rPr>
              <w:t xml:space="preserve">C02</w:t>
            </w:r>
          </w:p>
        </w:tc>
        <w:tc>
          <w:tcPr>
            <w:tcW w:type="dxa" w:w="1404"/>
            <w:tcMar>
              <w:top w:type="dxa" w:w="50"/>
              <w:left w:type="dxa" w:w="80"/>
              <w:bottom w:type="dxa" w:w="50"/>
              <w:right w:type="dxa" w:w="80"/>
            </w:tcMar>
          </w:tcPr>
          <w:p>
            <w:r>
              <w:rPr>
                <w:rFonts w:ascii="Arial" w:cs="Arial" w:eastAsia="Arial" w:hAnsi="Arial"/>
                <w:sz w:val="13"/>
                <w:szCs w:val="13"/>
              </w:rPr>
              <w:t xml:space="preserve">Ransomware encrypting EHR support systems, shared folders and scheduling</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Flat internal network; weak alert triage; backups reachable</w:t>
            </w:r>
          </w:p>
        </w:tc>
        <w:tc>
          <w:tcPr>
            <w:tcW w:type="dxa" w:w="655"/>
            <w:tcMar>
              <w:top w:type="dxa" w:w="50"/>
              <w:left w:type="dxa" w:w="80"/>
              <w:bottom w:type="dxa" w:w="50"/>
              <w:right w:type="dxa" w:w="80"/>
            </w:tcMar>
          </w:tcPr>
          <w:p>
            <w:r>
              <w:rPr>
                <w:rFonts w:ascii="Arial" w:cs="Arial" w:eastAsia="Arial" w:hAnsi="Arial"/>
                <w:sz w:val="13"/>
                <w:szCs w:val="13"/>
              </w:rPr>
              <w:t xml:space="preserve">CJ1 / CJ3 / CJ6</w:t>
            </w:r>
          </w:p>
        </w:tc>
        <w:tc>
          <w:tcPr>
            <w:tcW w:type="dxa" w:w="936"/>
            <w:tcMar>
              <w:top w:type="dxa" w:w="50"/>
              <w:left w:type="dxa" w:w="80"/>
              <w:bottom w:type="dxa" w:w="50"/>
              <w:right w:type="dxa" w:w="80"/>
            </w:tcMar>
          </w:tcPr>
          <w:p>
            <w:r>
              <w:rPr>
                <w:rFonts w:ascii="Arial" w:cs="Arial" w:eastAsia="Arial" w:hAnsi="Arial"/>
                <w:sz w:val="13"/>
                <w:szCs w:val="13"/>
              </w:rPr>
              <w:t xml:space="preserve">Multi-clinic disruption and data theft</w:t>
            </w:r>
          </w:p>
        </w:tc>
        <w:tc>
          <w:tcPr>
            <w:tcW w:type="dxa" w:w="748"/>
            <w:tcMar>
              <w:top w:type="dxa" w:w="50"/>
              <w:left w:type="dxa" w:w="80"/>
              <w:bottom w:type="dxa" w:w="50"/>
              <w:right w:type="dxa" w:w="80"/>
            </w:tcMar>
          </w:tcPr>
          <w:p>
            <w:r>
              <w:rPr>
                <w:rFonts w:ascii="Arial" w:cs="Arial" w:eastAsia="Arial" w:hAnsi="Arial"/>
                <w:sz w:val="13"/>
                <w:szCs w:val="13"/>
              </w:rPr>
              <w:t xml:space="preserve">MED-CYR-02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w:t>
            </w:r>
          </w:p>
        </w:tc>
        <w:tc>
          <w:tcPr>
            <w:tcW w:type="dxa" w:w="2249"/>
            <w:tcMar>
              <w:top w:type="dxa" w:w="50"/>
              <w:left w:type="dxa" w:w="80"/>
              <w:bottom w:type="dxa" w:w="50"/>
              <w:right w:type="dxa" w:w="80"/>
            </w:tcMar>
          </w:tcPr>
          <w:p>
            <w:r>
              <w:rPr>
                <w:rFonts w:ascii="Arial" w:cs="Arial" w:eastAsia="Arial" w:hAnsi="Arial"/>
                <w:sz w:val="13"/>
                <w:szCs w:val="13"/>
              </w:rPr>
              <w:t xml:space="preserve">Highest combined clinical, privacy and operational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C03</w:t>
            </w:r>
          </w:p>
        </w:tc>
        <w:tc>
          <w:tcPr>
            <w:tcW w:type="dxa" w:w="1404"/>
            <w:tcMar>
              <w:top w:type="dxa" w:w="50"/>
              <w:left w:type="dxa" w:w="80"/>
              <w:bottom w:type="dxa" w:w="50"/>
              <w:right w:type="dxa" w:w="80"/>
            </w:tcMar>
          </w:tcPr>
          <w:p>
            <w:r>
              <w:rPr>
                <w:rFonts w:ascii="Arial" w:cs="Arial" w:eastAsia="Arial" w:hAnsi="Arial"/>
                <w:sz w:val="13"/>
                <w:szCs w:val="13"/>
              </w:rPr>
              <w:t xml:space="preserve">Backup environment compromised before encryption, recovery fails</w:t>
            </w:r>
          </w:p>
        </w:tc>
        <w:tc>
          <w:tcPr>
            <w:tcW w:type="dxa" w:w="842"/>
            <w:tcMar>
              <w:top w:type="dxa" w:w="50"/>
              <w:left w:type="dxa" w:w="80"/>
              <w:bottom w:type="dxa" w:w="50"/>
              <w:right w:type="dxa" w:w="80"/>
            </w:tcMar>
          </w:tcPr>
          <w:p>
            <w:r>
              <w:rPr>
                <w:rFonts w:ascii="Arial" w:cs="Arial" w:eastAsia="Arial" w:hAnsi="Arial"/>
                <w:sz w:val="13"/>
                <w:szCs w:val="13"/>
              </w:rPr>
              <w:t xml:space="preserve">Ransomware group / privileged attacker</w:t>
            </w:r>
          </w:p>
        </w:tc>
        <w:tc>
          <w:tcPr>
            <w:tcW w:type="dxa" w:w="1310"/>
            <w:tcMar>
              <w:top w:type="dxa" w:w="50"/>
              <w:left w:type="dxa" w:w="80"/>
              <w:bottom w:type="dxa" w:w="50"/>
              <w:right w:type="dxa" w:w="80"/>
            </w:tcMar>
          </w:tcPr>
          <w:p>
            <w:r>
              <w:rPr>
                <w:rFonts w:ascii="Arial" w:cs="Arial" w:eastAsia="Arial" w:hAnsi="Arial"/>
                <w:sz w:val="13"/>
                <w:szCs w:val="13"/>
              </w:rPr>
              <w:t xml:space="preserve">Backups in same admin domain; restore testing not evidenced</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Prolonged outage, loss of recoverability</w:t>
            </w:r>
          </w:p>
        </w:tc>
        <w:tc>
          <w:tcPr>
            <w:tcW w:type="dxa" w:w="748"/>
            <w:tcMar>
              <w:top w:type="dxa" w:w="50"/>
              <w:left w:type="dxa" w:w="80"/>
              <w:bottom w:type="dxa" w:w="50"/>
              <w:right w:type="dxa" w:w="80"/>
            </w:tcMar>
          </w:tcPr>
          <w:p>
            <w:r>
              <w:rPr>
                <w:rFonts w:ascii="Arial" w:cs="Arial" w:eastAsia="Arial" w:hAnsi="Arial"/>
                <w:sz w:val="13"/>
                <w:szCs w:val="13"/>
              </w:rPr>
              <w:t xml:space="preserve">MED-CYR-07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w:t>
            </w:r>
          </w:p>
        </w:tc>
        <w:tc>
          <w:tcPr>
            <w:tcW w:type="dxa" w:w="2249"/>
            <w:tcMar>
              <w:top w:type="dxa" w:w="50"/>
              <w:left w:type="dxa" w:w="80"/>
              <w:bottom w:type="dxa" w:w="50"/>
              <w:right w:type="dxa" w:w="80"/>
            </w:tcMar>
          </w:tcPr>
          <w:p>
            <w:r>
              <w:rPr>
                <w:rFonts w:ascii="Arial" w:cs="Arial" w:eastAsia="Arial" w:hAnsi="Arial"/>
                <w:sz w:val="13"/>
                <w:szCs w:val="13"/>
              </w:rPr>
              <w:t xml:space="preserve">Determines whether S2 is survivable; backup failures in E6.</w:t>
            </w:r>
          </w:p>
        </w:tc>
      </w:tr>
      <w:tr>
        <w:tc>
          <w:tcPr>
            <w:tcW w:type="dxa" w:w="374"/>
            <w:tcMar>
              <w:top w:type="dxa" w:w="50"/>
              <w:left w:type="dxa" w:w="80"/>
              <w:bottom w:type="dxa" w:w="50"/>
              <w:right w:type="dxa" w:w="80"/>
            </w:tcMar>
          </w:tcPr>
          <w:p>
            <w:r>
              <w:rPr>
                <w:rFonts w:ascii="Arial" w:cs="Arial" w:eastAsia="Arial" w:hAnsi="Arial"/>
                <w:sz w:val="13"/>
                <w:szCs w:val="13"/>
              </w:rPr>
              <w:t xml:space="preserve">C04</w:t>
            </w:r>
          </w:p>
        </w:tc>
        <w:tc>
          <w:tcPr>
            <w:tcW w:type="dxa" w:w="1404"/>
            <w:tcMar>
              <w:top w:type="dxa" w:w="50"/>
              <w:left w:type="dxa" w:w="80"/>
              <w:bottom w:type="dxa" w:w="50"/>
              <w:right w:type="dxa" w:w="80"/>
            </w:tcMar>
          </w:tcPr>
          <w:p>
            <w:r>
              <w:rPr>
                <w:rFonts w:ascii="Arial" w:cs="Arial" w:eastAsia="Arial" w:hAnsi="Arial"/>
                <w:sz w:val="13"/>
                <w:szCs w:val="13"/>
              </w:rPr>
              <w:t xml:space="preserve">Cloud medical-image transfer storage exposed or accessed externally</w:t>
            </w:r>
          </w:p>
        </w:tc>
        <w:tc>
          <w:tcPr>
            <w:tcW w:type="dxa" w:w="842"/>
            <w:tcMar>
              <w:top w:type="dxa" w:w="50"/>
              <w:left w:type="dxa" w:w="80"/>
              <w:bottom w:type="dxa" w:w="50"/>
              <w:right w:type="dxa" w:w="80"/>
            </w:tcMar>
          </w:tcPr>
          <w:p>
            <w:r>
              <w:rPr>
                <w:rFonts w:ascii="Arial" w:cs="Arial" w:eastAsia="Arial" w:hAnsi="Arial"/>
                <w:sz w:val="13"/>
                <w:szCs w:val="13"/>
              </w:rPr>
              <w:t xml:space="preserve">Opportunistic actor / cybercriminal</w:t>
            </w:r>
          </w:p>
        </w:tc>
        <w:tc>
          <w:tcPr>
            <w:tcW w:type="dxa" w:w="1310"/>
            <w:tcMar>
              <w:top w:type="dxa" w:w="50"/>
              <w:left w:type="dxa" w:w="80"/>
              <w:bottom w:type="dxa" w:w="50"/>
              <w:right w:type="dxa" w:w="80"/>
            </w:tcMar>
          </w:tcPr>
          <w:p>
            <w:r>
              <w:rPr>
                <w:rFonts w:ascii="Arial" w:cs="Arial" w:eastAsia="Arial" w:hAnsi="Arial"/>
                <w:sz w:val="13"/>
                <w:szCs w:val="13"/>
              </w:rPr>
              <w:t xml:space="preserve">Permissive sharing, weak cloud logging and posture management</w:t>
            </w:r>
          </w:p>
        </w:tc>
        <w:tc>
          <w:tcPr>
            <w:tcW w:type="dxa" w:w="655"/>
            <w:tcMar>
              <w:top w:type="dxa" w:w="50"/>
              <w:left w:type="dxa" w:w="80"/>
              <w:bottom w:type="dxa" w:w="50"/>
              <w:right w:type="dxa" w:w="80"/>
            </w:tcMar>
          </w:tcPr>
          <w:p>
            <w:r>
              <w:rPr>
                <w:rFonts w:ascii="Arial" w:cs="Arial" w:eastAsia="Arial" w:hAnsi="Arial"/>
                <w:sz w:val="13"/>
                <w:szCs w:val="13"/>
              </w:rPr>
              <w:t xml:space="preserve">CJ7</w:t>
            </w:r>
          </w:p>
        </w:tc>
        <w:tc>
          <w:tcPr>
            <w:tcW w:type="dxa" w:w="936"/>
            <w:tcMar>
              <w:top w:type="dxa" w:w="50"/>
              <w:left w:type="dxa" w:w="80"/>
              <w:bottom w:type="dxa" w:w="50"/>
              <w:right w:type="dxa" w:w="80"/>
            </w:tcMar>
          </w:tcPr>
          <w:p>
            <w:r>
              <w:rPr>
                <w:rFonts w:ascii="Arial" w:cs="Arial" w:eastAsia="Arial" w:hAnsi="Arial"/>
                <w:sz w:val="13"/>
                <w:szCs w:val="13"/>
              </w:rPr>
              <w:t xml:space="preserve">Bulk health-data exposure</w:t>
            </w:r>
          </w:p>
        </w:tc>
        <w:tc>
          <w:tcPr>
            <w:tcW w:type="dxa" w:w="748"/>
            <w:tcMar>
              <w:top w:type="dxa" w:w="50"/>
              <w:left w:type="dxa" w:w="80"/>
              <w:bottom w:type="dxa" w:w="50"/>
              <w:right w:type="dxa" w:w="80"/>
            </w:tcMar>
          </w:tcPr>
          <w:p>
            <w:r>
              <w:rPr>
                <w:rFonts w:ascii="Arial" w:cs="Arial" w:eastAsia="Arial" w:hAnsi="Arial"/>
                <w:sz w:val="13"/>
                <w:szCs w:val="13"/>
              </w:rPr>
              <w:t xml:space="preserve">MED-CYR-03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(S4)</w:t>
            </w:r>
          </w:p>
        </w:tc>
        <w:tc>
          <w:tcPr>
            <w:tcW w:type="dxa" w:w="2249"/>
            <w:tcMar>
              <w:top w:type="dxa" w:w="50"/>
              <w:left w:type="dxa" w:w="80"/>
              <w:bottom w:type="dxa" w:w="50"/>
              <w:right w:type="dxa" w:w="80"/>
            </w:tcMar>
          </w:tcPr>
          <w:p>
            <w:r>
              <w:rPr>
                <w:rFonts w:ascii="Arial" w:cs="Arial" w:eastAsia="Arial" w:hAnsi="Arial"/>
                <w:sz w:val="13"/>
                <w:szCs w:val="13"/>
              </w:rPr>
              <w:t xml:space="preserve">Large-volume PHI exposure; evidenced by unusual downloads (E6).</w:t>
            </w:r>
          </w:p>
        </w:tc>
      </w:tr>
      <w:tr>
        <w:tc>
          <w:tcPr>
            <w:tcW w:type="dxa" w:w="374"/>
            <w:tcMar>
              <w:top w:type="dxa" w:w="50"/>
              <w:left w:type="dxa" w:w="80"/>
              <w:bottom w:type="dxa" w:w="50"/>
              <w:right w:type="dxa" w:w="80"/>
            </w:tcMar>
          </w:tcPr>
          <w:p>
            <w:r>
              <w:rPr>
                <w:rFonts w:ascii="Arial" w:cs="Arial" w:eastAsia="Arial" w:hAnsi="Arial"/>
                <w:sz w:val="13"/>
                <w:szCs w:val="13"/>
              </w:rPr>
              <w:t xml:space="preserve">C05</w:t>
            </w:r>
          </w:p>
        </w:tc>
        <w:tc>
          <w:tcPr>
            <w:tcW w:type="dxa" w:w="1404"/>
            <w:tcMar>
              <w:top w:type="dxa" w:w="50"/>
              <w:left w:type="dxa" w:w="80"/>
              <w:bottom w:type="dxa" w:w="50"/>
              <w:right w:type="dxa" w:w="80"/>
            </w:tcMar>
          </w:tcPr>
          <w:p>
            <w:r>
              <w:rPr>
                <w:rFonts w:ascii="Arial" w:cs="Arial" w:eastAsia="Arial" w:hAnsi="Arial"/>
                <w:sz w:val="13"/>
                <w:szCs w:val="13"/>
              </w:rPr>
              <w:t xml:space="preserve">API key committed to a code repository enables data access</w:t>
            </w:r>
          </w:p>
        </w:tc>
        <w:tc>
          <w:tcPr>
            <w:tcW w:type="dxa" w:w="842"/>
            <w:tcMar>
              <w:top w:type="dxa" w:w="50"/>
              <w:left w:type="dxa" w:w="80"/>
              <w:bottom w:type="dxa" w:w="50"/>
              <w:right w:type="dxa" w:w="80"/>
            </w:tcMar>
          </w:tcPr>
          <w:p>
            <w:r>
              <w:rPr>
                <w:rFonts w:ascii="Arial" w:cs="Arial" w:eastAsia="Arial" w:hAnsi="Arial"/>
                <w:sz w:val="13"/>
                <w:szCs w:val="13"/>
              </w:rPr>
              <w:t xml:space="preserve">Opportunistic actor</w:t>
            </w:r>
          </w:p>
        </w:tc>
        <w:tc>
          <w:tcPr>
            <w:tcW w:type="dxa" w:w="1310"/>
            <w:tcMar>
              <w:top w:type="dxa" w:w="50"/>
              <w:left w:type="dxa" w:w="80"/>
              <w:bottom w:type="dxa" w:w="50"/>
              <w:right w:type="dxa" w:w="80"/>
            </w:tcMar>
          </w:tcPr>
          <w:p>
            <w:r>
              <w:rPr>
                <w:rFonts w:ascii="Arial" w:cs="Arial" w:eastAsia="Arial" w:hAnsi="Arial"/>
                <w:sz w:val="13"/>
                <w:szCs w:val="13"/>
              </w:rPr>
              <w:t xml:space="preserve">No secret scanning or vault evidenced</w:t>
            </w:r>
          </w:p>
        </w:tc>
        <w:tc>
          <w:tcPr>
            <w:tcW w:type="dxa" w:w="655"/>
            <w:tcMar>
              <w:top w:type="dxa" w:w="50"/>
              <w:left w:type="dxa" w:w="80"/>
              <w:bottom w:type="dxa" w:w="50"/>
              <w:right w:type="dxa" w:w="80"/>
            </w:tcMar>
          </w:tcPr>
          <w:p>
            <w:r>
              <w:rPr>
                <w:rFonts w:ascii="Arial" w:cs="Arial" w:eastAsia="Arial" w:hAnsi="Arial"/>
                <w:sz w:val="13"/>
                <w:szCs w:val="13"/>
              </w:rPr>
              <w:t xml:space="preserve">CJ1 / CJ7</w:t>
            </w:r>
          </w:p>
        </w:tc>
        <w:tc>
          <w:tcPr>
            <w:tcW w:type="dxa" w:w="936"/>
            <w:tcMar>
              <w:top w:type="dxa" w:w="50"/>
              <w:left w:type="dxa" w:w="80"/>
              <w:bottom w:type="dxa" w:w="50"/>
              <w:right w:type="dxa" w:w="80"/>
            </w:tcMar>
          </w:tcPr>
          <w:p>
            <w:r>
              <w:rPr>
                <w:rFonts w:ascii="Arial" w:cs="Arial" w:eastAsia="Arial" w:hAnsi="Arial"/>
                <w:sz w:val="13"/>
                <w:szCs w:val="13"/>
              </w:rPr>
              <w:t xml:space="preserve">Direct API data extraction</w:t>
            </w:r>
          </w:p>
        </w:tc>
        <w:tc>
          <w:tcPr>
            <w:tcW w:type="dxa" w:w="748"/>
            <w:tcMar>
              <w:top w:type="dxa" w:w="50"/>
              <w:left w:type="dxa" w:w="80"/>
              <w:bottom w:type="dxa" w:w="50"/>
              <w:right w:type="dxa" w:w="80"/>
            </w:tcMar>
          </w:tcPr>
          <w:p>
            <w:r>
              <w:rPr>
                <w:rFonts w:ascii="Arial" w:cs="Arial" w:eastAsia="Arial" w:hAnsi="Arial"/>
                <w:sz w:val="13"/>
                <w:szCs w:val="13"/>
              </w:rPr>
              <w:t xml:space="preserve">MED-CYR-04</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Plausible but thin evidence on MediBec's development footprint; controls partly shared with S4/S5. Keep on watch list.</w:t>
            </w:r>
          </w:p>
        </w:tc>
      </w:tr>
      <w:tr>
        <w:tc>
          <w:tcPr>
            <w:tcW w:type="dxa" w:w="374"/>
            <w:tcMar>
              <w:top w:type="dxa" w:w="50"/>
              <w:left w:type="dxa" w:w="80"/>
              <w:bottom w:type="dxa" w:w="50"/>
              <w:right w:type="dxa" w:w="80"/>
            </w:tcMar>
          </w:tcPr>
          <w:p>
            <w:r>
              <w:rPr>
                <w:rFonts w:ascii="Arial" w:cs="Arial" w:eastAsia="Arial" w:hAnsi="Arial"/>
                <w:sz w:val="13"/>
                <w:szCs w:val="13"/>
              </w:rPr>
              <w:t xml:space="preserve">C06</w:t>
            </w:r>
          </w:p>
        </w:tc>
        <w:tc>
          <w:tcPr>
            <w:tcW w:type="dxa" w:w="1404"/>
            <w:tcMar>
              <w:top w:type="dxa" w:w="50"/>
              <w:left w:type="dxa" w:w="80"/>
              <w:bottom w:type="dxa" w:w="50"/>
              <w:right w:type="dxa" w:w="80"/>
            </w:tcMar>
          </w:tcPr>
          <w:p>
            <w:r>
              <w:rPr>
                <w:rFonts w:ascii="Arial" w:cs="Arial" w:eastAsia="Arial" w:hAnsi="Arial"/>
                <w:sz w:val="13"/>
                <w:szCs w:val="13"/>
              </w:rPr>
              <w:t xml:space="preserve">Clinic Wi-Fi compromise or rogue access point</w:t>
            </w:r>
          </w:p>
        </w:tc>
        <w:tc>
          <w:tcPr>
            <w:tcW w:type="dxa" w:w="842"/>
            <w:tcMar>
              <w:top w:type="dxa" w:w="50"/>
              <w:left w:type="dxa" w:w="80"/>
              <w:bottom w:type="dxa" w:w="50"/>
              <w:right w:type="dxa" w:w="80"/>
            </w:tcMar>
          </w:tcPr>
          <w:p>
            <w:r>
              <w:rPr>
                <w:rFonts w:ascii="Arial" w:cs="Arial" w:eastAsia="Arial" w:hAnsi="Arial"/>
                <w:sz w:val="13"/>
                <w:szCs w:val="13"/>
              </w:rPr>
              <w:t xml:space="preserve">Local attacker</w:t>
            </w:r>
          </w:p>
        </w:tc>
        <w:tc>
          <w:tcPr>
            <w:tcW w:type="dxa" w:w="1310"/>
            <w:tcMar>
              <w:top w:type="dxa" w:w="50"/>
              <w:left w:type="dxa" w:w="80"/>
              <w:bottom w:type="dxa" w:w="50"/>
              <w:right w:type="dxa" w:w="80"/>
            </w:tcMar>
          </w:tcPr>
          <w:p>
            <w:r>
              <w:rPr>
                <w:rFonts w:ascii="Arial" w:cs="Arial" w:eastAsia="Arial" w:hAnsi="Arial"/>
                <w:sz w:val="13"/>
                <w:szCs w:val="13"/>
              </w:rPr>
              <w:t xml:space="preserve">Guest/clinical Wi-Fi segmentation not evidenced</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Internal network foothold</w:t>
            </w:r>
          </w:p>
        </w:tc>
        <w:tc>
          <w:tcPr>
            <w:tcW w:type="dxa" w:w="748"/>
            <w:tcMar>
              <w:top w:type="dxa" w:w="50"/>
              <w:left w:type="dxa" w:w="80"/>
              <w:bottom w:type="dxa" w:w="50"/>
              <w:right w:type="dxa" w:w="80"/>
            </w:tcMar>
          </w:tcPr>
          <w:p>
            <w:r>
              <w:rPr>
                <w:rFonts w:ascii="Arial" w:cs="Arial" w:eastAsia="Arial" w:hAnsi="Arial"/>
                <w:sz w:val="13"/>
                <w:szCs w:val="13"/>
              </w:rPr>
              <w:t xml:space="preserve">MED-CYR-05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S7</w:t>
            </w:r>
          </w:p>
        </w:tc>
        <w:tc>
          <w:tcPr>
            <w:tcW w:type="dxa" w:w="2249"/>
            <w:tcMar>
              <w:top w:type="dxa" w:w="50"/>
              <w:left w:type="dxa" w:w="80"/>
              <w:bottom w:type="dxa" w:w="50"/>
              <w:right w:type="dxa" w:w="80"/>
            </w:tcMar>
          </w:tcPr>
          <w:p>
            <w:r>
              <w:rPr>
                <w:rFonts w:ascii="Arial" w:cs="Arial" w:eastAsia="Arial" w:hAnsi="Arial"/>
                <w:sz w:val="13"/>
                <w:szCs w:val="13"/>
              </w:rPr>
              <w:t xml:space="preserve">Treated as an access path; the consequence driver is the flat network addressed in S7/S2.</w:t>
            </w:r>
          </w:p>
        </w:tc>
      </w:tr>
      <w:tr>
        <w:tc>
          <w:tcPr>
            <w:tcW w:type="dxa" w:w="374"/>
            <w:tcMar>
              <w:top w:type="dxa" w:w="50"/>
              <w:left w:type="dxa" w:w="80"/>
              <w:bottom w:type="dxa" w:w="50"/>
              <w:right w:type="dxa" w:w="80"/>
            </w:tcMar>
          </w:tcPr>
          <w:p>
            <w:r>
              <w:rPr>
                <w:rFonts w:ascii="Arial" w:cs="Arial" w:eastAsia="Arial" w:hAnsi="Arial"/>
                <w:sz w:val="13"/>
                <w:szCs w:val="13"/>
              </w:rPr>
              <w:t xml:space="preserve">C07</w:t>
            </w:r>
          </w:p>
        </w:tc>
        <w:tc>
          <w:tcPr>
            <w:tcW w:type="dxa" w:w="1404"/>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tcMar>
              <w:top w:type="dxa" w:w="50"/>
              <w:left w:type="dxa" w:w="80"/>
              <w:bottom w:type="dxa" w:w="50"/>
              <w:right w:type="dxa" w:w="80"/>
            </w:tcMar>
          </w:tcPr>
          <w:p>
            <w:r>
              <w:rPr>
                <w:rFonts w:ascii="Arial" w:cs="Arial" w:eastAsia="Arial" w:hAnsi="Arial"/>
                <w:sz w:val="13"/>
                <w:szCs w:val="13"/>
              </w:rPr>
              <w:t xml:space="preserve">Cybercriminal / state-linked actor</w:t>
            </w:r>
          </w:p>
        </w:tc>
        <w:tc>
          <w:tcPr>
            <w:tcW w:type="dxa" w:w="1310"/>
            <w:tcMar>
              <w:top w:type="dxa" w:w="50"/>
              <w:left w:type="dxa" w:w="80"/>
              <w:bottom w:type="dxa" w:w="50"/>
              <w:right w:type="dxa" w:w="80"/>
            </w:tcMar>
          </w:tcPr>
          <w:p>
            <w:r>
              <w:rPr>
                <w:rFonts w:ascii="Arial" w:cs="Arial" w:eastAsia="Arial" w:hAnsi="Arial"/>
                <w:sz w:val="13"/>
                <w:szCs w:val="13"/>
              </w:rPr>
              <w:t xml:space="preserve">Patch delays from uptime and vendor constraints</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Remote code execution and intrusion</w:t>
            </w:r>
          </w:p>
        </w:tc>
        <w:tc>
          <w:tcPr>
            <w:tcW w:type="dxa" w:w="748"/>
            <w:tcMar>
              <w:top w:type="dxa" w:w="50"/>
              <w:left w:type="dxa" w:w="80"/>
              <w:bottom w:type="dxa" w:w="50"/>
              <w:right w:type="dxa" w:w="80"/>
            </w:tcMar>
          </w:tcPr>
          <w:p>
            <w:r>
              <w:rPr>
                <w:rFonts w:ascii="Arial" w:cs="Arial" w:eastAsia="Arial" w:hAnsi="Arial"/>
                <w:sz w:val="13"/>
                <w:szCs w:val="13"/>
              </w:rPr>
              <w:t xml:space="preserve">MED-CYR-06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(S6)</w:t>
            </w:r>
          </w:p>
        </w:tc>
        <w:tc>
          <w:tcPr>
            <w:tcW w:type="dxa" w:w="2249"/>
            <w:tcMar>
              <w:top w:type="dxa" w:w="50"/>
              <w:left w:type="dxa" w:w="80"/>
              <w:bottom w:type="dxa" w:w="50"/>
              <w:right w:type="dxa" w:w="80"/>
            </w:tcMar>
          </w:tcPr>
          <w:p>
            <w:r>
              <w:rPr>
                <w:rFonts w:ascii="Arial" w:cs="Arial" w:eastAsia="Arial" w:hAnsi="Arial"/>
                <w:sz w:val="13"/>
                <w:szCs w:val="13"/>
              </w:rPr>
              <w:t xml:space="preserve">Mass exploitation of edge devices is a leading entry vector; patching constraints documented (E3).</w:t>
            </w:r>
          </w:p>
        </w:tc>
      </w:tr>
      <w:tr>
        <w:tc>
          <w:tcPr>
            <w:tcW w:type="dxa" w:w="374"/>
            <w:tcMar>
              <w:top w:type="dxa" w:w="50"/>
              <w:left w:type="dxa" w:w="80"/>
              <w:bottom w:type="dxa" w:w="50"/>
              <w:right w:type="dxa" w:w="80"/>
            </w:tcMar>
          </w:tcPr>
          <w:p>
            <w:r>
              <w:rPr>
                <w:rFonts w:ascii="Arial" w:cs="Arial" w:eastAsia="Arial" w:hAnsi="Arial"/>
                <w:sz w:val="13"/>
                <w:szCs w:val="13"/>
              </w:rPr>
              <w:t xml:space="preserve">C08</w:t>
            </w:r>
          </w:p>
        </w:tc>
        <w:tc>
          <w:tcPr>
            <w:tcW w:type="dxa" w:w="1404"/>
            <w:tcMar>
              <w:top w:type="dxa" w:w="50"/>
              <w:left w:type="dxa" w:w="80"/>
              <w:bottom w:type="dxa" w:w="50"/>
              <w:right w:type="dxa" w:w="80"/>
            </w:tcMar>
          </w:tcPr>
          <w:p>
            <w:r>
              <w:rPr>
                <w:rFonts w:ascii="Arial" w:cs="Arial" w:eastAsia="Arial" w:hAnsi="Arial"/>
                <w:sz w:val="13"/>
                <w:szCs w:val="13"/>
              </w:rPr>
              <w:t xml:space="preserve">Intrusion goes undetected because monitoring and triage are insufficient</w:t>
            </w:r>
          </w:p>
        </w:tc>
        <w:tc>
          <w:tcPr>
            <w:tcW w:type="dxa" w:w="842"/>
            <w:tcMar>
              <w:top w:type="dxa" w:w="50"/>
              <w:left w:type="dxa" w:w="80"/>
              <w:bottom w:type="dxa" w:w="50"/>
              <w:right w:type="dxa" w:w="80"/>
            </w:tcMar>
          </w:tcPr>
          <w:p>
            <w:r>
              <w:rPr>
                <w:rFonts w:ascii="Arial" w:cs="Arial" w:eastAsia="Arial" w:hAnsi="Arial"/>
                <w:sz w:val="13"/>
                <w:szCs w:val="13"/>
              </w:rPr>
              <w:t xml:space="preserve">Any external actor</w:t>
            </w:r>
          </w:p>
        </w:tc>
        <w:tc>
          <w:tcPr>
            <w:tcW w:type="dxa" w:w="1310"/>
            <w:tcMar>
              <w:top w:type="dxa" w:w="50"/>
              <w:left w:type="dxa" w:w="80"/>
              <w:bottom w:type="dxa" w:w="50"/>
              <w:right w:type="dxa" w:w="80"/>
            </w:tcMar>
          </w:tcPr>
          <w:p>
            <w:r>
              <w:rPr>
                <w:rFonts w:ascii="Arial" w:cs="Arial" w:eastAsia="Arial" w:hAnsi="Arial"/>
                <w:sz w:val="13"/>
                <w:szCs w:val="13"/>
              </w:rPr>
              <w:t xml:space="preserve">2-person team, alert closed as low severity, log coverage unknown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Extended dwell time, amplified harm</w:t>
            </w:r>
          </w:p>
        </w:tc>
        <w:tc>
          <w:tcPr>
            <w:tcW w:type="dxa" w:w="748"/>
            <w:tcMar>
              <w:top w:type="dxa" w:w="50"/>
              <w:left w:type="dxa" w:w="80"/>
              <w:bottom w:type="dxa" w:w="50"/>
              <w:right w:type="dxa" w:w="80"/>
            </w:tcMar>
          </w:tcPr>
          <w:p>
            <w:r>
              <w:rPr>
                <w:rFonts w:ascii="Arial" w:cs="Arial" w:eastAsia="Arial" w:hAnsi="Arial"/>
                <w:sz w:val="13"/>
                <w:szCs w:val="13"/>
              </w:rPr>
              <w:t xml:space="preserve">MED-CYR-08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(S8)</w:t>
            </w:r>
          </w:p>
        </w:tc>
        <w:tc>
          <w:tcPr>
            <w:tcW w:type="dxa" w:w="2249"/>
            <w:tcMar>
              <w:top w:type="dxa" w:w="50"/>
              <w:left w:type="dxa" w:w="80"/>
              <w:bottom w:type="dxa" w:w="50"/>
              <w:right w:type="dxa" w:w="80"/>
            </w:tcMar>
          </w:tcPr>
          <w:p>
            <w:r>
              <w:rPr>
                <w:rFonts w:ascii="Arial" w:cs="Arial" w:eastAsia="Arial" w:hAnsi="Arial"/>
                <w:sz w:val="13"/>
                <w:szCs w:val="13"/>
              </w:rPr>
              <w:t xml:space="preserve">Systemic amplifier; directly evidenced (E3, E6).</w:t>
            </w:r>
          </w:p>
        </w:tc>
      </w:tr>
      <w:tr>
        <w:tc>
          <w:tcPr>
            <w:tcW w:type="dxa" w:w="374"/>
            <w:tcMar>
              <w:top w:type="dxa" w:w="50"/>
              <w:left w:type="dxa" w:w="80"/>
              <w:bottom w:type="dxa" w:w="50"/>
              <w:right w:type="dxa" w:w="80"/>
            </w:tcMar>
          </w:tcPr>
          <w:p>
            <w:r>
              <w:rPr>
                <w:rFonts w:ascii="Arial" w:cs="Arial" w:eastAsia="Arial" w:hAnsi="Arial"/>
                <w:sz w:val="13"/>
                <w:szCs w:val="13"/>
              </w:rPr>
              <w:t xml:space="preserve">C09</w:t>
            </w:r>
          </w:p>
        </w:tc>
        <w:tc>
          <w:tcPr>
            <w:tcW w:type="dxa" w:w="1404"/>
            <w:tcMar>
              <w:top w:type="dxa" w:w="50"/>
              <w:left w:type="dxa" w:w="80"/>
              <w:bottom w:type="dxa" w:w="50"/>
              <w:right w:type="dxa" w:w="80"/>
            </w:tcMar>
          </w:tcPr>
          <w:p>
            <w:r>
              <w:rPr>
                <w:rFonts w:ascii="Arial" w:cs="Arial" w:eastAsia="Arial" w:hAnsi="Arial"/>
                <w:sz w:val="13"/>
                <w:szCs w:val="13"/>
              </w:rPr>
              <w:t xml:space="preserve">Connected medical device used as network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Unpatched embedded OS, incomplete inventory, weak segmentation</w:t>
            </w:r>
          </w:p>
        </w:tc>
        <w:tc>
          <w:tcPr>
            <w:tcW w:type="dxa" w:w="655"/>
            <w:tcMar>
              <w:top w:type="dxa" w:w="50"/>
              <w:left w:type="dxa" w:w="80"/>
              <w:bottom w:type="dxa" w:w="50"/>
              <w:right w:type="dxa" w:w="80"/>
            </w:tcMar>
          </w:tcPr>
          <w:p>
            <w:r>
              <w:rPr>
                <w:rFonts w:ascii="Arial" w:cs="Arial" w:eastAsia="Arial" w:hAnsi="Arial"/>
                <w:sz w:val="13"/>
                <w:szCs w:val="13"/>
              </w:rPr>
              <w:t xml:space="preserve">CJ8</w:t>
            </w:r>
          </w:p>
        </w:tc>
        <w:tc>
          <w:tcPr>
            <w:tcW w:type="dxa" w:w="936"/>
            <w:tcMar>
              <w:top w:type="dxa" w:w="50"/>
              <w:left w:type="dxa" w:w="80"/>
              <w:bottom w:type="dxa" w:w="50"/>
              <w:right w:type="dxa" w:w="80"/>
            </w:tcMar>
          </w:tcPr>
          <w:p>
            <w:r>
              <w:rPr>
                <w:rFonts w:ascii="Arial" w:cs="Arial" w:eastAsia="Arial" w:hAnsi="Arial"/>
                <w:sz w:val="13"/>
                <w:szCs w:val="13"/>
              </w:rPr>
              <w:t xml:space="preserve">Device disruption, lateral movement</w:t>
            </w:r>
          </w:p>
        </w:tc>
        <w:tc>
          <w:tcPr>
            <w:tcW w:type="dxa" w:w="748"/>
            <w:tcMar>
              <w:top w:type="dxa" w:w="50"/>
              <w:left w:type="dxa" w:w="80"/>
              <w:bottom w:type="dxa" w:w="50"/>
              <w:right w:type="dxa" w:w="80"/>
            </w:tcMar>
          </w:tcPr>
          <w:p>
            <w:r>
              <w:rPr>
                <w:rFonts w:ascii="Arial" w:cs="Arial" w:eastAsia="Arial" w:hAnsi="Arial"/>
                <w:sz w:val="13"/>
                <w:szCs w:val="13"/>
              </w:rPr>
              <w:t xml:space="preserve">MED-CYR-09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(S7)</w:t>
            </w:r>
          </w:p>
        </w:tc>
        <w:tc>
          <w:tcPr>
            <w:tcW w:type="dxa" w:w="2249"/>
            <w:tcMar>
              <w:top w:type="dxa" w:w="50"/>
              <w:left w:type="dxa" w:w="80"/>
              <w:bottom w:type="dxa" w:w="50"/>
              <w:right w:type="dxa" w:w="80"/>
            </w:tcMar>
          </w:tcPr>
          <w:p>
            <w:r>
              <w:rPr>
                <w:rFonts w:ascii="Arial" w:cs="Arial" w:eastAsia="Arial" w:hAnsi="Arial"/>
                <w:sz w:val="13"/>
                <w:szCs w:val="13"/>
              </w:rPr>
              <w:t xml:space="preserve">Only scenario with direct patient-safety pathway through equipment.</w:t>
            </w:r>
          </w:p>
        </w:tc>
      </w:tr>
      <w:tr>
        <w:tc>
          <w:tcPr>
            <w:tcW w:type="dxa" w:w="374"/>
            <w:tcMar>
              <w:top w:type="dxa" w:w="50"/>
              <w:left w:type="dxa" w:w="80"/>
              <w:bottom w:type="dxa" w:w="50"/>
              <w:right w:type="dxa" w:w="80"/>
            </w:tcMar>
          </w:tcPr>
          <w:p>
            <w:r>
              <w:rPr>
                <w:rFonts w:ascii="Arial" w:cs="Arial" w:eastAsia="Arial" w:hAnsi="Arial"/>
                <w:sz w:val="13"/>
                <w:szCs w:val="13"/>
              </w:rPr>
              <w:t xml:space="preserve">C10</w:t>
            </w:r>
          </w:p>
        </w:tc>
        <w:tc>
          <w:tcPr>
            <w:tcW w:type="dxa" w:w="1404"/>
            <w:tcMar>
              <w:top w:type="dxa" w:w="50"/>
              <w:left w:type="dxa" w:w="80"/>
              <w:bottom w:type="dxa" w:w="50"/>
              <w:right w:type="dxa" w:w="80"/>
            </w:tcMar>
          </w:tcPr>
          <w:p>
            <w:r>
              <w:rPr>
                <w:rFonts w:ascii="Arial" w:cs="Arial" w:eastAsia="Arial" w:hAnsi="Arial"/>
                <w:sz w:val="13"/>
                <w:szCs w:val="13"/>
              </w:rPr>
              <w:t xml:space="preserve">DDoS against patient-facing online services</w:t>
            </w:r>
          </w:p>
        </w:tc>
        <w:tc>
          <w:tcPr>
            <w:tcW w:type="dxa" w:w="842"/>
            <w:tcMar>
              <w:top w:type="dxa" w:w="50"/>
              <w:left w:type="dxa" w:w="80"/>
              <w:bottom w:type="dxa" w:w="50"/>
              <w:right w:type="dxa" w:w="80"/>
            </w:tcMar>
          </w:tcPr>
          <w:p>
            <w:r>
              <w:rPr>
                <w:rFonts w:ascii="Arial" w:cs="Arial" w:eastAsia="Arial" w:hAnsi="Arial"/>
                <w:sz w:val="13"/>
                <w:szCs w:val="13"/>
              </w:rPr>
              <w:t xml:space="preserve">Hacktivist / extortionist</w:t>
            </w:r>
          </w:p>
        </w:tc>
        <w:tc>
          <w:tcPr>
            <w:tcW w:type="dxa" w:w="1310"/>
            <w:tcMar>
              <w:top w:type="dxa" w:w="50"/>
              <w:left w:type="dxa" w:w="80"/>
              <w:bottom w:type="dxa" w:w="50"/>
              <w:right w:type="dxa" w:w="80"/>
            </w:tcMar>
          </w:tcPr>
          <w:p>
            <w:r>
              <w:rPr>
                <w:rFonts w:ascii="Arial" w:cs="Arial" w:eastAsia="Arial" w:hAnsi="Arial"/>
                <w:sz w:val="13"/>
                <w:szCs w:val="13"/>
              </w:rPr>
              <w:t xml:space="preserve">No DDoS protection evidenced</w:t>
            </w:r>
          </w:p>
        </w:tc>
        <w:tc>
          <w:tcPr>
            <w:tcW w:type="dxa" w:w="655"/>
            <w:tcMar>
              <w:top w:type="dxa" w:w="50"/>
              <w:left w:type="dxa" w:w="80"/>
              <w:bottom w:type="dxa" w:w="50"/>
              <w:right w:type="dxa" w:w="80"/>
            </w:tcMar>
          </w:tcPr>
          <w:p>
            <w:r>
              <w:rPr>
                <w:rFonts w:ascii="Arial" w:cs="Arial" w:eastAsia="Arial" w:hAnsi="Arial"/>
                <w:sz w:val="13"/>
                <w:szCs w:val="13"/>
              </w:rPr>
              <w:t xml:space="preserve">CJ3</w:t>
            </w:r>
          </w:p>
        </w:tc>
        <w:tc>
          <w:tcPr>
            <w:tcW w:type="dxa" w:w="936"/>
            <w:tcMar>
              <w:top w:type="dxa" w:w="50"/>
              <w:left w:type="dxa" w:w="80"/>
              <w:bottom w:type="dxa" w:w="50"/>
              <w:right w:type="dxa" w:w="80"/>
            </w:tcMar>
          </w:tcPr>
          <w:p>
            <w:r>
              <w:rPr>
                <w:rFonts w:ascii="Arial" w:cs="Arial" w:eastAsia="Arial" w:hAnsi="Arial"/>
                <w:sz w:val="13"/>
                <w:szCs w:val="13"/>
              </w:rPr>
              <w:t xml:space="preserve">Online booking unavailable</w:t>
            </w:r>
          </w:p>
        </w:tc>
        <w:tc>
          <w:tcPr>
            <w:tcW w:type="dxa" w:w="748"/>
            <w:tcMar>
              <w:top w:type="dxa" w:w="50"/>
              <w:left w:type="dxa" w:w="80"/>
              <w:bottom w:type="dxa" w:w="50"/>
              <w:right w:type="dxa" w:w="80"/>
            </w:tcMar>
          </w:tcPr>
          <w:p>
            <w:r>
              <w:rPr>
                <w:rFonts w:ascii="Arial" w:cs="Arial" w:eastAsia="Arial" w:hAnsi="Arial"/>
                <w:sz w:val="13"/>
                <w:szCs w:val="13"/>
              </w:rPr>
              <w:t xml:space="preserve">MED-CYR-10</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Clinics can continue care; limited privacy impact; criticality of online services not documented.</w:t>
            </w:r>
          </w:p>
        </w:tc>
      </w:tr>
      <w:tr>
        <w:tc>
          <w:tcPr>
            <w:tcW w:type="dxa" w:w="374"/>
            <w:tcMar>
              <w:top w:type="dxa" w:w="50"/>
              <w:left w:type="dxa" w:w="80"/>
              <w:bottom w:type="dxa" w:w="50"/>
              <w:right w:type="dxa" w:w="80"/>
            </w:tcMar>
          </w:tcPr>
          <w:p>
            <w:r>
              <w:rPr>
                <w:rFonts w:ascii="Arial" w:cs="Arial" w:eastAsia="Arial" w:hAnsi="Arial"/>
                <w:sz w:val="13"/>
                <w:szCs w:val="13"/>
              </w:rPr>
              <w:t xml:space="preserve">C11</w:t>
            </w:r>
          </w:p>
        </w:tc>
        <w:tc>
          <w:tcPr>
            <w:tcW w:type="dxa" w:w="1404"/>
            <w:tcMar>
              <w:top w:type="dxa" w:w="50"/>
              <w:left w:type="dxa" w:w="80"/>
              <w:bottom w:type="dxa" w:w="50"/>
              <w:right w:type="dxa" w:w="80"/>
            </w:tcMar>
          </w:tcPr>
          <w:p>
            <w:r>
              <w:rPr>
                <w:rFonts w:ascii="Arial" w:cs="Arial" w:eastAsia="Arial" w:hAnsi="Arial"/>
                <w:sz w:val="13"/>
                <w:szCs w:val="13"/>
              </w:rPr>
              <w:t xml:space="preserve">Staff member exports health or billing records for unauthorized purposes</w:t>
            </w:r>
          </w:p>
        </w:tc>
        <w:tc>
          <w:tcPr>
            <w:tcW w:type="dxa" w:w="842"/>
            <w:tcMar>
              <w:top w:type="dxa" w:w="50"/>
              <w:left w:type="dxa" w:w="80"/>
              <w:bottom w:type="dxa" w:w="50"/>
              <w:right w:type="dxa" w:w="80"/>
            </w:tcMar>
          </w:tcPr>
          <w:p>
            <w:r>
              <w:rPr>
                <w:rFonts w:ascii="Arial" w:cs="Arial" w:eastAsia="Arial" w:hAnsi="Arial"/>
                <w:sz w:val="13"/>
                <w:szCs w:val="13"/>
              </w:rPr>
              <w:t xml:space="preserve">Malicious or curious insider</w:t>
            </w:r>
          </w:p>
        </w:tc>
        <w:tc>
          <w:tcPr>
            <w:tcW w:type="dxa" w:w="1310"/>
            <w:tcMar>
              <w:top w:type="dxa" w:w="50"/>
              <w:left w:type="dxa" w:w="80"/>
              <w:bottom w:type="dxa" w:w="50"/>
              <w:right w:type="dxa" w:w="80"/>
            </w:tcMar>
          </w:tcPr>
          <w:p>
            <w:r>
              <w:rPr>
                <w:rFonts w:ascii="Arial" w:cs="Arial" w:eastAsia="Arial" w:hAnsi="Arial"/>
                <w:sz w:val="13"/>
                <w:szCs w:val="13"/>
              </w:rPr>
              <w:t xml:space="preserve">Broad EHR roles, limited access analytics</w:t>
            </w:r>
          </w:p>
        </w:tc>
        <w:tc>
          <w:tcPr>
            <w:tcW w:type="dxa" w:w="655"/>
            <w:tcMar>
              <w:top w:type="dxa" w:w="50"/>
              <w:left w:type="dxa" w:w="80"/>
              <w:bottom w:type="dxa" w:w="50"/>
              <w:right w:type="dxa" w:w="80"/>
            </w:tcMar>
          </w:tcPr>
          <w:p>
            <w:r>
              <w:rPr>
                <w:rFonts w:ascii="Arial" w:cs="Arial" w:eastAsia="Arial" w:hAnsi="Arial"/>
                <w:sz w:val="13"/>
                <w:szCs w:val="13"/>
              </w:rPr>
              <w:t xml:space="preserve">CJ1 / CJ4</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MED-CYR-11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(S5, merged with C15)</w:t>
            </w:r>
          </w:p>
        </w:tc>
        <w:tc>
          <w:tcPr>
            <w:tcW w:type="dxa" w:w="2249"/>
            <w:tcMar>
              <w:top w:type="dxa" w:w="50"/>
              <w:left w:type="dxa" w:w="80"/>
              <w:bottom w:type="dxa" w:w="50"/>
              <w:right w:type="dxa" w:w="80"/>
            </w:tcMar>
          </w:tcPr>
          <w:p>
            <w:r>
              <w:rPr>
                <w:rFonts w:ascii="Arial" w:cs="Arial" w:eastAsia="Arial" w:hAnsi="Arial"/>
                <w:sz w:val="13"/>
                <w:szCs w:val="13"/>
              </w:rPr>
              <w:t xml:space="preserve">Common in healthcare; high regulatory significance.</w:t>
            </w:r>
          </w:p>
        </w:tc>
      </w:tr>
      <w:tr>
        <w:tc>
          <w:tcPr>
            <w:tcW w:type="dxa" w:w="374"/>
            <w:tcMar>
              <w:top w:type="dxa" w:w="50"/>
              <w:left w:type="dxa" w:w="80"/>
              <w:bottom w:type="dxa" w:w="50"/>
              <w:right w:type="dxa" w:w="80"/>
            </w:tcMar>
          </w:tcPr>
          <w:p>
            <w:r>
              <w:rPr>
                <w:rFonts w:ascii="Arial" w:cs="Arial" w:eastAsia="Arial" w:hAnsi="Arial"/>
                <w:sz w:val="13"/>
                <w:szCs w:val="13"/>
              </w:rPr>
              <w:t xml:space="preserve">C12</w:t>
            </w:r>
          </w:p>
        </w:tc>
        <w:tc>
          <w:tcPr>
            <w:tcW w:type="dxa" w:w="1404"/>
            <w:tcMar>
              <w:top w:type="dxa" w:w="50"/>
              <w:left w:type="dxa" w:w="80"/>
              <w:bottom w:type="dxa" w:w="50"/>
              <w:right w:type="dxa" w:w="80"/>
            </w:tcMar>
          </w:tcPr>
          <w:p>
            <w:r>
              <w:rPr>
                <w:rFonts w:ascii="Arial" w:cs="Arial" w:eastAsia="Arial" w:hAnsi="Arial"/>
                <w:sz w:val="13"/>
                <w:szCs w:val="13"/>
              </w:rPr>
              <w:t xml:space="preserve">Alteration of patient, medication or billing records</w:t>
            </w:r>
          </w:p>
        </w:tc>
        <w:tc>
          <w:tcPr>
            <w:tcW w:type="dxa" w:w="842"/>
            <w:tcMar>
              <w:top w:type="dxa" w:w="50"/>
              <w:left w:type="dxa" w:w="80"/>
              <w:bottom w:type="dxa" w:w="50"/>
              <w:right w:type="dxa" w:w="80"/>
            </w:tcMar>
          </w:tcPr>
          <w:p>
            <w:r>
              <w:rPr>
                <w:rFonts w:ascii="Arial" w:cs="Arial" w:eastAsia="Arial" w:hAnsi="Arial"/>
                <w:sz w:val="13"/>
                <w:szCs w:val="13"/>
              </w:rPr>
              <w:t xml:space="preserve">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Limited integrity monitoring and reconciliation</w:t>
            </w:r>
          </w:p>
        </w:tc>
        <w:tc>
          <w:tcPr>
            <w:tcW w:type="dxa" w:w="655"/>
            <w:tcMar>
              <w:top w:type="dxa" w:w="50"/>
              <w:left w:type="dxa" w:w="80"/>
              <w:bottom w:type="dxa" w:w="50"/>
              <w:right w:type="dxa" w:w="80"/>
            </w:tcMar>
          </w:tcPr>
          <w:p>
            <w:r>
              <w:rPr>
                <w:rFonts w:ascii="Arial" w:cs="Arial" w:eastAsia="Arial" w:hAnsi="Arial"/>
                <w:sz w:val="13"/>
                <w:szCs w:val="13"/>
              </w:rPr>
              <w:t xml:space="preserve">CJ1 / CJ2</w:t>
            </w:r>
          </w:p>
        </w:tc>
        <w:tc>
          <w:tcPr>
            <w:tcW w:type="dxa" w:w="936"/>
            <w:tcMar>
              <w:top w:type="dxa" w:w="50"/>
              <w:left w:type="dxa" w:w="80"/>
              <w:bottom w:type="dxa" w:w="50"/>
              <w:right w:type="dxa" w:w="80"/>
            </w:tcMar>
          </w:tcPr>
          <w:p>
            <w:r>
              <w:rPr>
                <w:rFonts w:ascii="Arial" w:cs="Arial" w:eastAsia="Arial" w:hAnsi="Arial"/>
                <w:sz w:val="13"/>
                <w:szCs w:val="13"/>
              </w:rPr>
              <w:t xml:space="preserve">Unsafe clinical decisions, billing errors</w:t>
            </w:r>
          </w:p>
        </w:tc>
        <w:tc>
          <w:tcPr>
            <w:tcW w:type="dxa" w:w="748"/>
            <w:tcMar>
              <w:top w:type="dxa" w:w="50"/>
              <w:left w:type="dxa" w:w="80"/>
              <w:bottom w:type="dxa" w:w="50"/>
              <w:right w:type="dxa" w:w="80"/>
            </w:tcMar>
          </w:tcPr>
          <w:p>
            <w:r>
              <w:rPr>
                <w:rFonts w:ascii="Arial" w:cs="Arial" w:eastAsia="Arial" w:hAnsi="Arial"/>
                <w:sz w:val="13"/>
                <w:szCs w:val="13"/>
              </w:rPr>
              <w:t xml:space="preserve">MED-CYR-13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(S10)</w:t>
            </w:r>
          </w:p>
        </w:tc>
        <w:tc>
          <w:tcPr>
            <w:tcW w:type="dxa" w:w="2249"/>
            <w:tcMar>
              <w:top w:type="dxa" w:w="50"/>
              <w:left w:type="dxa" w:w="80"/>
              <w:bottom w:type="dxa" w:w="50"/>
              <w:right w:type="dxa" w:w="80"/>
            </w:tcMar>
          </w:tcPr>
          <w:p>
            <w:r>
              <w:rPr>
                <w:rFonts w:ascii="Arial" w:cs="Arial" w:eastAsia="Arial" w:hAnsi="Arial"/>
                <w:sz w:val="13"/>
                <w:szCs w:val="13"/>
              </w:rPr>
              <w:t xml:space="preserve">Lower likelihood but severe patient-safety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C13</w:t>
            </w:r>
          </w:p>
        </w:tc>
        <w:tc>
          <w:tcPr>
            <w:tcW w:type="dxa" w:w="1404"/>
            <w:tcMar>
              <w:top w:type="dxa" w:w="50"/>
              <w:left w:type="dxa" w:w="80"/>
              <w:bottom w:type="dxa" w:w="50"/>
              <w:right w:type="dxa" w:w="80"/>
            </w:tcMar>
          </w:tcPr>
          <w:p>
            <w:r>
              <w:rPr>
                <w:rFonts w:ascii="Arial" w:cs="Arial" w:eastAsia="Arial" w:hAnsi="Arial"/>
                <w:sz w:val="13"/>
                <w:szCs w:val="13"/>
              </w:rPr>
              <w:t xml:space="preserve">Compromise of a vendor with remote access to MediBec systems</w:t>
            </w:r>
          </w:p>
        </w:tc>
        <w:tc>
          <w:tcPr>
            <w:tcW w:type="dxa" w:w="842"/>
            <w:tcMar>
              <w:top w:type="dxa" w:w="50"/>
              <w:left w:type="dxa" w:w="80"/>
              <w:bottom w:type="dxa" w:w="50"/>
              <w:right w:type="dxa" w:w="80"/>
            </w:tcMar>
          </w:tcPr>
          <w:p>
            <w:r>
              <w:rPr>
                <w:rFonts w:ascii="Arial" w:cs="Arial" w:eastAsia="Arial" w:hAnsi="Arial"/>
                <w:sz w:val="13"/>
                <w:szCs w:val="13"/>
              </w:rPr>
              <w:t xml:space="preserve">Supply-chain attacker</w:t>
            </w:r>
          </w:p>
        </w:tc>
        <w:tc>
          <w:tcPr>
            <w:tcW w:type="dxa" w:w="1310"/>
            <w:tcMar>
              <w:top w:type="dxa" w:w="50"/>
              <w:left w:type="dxa" w:w="80"/>
              <w:bottom w:type="dxa" w:w="50"/>
              <w:right w:type="dxa" w:w="80"/>
            </w:tcMar>
          </w:tcPr>
          <w:p>
            <w:r>
              <w:rPr>
                <w:rFonts w:ascii="Arial" w:cs="Arial" w:eastAsia="Arial" w:hAnsi="Arial"/>
                <w:sz w:val="13"/>
                <w:szCs w:val="13"/>
              </w:rPr>
              <w:t xml:space="preserve">Standing vendor access, limited assurance</w:t>
            </w:r>
          </w:p>
        </w:tc>
        <w:tc>
          <w:tcPr>
            <w:tcW w:type="dxa" w:w="655"/>
            <w:tcMar>
              <w:top w:type="dxa" w:w="50"/>
              <w:left w:type="dxa" w:w="80"/>
              <w:bottom w:type="dxa" w:w="50"/>
              <w:right w:type="dxa" w:w="80"/>
            </w:tcMar>
          </w:tcPr>
          <w:p>
            <w:r>
              <w:rPr>
                <w:rFonts w:ascii="Arial" w:cs="Arial" w:eastAsia="Arial" w:hAnsi="Arial"/>
                <w:sz w:val="13"/>
                <w:szCs w:val="13"/>
              </w:rPr>
              <w:t xml:space="preserve">CJ1 / CJ2 / CJ8</w:t>
            </w:r>
          </w:p>
        </w:tc>
        <w:tc>
          <w:tcPr>
            <w:tcW w:type="dxa" w:w="936"/>
            <w:tcMar>
              <w:top w:type="dxa" w:w="50"/>
              <w:left w:type="dxa" w:w="80"/>
              <w:bottom w:type="dxa" w:w="50"/>
              <w:right w:type="dxa" w:w="80"/>
            </w:tcMar>
          </w:tcPr>
          <w:p>
            <w:r>
              <w:rPr>
                <w:rFonts w:ascii="Arial" w:cs="Arial" w:eastAsia="Arial" w:hAnsi="Arial"/>
                <w:sz w:val="13"/>
                <w:szCs w:val="13"/>
              </w:rPr>
              <w:t xml:space="preserve">Trusted-path intrusion</w:t>
            </w:r>
          </w:p>
        </w:tc>
        <w:tc>
          <w:tcPr>
            <w:tcW w:type="dxa" w:w="748"/>
            <w:tcMar>
              <w:top w:type="dxa" w:w="50"/>
              <w:left w:type="dxa" w:w="80"/>
              <w:bottom w:type="dxa" w:w="50"/>
              <w:right w:type="dxa" w:w="80"/>
            </w:tcMar>
          </w:tcPr>
          <w:p>
            <w:r>
              <w:rPr>
                <w:rFonts w:ascii="Arial" w:cs="Arial" w:eastAsia="Arial" w:hAnsi="Arial"/>
                <w:sz w:val="13"/>
                <w:szCs w:val="13"/>
              </w:rPr>
              <w:t xml:space="preserve">MED-CYR-14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(S9)</w:t>
            </w:r>
          </w:p>
        </w:tc>
        <w:tc>
          <w:tcPr>
            <w:tcW w:type="dxa" w:w="2249"/>
            <w:tcMar>
              <w:top w:type="dxa" w:w="50"/>
              <w:left w:type="dxa" w:w="80"/>
              <w:bottom w:type="dxa" w:w="50"/>
              <w:right w:type="dxa" w:w="80"/>
            </w:tcMar>
          </w:tcPr>
          <w:p>
            <w:r>
              <w:rPr>
                <w:rFonts w:ascii="Arial" w:cs="Arial" w:eastAsia="Arial" w:hAnsi="Arial"/>
                <w:sz w:val="13"/>
                <w:szCs w:val="13"/>
              </w:rPr>
              <w:t xml:space="preserve">Many critical vendors (EHR, devices, cloud); controls largely absent.</w:t>
            </w:r>
          </w:p>
        </w:tc>
      </w:tr>
      <w:tr>
        <w:tc>
          <w:tcPr>
            <w:tcW w:type="dxa" w:w="374"/>
            <w:tcMar>
              <w:top w:type="dxa" w:w="50"/>
              <w:left w:type="dxa" w:w="80"/>
              <w:bottom w:type="dxa" w:w="50"/>
              <w:right w:type="dxa" w:w="80"/>
            </w:tcMar>
          </w:tcPr>
          <w:p>
            <w:r>
              <w:rPr>
                <w:rFonts w:ascii="Arial" w:cs="Arial" w:eastAsia="Arial" w:hAnsi="Arial"/>
                <w:sz w:val="13"/>
                <w:szCs w:val="13"/>
              </w:rPr>
              <w:t xml:space="preserve">C14</w:t>
            </w:r>
          </w:p>
        </w:tc>
        <w:tc>
          <w:tcPr>
            <w:tcW w:type="dxa" w:w="1404"/>
            <w:tcMar>
              <w:top w:type="dxa" w:w="50"/>
              <w:left w:type="dxa" w:w="80"/>
              <w:bottom w:type="dxa" w:w="50"/>
              <w:right w:type="dxa" w:w="80"/>
            </w:tcMar>
          </w:tcPr>
          <w:p>
            <w:r>
              <w:rPr>
                <w:rFonts w:ascii="Arial" w:cs="Arial" w:eastAsia="Arial" w:hAnsi="Arial"/>
                <w:sz w:val="13"/>
                <w:szCs w:val="13"/>
              </w:rPr>
              <w:t xml:space="preserve">Untested incident response plan causes poor coordination</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No tabletop evidence across clinics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Slow, uncoordinated response</w:t>
            </w:r>
          </w:p>
        </w:tc>
        <w:tc>
          <w:tcPr>
            <w:tcW w:type="dxa" w:w="748"/>
            <w:tcMar>
              <w:top w:type="dxa" w:w="50"/>
              <w:left w:type="dxa" w:w="80"/>
              <w:bottom w:type="dxa" w:w="50"/>
              <w:right w:type="dxa" w:w="80"/>
            </w:tcMar>
          </w:tcPr>
          <w:p>
            <w:r>
              <w:rPr>
                <w:rFonts w:ascii="Arial" w:cs="Arial" w:eastAsia="Arial" w:hAnsi="Arial"/>
                <w:sz w:val="13"/>
                <w:szCs w:val="13"/>
              </w:rPr>
              <w:t xml:space="preserve">MED-CYR-15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A resilience condition rather than a threat; combined with detection into one response-capacity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C15</w:t>
            </w:r>
          </w:p>
        </w:tc>
        <w:tc>
          <w:tcPr>
            <w:tcW w:type="dxa" w:w="1404"/>
            <w:tcMar>
              <w:top w:type="dxa" w:w="50"/>
              <w:left w:type="dxa" w:w="80"/>
              <w:bottom w:type="dxa" w:w="50"/>
              <w:right w:type="dxa" w:w="80"/>
            </w:tcMar>
          </w:tcPr>
          <w:p>
            <w:r>
              <w:rPr>
                <w:rFonts w:ascii="Arial" w:cs="Arial" w:eastAsia="Arial" w:hAnsi="Arial"/>
                <w:sz w:val="13"/>
                <w:szCs w:val="13"/>
              </w:rPr>
              <w:t xml:space="preserve">Over-privileged service account (ehr-sync-svc) abused for mass extraction</w:t>
            </w:r>
          </w:p>
        </w:tc>
        <w:tc>
          <w:tcPr>
            <w:tcW w:type="dxa" w:w="842"/>
            <w:tcMar>
              <w:top w:type="dxa" w:w="50"/>
              <w:left w:type="dxa" w:w="80"/>
              <w:bottom w:type="dxa" w:w="50"/>
              <w:right w:type="dxa" w:w="80"/>
            </w:tcMar>
          </w:tcPr>
          <w:p>
            <w:r>
              <w:rPr>
                <w:rFonts w:ascii="Arial" w:cs="Arial" w:eastAsia="Arial" w:hAnsi="Arial"/>
                <w:sz w:val="13"/>
                <w:szCs w:val="13"/>
              </w:rPr>
              <w:t xml:space="preserve">External 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Service account privileges, no vaulting</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Mass PHI extraction</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S5</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(privileged and legitimate-access misuse).</w:t>
            </w:r>
          </w:p>
        </w:tc>
      </w:tr>
      <w:tr>
        <w:tc>
          <w:tcPr>
            <w:tcW w:type="dxa" w:w="374"/>
            <w:tcMar>
              <w:top w:type="dxa" w:w="50"/>
              <w:left w:type="dxa" w:w="80"/>
              <w:bottom w:type="dxa" w:w="50"/>
              <w:right w:type="dxa" w:w="80"/>
            </w:tcMar>
          </w:tcPr>
          <w:p>
            <w:r>
              <w:rPr>
                <w:rFonts w:ascii="Arial" w:cs="Arial" w:eastAsia="Arial" w:hAnsi="Arial"/>
                <w:sz w:val="13"/>
                <w:szCs w:val="13"/>
              </w:rPr>
              <w:t xml:space="preserve">C16</w:t>
            </w:r>
          </w:p>
        </w:tc>
        <w:tc>
          <w:tcPr>
            <w:tcW w:type="dxa" w:w="1404"/>
            <w:tcMar>
              <w:top w:type="dxa" w:w="50"/>
              <w:left w:type="dxa" w:w="80"/>
              <w:bottom w:type="dxa" w:w="50"/>
              <w:right w:type="dxa" w:w="80"/>
            </w:tcMar>
          </w:tcPr>
          <w:p>
            <w:r>
              <w:rPr>
                <w:rFonts w:ascii="Arial" w:cs="Arial" w:eastAsia="Arial" w:hAnsi="Arial"/>
                <w:sz w:val="13"/>
                <w:szCs w:val="13"/>
              </w:rPr>
              <w:t xml:space="preserve">Montreal data centre or WAN outage isolates all clinics</w:t>
            </w:r>
          </w:p>
        </w:tc>
        <w:tc>
          <w:tcPr>
            <w:tcW w:type="dxa" w:w="842"/>
            <w:tcMar>
              <w:top w:type="dxa" w:w="50"/>
              <w:left w:type="dxa" w:w="80"/>
              <w:bottom w:type="dxa" w:w="50"/>
              <w:right w:type="dxa" w:w="80"/>
            </w:tcMar>
          </w:tcPr>
          <w:p>
            <w:r>
              <w:rPr>
                <w:rFonts w:ascii="Arial" w:cs="Arial" w:eastAsia="Arial" w:hAnsi="Arial"/>
                <w:sz w:val="13"/>
                <w:szCs w:val="13"/>
              </w:rPr>
              <w:t xml:space="preserve">Accidental / environmental</w:t>
            </w:r>
          </w:p>
        </w:tc>
        <w:tc>
          <w:tcPr>
            <w:tcW w:type="dxa" w:w="1310"/>
            <w:tcMar>
              <w:top w:type="dxa" w:w="50"/>
              <w:left w:type="dxa" w:w="80"/>
              <w:bottom w:type="dxa" w:w="50"/>
              <w:right w:type="dxa" w:w="80"/>
            </w:tcMar>
          </w:tcPr>
          <w:p>
            <w:r>
              <w:rPr>
                <w:rFonts w:ascii="Arial" w:cs="Arial" w:eastAsia="Arial" w:hAnsi="Arial"/>
                <w:sz w:val="13"/>
                <w:szCs w:val="13"/>
              </w:rPr>
              <w:t xml:space="preserve">Single hub dependency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Enterprise-wide outage</w:t>
            </w:r>
          </w:p>
        </w:tc>
        <w:tc>
          <w:tcPr>
            <w:tcW w:type="dxa" w:w="748"/>
            <w:tcMar>
              <w:top w:type="dxa" w:w="50"/>
              <w:left w:type="dxa" w:w="80"/>
              <w:bottom w:type="dxa" w:w="50"/>
              <w:right w:type="dxa" w:w="80"/>
            </w:tcMar>
          </w:tcPr>
          <w:p>
            <w:r>
              <w:rPr>
                <w:rFonts w:ascii="Arial" w:cs="Arial" w:eastAsia="Arial" w:hAnsi="Arial"/>
                <w:sz w:val="13"/>
                <w:szCs w:val="13"/>
              </w:rPr>
              <w:t xml:space="preserve">Annex B #49</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Non-malicious availability risk; better handled in BCP/DR review. Shares recovery controls with S3.</w:t>
            </w:r>
          </w:p>
        </w:tc>
      </w:tr>
      <w:tr>
        <w:tc>
          <w:tcPr>
            <w:tcW w:type="dxa" w:w="374"/>
            <w:tcMar>
              <w:top w:type="dxa" w:w="50"/>
              <w:left w:type="dxa" w:w="80"/>
              <w:bottom w:type="dxa" w:w="50"/>
              <w:right w:type="dxa" w:w="80"/>
            </w:tcMar>
          </w:tcPr>
          <w:p>
            <w:r>
              <w:rPr>
                <w:rFonts w:ascii="Arial" w:cs="Arial" w:eastAsia="Arial" w:hAnsi="Arial"/>
                <w:sz w:val="13"/>
                <w:szCs w:val="13"/>
              </w:rPr>
              <w:t xml:space="preserve">C17</w:t>
            </w:r>
          </w:p>
        </w:tc>
        <w:tc>
          <w:tcPr>
            <w:tcW w:type="dxa" w:w="1404"/>
            <w:tcMar>
              <w:top w:type="dxa" w:w="50"/>
              <w:left w:type="dxa" w:w="80"/>
              <w:bottom w:type="dxa" w:w="50"/>
              <w:right w:type="dxa" w:w="80"/>
            </w:tcMar>
          </w:tcPr>
          <w:p>
            <w:r>
              <w:rPr>
                <w:rFonts w:ascii="Arial" w:cs="Arial" w:eastAsia="Arial" w:hAnsi="Arial"/>
                <w:sz w:val="13"/>
                <w:szCs w:val="13"/>
              </w:rPr>
              <w:t xml:space="preserve">Unmanaged copies on local clinic storage units exposed</w:t>
            </w:r>
          </w:p>
        </w:tc>
        <w:tc>
          <w:tcPr>
            <w:tcW w:type="dxa" w:w="842"/>
            <w:tcMar>
              <w:top w:type="dxa" w:w="50"/>
              <w:left w:type="dxa" w:w="80"/>
              <w:bottom w:type="dxa" w:w="50"/>
              <w:right w:type="dxa" w:w="80"/>
            </w:tcMar>
          </w:tcPr>
          <w:p>
            <w:r>
              <w:rPr>
                <w:rFonts w:ascii="Arial" w:cs="Arial" w:eastAsia="Arial" w:hAnsi="Arial"/>
                <w:sz w:val="13"/>
                <w:szCs w:val="13"/>
              </w:rPr>
              <w:t xml:space="preserve">Theft / insider</w:t>
            </w:r>
          </w:p>
        </w:tc>
        <w:tc>
          <w:tcPr>
            <w:tcW w:type="dxa" w:w="1310"/>
            <w:tcMar>
              <w:top w:type="dxa" w:w="50"/>
              <w:left w:type="dxa" w:w="80"/>
              <w:bottom w:type="dxa" w:w="50"/>
              <w:right w:type="dxa" w:w="80"/>
            </w:tcMar>
          </w:tcPr>
          <w:p>
            <w:r>
              <w:rPr>
                <w:rFonts w:ascii="Arial" w:cs="Arial" w:eastAsia="Arial" w:hAnsi="Arial"/>
                <w:sz w:val="13"/>
                <w:szCs w:val="13"/>
              </w:rPr>
              <w:t xml:space="preserve">Data sprawl, local storage outside central controls</w:t>
            </w:r>
          </w:p>
        </w:tc>
        <w:tc>
          <w:tcPr>
            <w:tcW w:type="dxa" w:w="655"/>
            <w:tcMar>
              <w:top w:type="dxa" w:w="50"/>
              <w:left w:type="dxa" w:w="80"/>
              <w:bottom w:type="dxa" w:w="50"/>
              <w:right w:type="dxa" w:w="80"/>
            </w:tcMar>
          </w:tcPr>
          <w:p>
            <w:r>
              <w:rPr>
                <w:rFonts w:ascii="Arial" w:cs="Arial" w:eastAsia="Arial" w:hAnsi="Arial"/>
                <w:sz w:val="13"/>
                <w:szCs w:val="13"/>
              </w:rPr>
              <w:t xml:space="preserve">Clinic storage</w:t>
            </w:r>
          </w:p>
        </w:tc>
        <w:tc>
          <w:tcPr>
            <w:tcW w:type="dxa" w:w="936"/>
            <w:tcMar>
              <w:top w:type="dxa" w:w="50"/>
              <w:left w:type="dxa" w:w="80"/>
              <w:bottom w:type="dxa" w:w="50"/>
              <w:right w:type="dxa" w:w="80"/>
            </w:tcMar>
          </w:tcPr>
          <w:p>
            <w:r>
              <w:rPr>
                <w:rFonts w:ascii="Arial" w:cs="Arial" w:eastAsia="Arial" w:hAnsi="Arial"/>
                <w:sz w:val="13"/>
                <w:szCs w:val="13"/>
              </w:rPr>
              <w:t xml:space="preserve">Local data breach</w:t>
            </w:r>
          </w:p>
        </w:tc>
        <w:tc>
          <w:tcPr>
            <w:tcW w:type="dxa" w:w="748"/>
            <w:tcMar>
              <w:top w:type="dxa" w:w="50"/>
              <w:left w:type="dxa" w:w="80"/>
              <w:bottom w:type="dxa" w:w="50"/>
              <w:right w:type="dxa" w:w="80"/>
            </w:tcMar>
          </w:tcPr>
          <w:p>
            <w:r>
              <w:rPr>
                <w:rFonts w:ascii="Arial" w:cs="Arial" w:eastAsia="Arial" w:hAnsi="Arial"/>
                <w:sz w:val="13"/>
                <w:szCs w:val="13"/>
              </w:rPr>
              <w:t xml:space="preserve">Annex B #55</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Encryption documented (E2); exposure absorbed into S2/S3 scope.</w:t>
            </w:r>
          </w:p>
        </w:tc>
      </w:tr>
      <w:tr>
        <w:tc>
          <w:tcPr>
            <w:tcW w:type="dxa" w:w="374"/>
            <w:tcMar>
              <w:top w:type="dxa" w:w="50"/>
              <w:left w:type="dxa" w:w="80"/>
              <w:bottom w:type="dxa" w:w="50"/>
              <w:right w:type="dxa" w:w="80"/>
            </w:tcMar>
          </w:tcPr>
          <w:p>
            <w:r>
              <w:rPr>
                <w:rFonts w:ascii="Arial" w:cs="Arial" w:eastAsia="Arial" w:hAnsi="Arial"/>
                <w:sz w:val="13"/>
                <w:szCs w:val="13"/>
              </w:rPr>
              <w:t xml:space="preserve">C18</w:t>
            </w:r>
          </w:p>
        </w:tc>
        <w:tc>
          <w:tcPr>
            <w:tcW w:type="dxa" w:w="1404"/>
            <w:tcMar>
              <w:top w:type="dxa" w:w="50"/>
              <w:left w:type="dxa" w:w="80"/>
              <w:bottom w:type="dxa" w:w="50"/>
              <w:right w:type="dxa" w:w="80"/>
            </w:tcMar>
          </w:tcPr>
          <w:p>
            <w:r>
              <w:rPr>
                <w:rFonts w:ascii="Arial" w:cs="Arial" w:eastAsia="Arial" w:hAnsi="Arial"/>
                <w:sz w:val="13"/>
                <w:szCs w:val="13"/>
              </w:rPr>
              <w:t xml:space="preserve">Business e-mail compromise diverts billing payments</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Weak payment verification</w:t>
            </w:r>
          </w:p>
        </w:tc>
        <w:tc>
          <w:tcPr>
            <w:tcW w:type="dxa" w:w="655"/>
            <w:tcMar>
              <w:top w:type="dxa" w:w="50"/>
              <w:left w:type="dxa" w:w="80"/>
              <w:bottom w:type="dxa" w:w="50"/>
              <w:right w:type="dxa" w:w="80"/>
            </w:tcMar>
          </w:tcPr>
          <w:p>
            <w:r>
              <w:rPr>
                <w:rFonts w:ascii="Arial" w:cs="Arial" w:eastAsia="Arial" w:hAnsi="Arial"/>
                <w:sz w:val="13"/>
                <w:szCs w:val="13"/>
              </w:rPr>
              <w:t xml:space="preserve">CJ4</w:t>
            </w:r>
          </w:p>
        </w:tc>
        <w:tc>
          <w:tcPr>
            <w:tcW w:type="dxa" w:w="936"/>
            <w:tcMar>
              <w:top w:type="dxa" w:w="50"/>
              <w:left w:type="dxa" w:w="80"/>
              <w:bottom w:type="dxa" w:w="50"/>
              <w:right w:type="dxa" w:w="80"/>
            </w:tcMar>
          </w:tcPr>
          <w:p>
            <w:r>
              <w:rPr>
                <w:rFonts w:ascii="Arial" w:cs="Arial" w:eastAsia="Arial" w:hAnsi="Arial"/>
                <w:sz w:val="13"/>
                <w:szCs w:val="13"/>
              </w:rPr>
              <w:t xml:space="preserve">Financial loss</w:t>
            </w:r>
          </w:p>
        </w:tc>
        <w:tc>
          <w:tcPr>
            <w:tcW w:type="dxa" w:w="748"/>
            <w:tcMar>
              <w:top w:type="dxa" w:w="50"/>
              <w:left w:type="dxa" w:w="80"/>
              <w:bottom w:type="dxa" w:w="50"/>
              <w:right w:type="dxa" w:w="80"/>
            </w:tcMar>
          </w:tcPr>
          <w:p>
            <w:r>
              <w:rPr>
                <w:rFonts w:ascii="Arial" w:cs="Arial" w:eastAsia="Arial" w:hAnsi="Arial"/>
                <w:sz w:val="13"/>
                <w:szCs w:val="13"/>
              </w:rPr>
              <w:t xml:space="preserve">Annex B #71</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Financial only; lower mission impact than selected scenarios.</w:t>
            </w:r>
          </w:p>
        </w:tc>
      </w:tr>
      <w:tr>
        <w:tc>
          <w:tcPr>
            <w:tcW w:type="dxa" w:w="374"/>
            <w:tcMar>
              <w:top w:type="dxa" w:w="50"/>
              <w:left w:type="dxa" w:w="80"/>
              <w:bottom w:type="dxa" w:w="50"/>
              <w:right w:type="dxa" w:w="80"/>
            </w:tcMar>
          </w:tcPr>
          <w:p>
            <w:r>
              <w:rPr>
                <w:rFonts w:ascii="Arial" w:cs="Arial" w:eastAsia="Arial" w:hAnsi="Arial"/>
                <w:sz w:val="13"/>
                <w:szCs w:val="13"/>
              </w:rPr>
              <w:t xml:space="preserve">C19</w:t>
            </w:r>
          </w:p>
        </w:tc>
        <w:tc>
          <w:tcPr>
            <w:tcW w:type="dxa" w:w="1404"/>
            <w:tcMar>
              <w:top w:type="dxa" w:w="50"/>
              <w:left w:type="dxa" w:w="80"/>
              <w:bottom w:type="dxa" w:w="50"/>
              <w:right w:type="dxa" w:w="80"/>
            </w:tcMar>
          </w:tcPr>
          <w:p>
            <w:r>
              <w:rPr>
                <w:rFonts w:ascii="Arial" w:cs="Arial" w:eastAsia="Arial" w:hAnsi="Arial"/>
                <w:sz w:val="13"/>
                <w:szCs w:val="13"/>
              </w:rPr>
              <w:t xml:space="preserve">Lost or stolen tablet or handheld with patient data</w:t>
            </w:r>
          </w:p>
        </w:tc>
        <w:tc>
          <w:tcPr>
            <w:tcW w:type="dxa" w:w="842"/>
            <w:tcMar>
              <w:top w:type="dxa" w:w="50"/>
              <w:left w:type="dxa" w:w="80"/>
              <w:bottom w:type="dxa" w:w="50"/>
              <w:right w:type="dxa" w:w="80"/>
            </w:tcMar>
          </w:tcPr>
          <w:p>
            <w:r>
              <w:rPr>
                <w:rFonts w:ascii="Arial" w:cs="Arial" w:eastAsia="Arial" w:hAnsi="Arial"/>
                <w:sz w:val="13"/>
                <w:szCs w:val="13"/>
              </w:rPr>
              <w:t xml:space="preserve">Opportunistic thief</w:t>
            </w:r>
          </w:p>
        </w:tc>
        <w:tc>
          <w:tcPr>
            <w:tcW w:type="dxa" w:w="1310"/>
            <w:tcMar>
              <w:top w:type="dxa" w:w="50"/>
              <w:left w:type="dxa" w:w="80"/>
              <w:bottom w:type="dxa" w:w="50"/>
              <w:right w:type="dxa" w:w="80"/>
            </w:tcMar>
          </w:tcPr>
          <w:p>
            <w:r>
              <w:rPr>
                <w:rFonts w:ascii="Arial" w:cs="Arial" w:eastAsia="Arial" w:hAnsi="Arial"/>
                <w:sz w:val="13"/>
                <w:szCs w:val="13"/>
              </w:rPr>
              <w:t xml:space="preserve">Mobile device management not evidenced</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Limited data exposure</w:t>
            </w:r>
          </w:p>
        </w:tc>
        <w:tc>
          <w:tcPr>
            <w:tcW w:type="dxa" w:w="748"/>
            <w:tcMar>
              <w:top w:type="dxa" w:w="50"/>
              <w:left w:type="dxa" w:w="80"/>
              <w:bottom w:type="dxa" w:w="50"/>
              <w:right w:type="dxa" w:w="80"/>
            </w:tcMar>
          </w:tcPr>
          <w:p>
            <w:r>
              <w:rPr>
                <w:rFonts w:ascii="Arial" w:cs="Arial" w:eastAsia="Arial" w:hAnsi="Arial"/>
                <w:sz w:val="13"/>
                <w:szCs w:val="13"/>
              </w:rPr>
              <w:t xml:space="preserve">Annex B #7</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Lower volume of records; standard MDM control.</w:t>
            </w:r>
          </w:p>
        </w:tc>
      </w:tr>
      <w:tr>
        <w:tc>
          <w:tcPr>
            <w:tcW w:type="dxa" w:w="374"/>
            <w:tcMar>
              <w:top w:type="dxa" w:w="50"/>
              <w:left w:type="dxa" w:w="80"/>
              <w:bottom w:type="dxa" w:w="50"/>
              <w:right w:type="dxa" w:w="80"/>
            </w:tcMar>
          </w:tcPr>
          <w:p>
            <w:r>
              <w:rPr>
                <w:rFonts w:ascii="Arial" w:cs="Arial" w:eastAsia="Arial" w:hAnsi="Arial"/>
                <w:sz w:val="13"/>
                <w:szCs w:val="13"/>
              </w:rPr>
              <w:t xml:space="preserve">C20</w:t>
            </w:r>
          </w:p>
        </w:tc>
        <w:tc>
          <w:tcPr>
            <w:tcW w:type="dxa" w:w="1404"/>
            <w:tcMar>
              <w:top w:type="dxa" w:w="50"/>
              <w:left w:type="dxa" w:w="80"/>
              <w:bottom w:type="dxa" w:w="50"/>
              <w:right w:type="dxa" w:w="80"/>
            </w:tcMar>
          </w:tcPr>
          <w:p>
            <w:r>
              <w:rPr>
                <w:rFonts w:ascii="Arial" w:cs="Arial" w:eastAsia="Arial" w:hAnsi="Arial"/>
                <w:sz w:val="13"/>
                <w:szCs w:val="13"/>
              </w:rPr>
              <w:t xml:space="preserve">MFA push-fatigue bypass of remote access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approval without number matching</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w:t>
            </w:r>
          </w:p>
        </w:tc>
        <w:tc>
          <w:tcPr>
            <w:tcW w:type="dxa" w:w="2249"/>
            <w:tcMar>
              <w:top w:type="dxa" w:w="50"/>
              <w:left w:type="dxa" w:w="80"/>
              <w:bottom w:type="dxa" w:w="50"/>
              <w:right w:type="dxa" w:w="80"/>
            </w:tcMar>
          </w:tcPr>
          <w:p>
            <w:r>
              <w:rPr>
                <w:rFonts w:ascii="Arial" w:cs="Arial" w:eastAsia="Arial" w:hAnsi="Arial"/>
                <w:sz w:val="13"/>
                <w:szCs w:val="13"/>
              </w:rPr>
              <w:t xml:space="preserve">Same causal chain as C01.</w:t>
            </w:r>
          </w:p>
        </w:tc>
      </w:tr>
    </w:tbl>
    <w:p>
      <w:pPr>
        <w:spacing w:after="80"/>
      </w:pPr>
    </w:p>
    <w:p>
      <w:pPr>
        <w:spacing w:after="120"/>
      </w:pPr>
      <w:r>
        <w:rPr>
          <w:rFonts w:ascii="Arial" w:cs="Arial" w:eastAsia="Arial" w:hAnsi="Arial"/>
          <w:b/>
          <w:bCs/>
        </w:rPr>
        <w:t xml:space="preserve">Screening criteria:</w:t>
      </w:r>
      <w:r>
        <w:rPr>
          <w:rFonts w:ascii="Arial" w:cs="Arial" w:eastAsia="Arial" w:hAnsi="Arial"/>
        </w:rPr>
        <w:t xml:space="preserve"> plausibility over 12 months, consequence severity (patient safety and privacy weighted highest), evidence of exposure in the case, uniqueness of the causal chain, regulatory and operational significance. Five candidates were merged into selected scenarios to avoid duplication; five were not selected because of lower consequence, thin evidence or a non-malicious cause. CVSS played no role in selection.</w:t>
      </w:r>
    </w:p>
    <w:p>
      <w:pPr>
        <w:pStyle w:val="Heading1"/>
        <w:pageBreakBefore/>
      </w:pPr>
      <w:r>
        <w:rPr>
          <w:rFonts w:ascii="Arial" w:cs="Arial" w:eastAsia="Arial" w:hAnsi="Arial"/>
        </w:rPr>
        <w:t xml:space="preserve">6. Risk scenario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561"/>
        <w:gridCol w:w="748"/>
        <w:gridCol w:w="748"/>
        <w:gridCol w:w="748"/>
        <w:gridCol w:w="655"/>
        <w:gridCol w:w="1216"/>
        <w:gridCol w:w="1502"/>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56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CVSS-B</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Tolerated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Residual</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Res / Tol</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Status</w:t>
            </w:r>
          </w:p>
        </w:tc>
        <w:tc>
          <w:tcPr>
            <w:tcW w:type="dxa" w:w="150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Key treatment</w:t>
            </w:r>
          </w:p>
        </w:tc>
      </w:tr>
      <w:tr>
        <w:tc>
          <w:tcPr>
            <w:tcW w:type="dxa" w:w="374"/>
            <w:tcMar>
              <w:top w:type="dxa" w:w="50"/>
              <w:left w:type="dxa" w:w="80"/>
              <w:bottom w:type="dxa" w:w="50"/>
              <w:right w:type="dxa" w:w="80"/>
            </w:tcMar>
          </w:tcPr>
          <w:p>
            <w:r>
              <w:rPr>
                <w:rFonts w:ascii="Arial" w:cs="Arial" w:eastAsia="Arial" w:hAnsi="Arial"/>
                <w:sz w:val="14"/>
                <w:szCs w:val="14"/>
              </w:rPr>
              <w:t xml:space="preserve">S1</w:t>
            </w:r>
          </w:p>
        </w:tc>
        <w:tc>
          <w:tcPr>
            <w:tcW w:type="dxa" w:w="2808"/>
            <w:tcMar>
              <w:top w:type="dxa" w:w="50"/>
              <w:left w:type="dxa" w:w="80"/>
              <w:bottom w:type="dxa" w:w="50"/>
              <w:right w:type="dxa" w:w="80"/>
            </w:tcMar>
          </w:tcPr>
          <w:p>
            <w:r>
              <w:rPr>
                <w:rFonts w:ascii="Arial" w:cs="Arial" w:eastAsia="Arial" w:hAnsi="Arial"/>
                <w:sz w:val="14"/>
                <w:szCs w:val="14"/>
              </w:rPr>
              <w:t xml:space="preserve">Credential compromise of clinical administrator accounts through phishing and MFA fatigue</w:t>
            </w:r>
          </w:p>
        </w:tc>
        <w:tc>
          <w:tcPr>
            <w:tcW w:type="dxa" w:w="561"/>
            <w:tcMar>
              <w:top w:type="dxa" w:w="50"/>
              <w:left w:type="dxa" w:w="80"/>
              <w:bottom w:type="dxa" w:w="50"/>
              <w:right w:type="dxa" w:w="80"/>
            </w:tcMar>
          </w:tcPr>
          <w:p>
            <w:r>
              <w:rPr>
                <w:rFonts w:ascii="Arial" w:cs="Arial" w:eastAsia="Arial" w:hAnsi="Arial"/>
                <w:sz w:val="14"/>
                <w:szCs w:val="14"/>
              </w:rPr>
              <w:t xml:space="preserve">9.3</w:t>
            </w:r>
          </w:p>
        </w:tc>
        <w:tc>
          <w:tcPr>
            <w:tcW w:type="dxa" w:w="748"/>
            <w:tcMar>
              <w:top w:type="dxa" w:w="50"/>
              <w:left w:type="dxa" w:w="80"/>
              <w:bottom w:type="dxa" w:w="50"/>
              <w:right w:type="dxa" w:w="80"/>
            </w:tcMar>
          </w:tcPr>
          <w:p>
            <w:r>
              <w:rPr>
                <w:rFonts w:ascii="Arial" w:cs="Arial" w:eastAsia="Arial" w:hAnsi="Arial"/>
                <w:sz w:val="14"/>
                <w:szCs w:val="14"/>
              </w:rPr>
              <w:t xml:space="preserve">6,467</w:t>
            </w:r>
          </w:p>
        </w:tc>
        <w:tc>
          <w:tcPr>
            <w:tcW w:type="dxa" w:w="748"/>
            <w:tcMar>
              <w:top w:type="dxa" w:w="50"/>
              <w:left w:type="dxa" w:w="80"/>
              <w:bottom w:type="dxa" w:w="50"/>
              <w:right w:type="dxa" w:w="80"/>
            </w:tcMar>
          </w:tcPr>
          <w:p>
            <w:r>
              <w:rPr>
                <w:rFonts w:ascii="Arial" w:cs="Arial" w:eastAsia="Arial" w:hAnsi="Arial"/>
                <w:sz w:val="14"/>
                <w:szCs w:val="14"/>
              </w:rPr>
              <w:t xml:space="preserve">2,772</w:t>
            </w:r>
          </w:p>
        </w:tc>
        <w:tc>
          <w:tcPr>
            <w:tcW w:type="dxa" w:w="748"/>
            <w:tcMar>
              <w:top w:type="dxa" w:w="50"/>
              <w:left w:type="dxa" w:w="80"/>
              <w:bottom w:type="dxa" w:w="50"/>
              <w:right w:type="dxa" w:w="80"/>
            </w:tcMar>
          </w:tcPr>
          <w:p>
            <w:r>
              <w:rPr>
                <w:rFonts w:ascii="Arial" w:cs="Arial" w:eastAsia="Arial" w:hAnsi="Arial"/>
                <w:sz w:val="14"/>
                <w:szCs w:val="14"/>
              </w:rPr>
              <w:t xml:space="preserve">2,587</w:t>
            </w:r>
          </w:p>
        </w:tc>
        <w:tc>
          <w:tcPr>
            <w:tcW w:type="dxa" w:w="655"/>
            <w:tcMar>
              <w:top w:type="dxa" w:w="50"/>
              <w:left w:type="dxa" w:w="80"/>
              <w:bottom w:type="dxa" w:w="50"/>
              <w:right w:type="dxa" w:w="80"/>
            </w:tcMar>
          </w:tcPr>
          <w:p>
            <w:r>
              <w:rPr>
                <w:rFonts w:ascii="Arial" w:cs="Arial" w:eastAsia="Arial" w:hAnsi="Arial"/>
                <w:sz w:val="14"/>
                <w:szCs w:val="14"/>
              </w:rPr>
              <w:t xml:space="preserve">0.93</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I01, I02, I03, I12</w:t>
            </w:r>
          </w:p>
        </w:tc>
      </w:tr>
      <w:tr>
        <w:tc>
          <w:tcPr>
            <w:tcW w:type="dxa" w:w="374"/>
            <w:tcMar>
              <w:top w:type="dxa" w:w="50"/>
              <w:left w:type="dxa" w:w="80"/>
              <w:bottom w:type="dxa" w:w="50"/>
              <w:right w:type="dxa" w:w="80"/>
            </w:tcMar>
          </w:tcPr>
          <w:p>
            <w:r>
              <w:rPr>
                <w:rFonts w:ascii="Arial" w:cs="Arial" w:eastAsia="Arial" w:hAnsi="Arial"/>
                <w:sz w:val="14"/>
                <w:szCs w:val="14"/>
              </w:rPr>
              <w:t xml:space="preserve">S2</w:t>
            </w:r>
          </w:p>
        </w:tc>
        <w:tc>
          <w:tcPr>
            <w:tcW w:type="dxa" w:w="2808"/>
            <w:tcMar>
              <w:top w:type="dxa" w:w="50"/>
              <w:left w:type="dxa" w:w="80"/>
              <w:bottom w:type="dxa" w:w="50"/>
              <w:right w:type="dxa" w:w="80"/>
            </w:tcMar>
          </w:tcPr>
          <w:p>
            <w:r>
              <w:rPr>
                <w:rFonts w:ascii="Arial" w:cs="Arial" w:eastAsia="Arial" w:hAnsi="Arial"/>
                <w:sz w:val="14"/>
                <w:szCs w:val="14"/>
              </w:rPr>
              <w:t xml:space="preserve">Ransomware disrupting EHR access and clinic operations across the network</w:t>
            </w:r>
          </w:p>
        </w:tc>
        <w:tc>
          <w:tcPr>
            <w:tcW w:type="dxa" w:w="561"/>
            <w:tcMar>
              <w:top w:type="dxa" w:w="50"/>
              <w:left w:type="dxa" w:w="80"/>
              <w:bottom w:type="dxa" w:w="50"/>
              <w:right w:type="dxa" w:w="80"/>
            </w:tcMar>
          </w:tcPr>
          <w:p>
            <w:r>
              <w:rPr>
                <w:rFonts w:ascii="Arial" w:cs="Arial" w:eastAsia="Arial" w:hAnsi="Arial"/>
                <w:sz w:val="14"/>
                <w:szCs w:val="14"/>
              </w:rPr>
              <w:t xml:space="preserve">9.3</w:t>
            </w:r>
          </w:p>
        </w:tc>
        <w:tc>
          <w:tcPr>
            <w:tcW w:type="dxa" w:w="748"/>
            <w:tcMar>
              <w:top w:type="dxa" w:w="50"/>
              <w:left w:type="dxa" w:w="80"/>
              <w:bottom w:type="dxa" w:w="50"/>
              <w:right w:type="dxa" w:w="80"/>
            </w:tcMar>
          </w:tcPr>
          <w:p>
            <w:r>
              <w:rPr>
                <w:rFonts w:ascii="Arial" w:cs="Arial" w:eastAsia="Arial" w:hAnsi="Arial"/>
                <w:sz w:val="14"/>
                <w:szCs w:val="14"/>
              </w:rPr>
              <w:t xml:space="preserve">7,810</w:t>
            </w:r>
          </w:p>
        </w:tc>
        <w:tc>
          <w:tcPr>
            <w:tcW w:type="dxa" w:w="748"/>
            <w:tcMar>
              <w:top w:type="dxa" w:w="50"/>
              <w:left w:type="dxa" w:w="80"/>
              <w:bottom w:type="dxa" w:w="50"/>
              <w:right w:type="dxa" w:w="80"/>
            </w:tcMar>
          </w:tcPr>
          <w:p>
            <w:r>
              <w:rPr>
                <w:rFonts w:ascii="Arial" w:cs="Arial" w:eastAsia="Arial" w:hAnsi="Arial"/>
                <w:sz w:val="14"/>
                <w:szCs w:val="14"/>
              </w:rPr>
              <w:t xml:space="preserve">2,840</w:t>
            </w:r>
          </w:p>
        </w:tc>
        <w:tc>
          <w:tcPr>
            <w:tcW w:type="dxa" w:w="748"/>
            <w:tcMar>
              <w:top w:type="dxa" w:w="50"/>
              <w:left w:type="dxa" w:w="80"/>
              <w:bottom w:type="dxa" w:w="50"/>
              <w:right w:type="dxa" w:w="80"/>
            </w:tcMar>
          </w:tcPr>
          <w:p>
            <w:r>
              <w:rPr>
                <w:rFonts w:ascii="Arial" w:cs="Arial" w:eastAsia="Arial" w:hAnsi="Arial"/>
                <w:sz w:val="14"/>
                <w:szCs w:val="14"/>
              </w:rPr>
              <w:t xml:space="preserve">3,417</w:t>
            </w:r>
          </w:p>
        </w:tc>
        <w:tc>
          <w:tcPr>
            <w:tcW w:type="dxa" w:w="655"/>
            <w:tcMar>
              <w:top w:type="dxa" w:w="50"/>
              <w:left w:type="dxa" w:w="80"/>
              <w:bottom w:type="dxa" w:w="50"/>
              <w:right w:type="dxa" w:w="80"/>
            </w:tcMar>
          </w:tcPr>
          <w:p>
            <w:r>
              <w:rPr>
                <w:rFonts w:ascii="Arial" w:cs="Arial" w:eastAsia="Arial" w:hAnsi="Arial"/>
                <w:sz w:val="14"/>
                <w:szCs w:val="14"/>
              </w:rPr>
              <w:t xml:space="preserve">1.20</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I02, I03, I04, I05, I06, I11, I12</w:t>
            </w:r>
          </w:p>
        </w:tc>
      </w:tr>
      <w:tr>
        <w:tc>
          <w:tcPr>
            <w:tcW w:type="dxa" w:w="374"/>
            <w:tcMar>
              <w:top w:type="dxa" w:w="50"/>
              <w:left w:type="dxa" w:w="80"/>
              <w:bottom w:type="dxa" w:w="50"/>
              <w:right w:type="dxa" w:w="80"/>
            </w:tcMar>
          </w:tcPr>
          <w:p>
            <w:r>
              <w:rPr>
                <w:rFonts w:ascii="Arial" w:cs="Arial" w:eastAsia="Arial" w:hAnsi="Arial"/>
                <w:sz w:val="14"/>
                <w:szCs w:val="14"/>
              </w:rPr>
              <w:t xml:space="preserve">S3</w:t>
            </w:r>
          </w:p>
        </w:tc>
        <w:tc>
          <w:tcPr>
            <w:tcW w:type="dxa" w:w="2808"/>
            <w:tcMar>
              <w:top w:type="dxa" w:w="50"/>
              <w:left w:type="dxa" w:w="80"/>
              <w:bottom w:type="dxa" w:w="50"/>
              <w:right w:type="dxa" w:w="80"/>
            </w:tcMar>
          </w:tcPr>
          <w:p>
            <w:r>
              <w:rPr>
                <w:rFonts w:ascii="Arial" w:cs="Arial" w:eastAsia="Arial" w:hAnsi="Arial"/>
                <w:sz w:val="14"/>
                <w:szCs w:val="14"/>
              </w:rPr>
              <w:t xml:space="preserve">Backup environment compromised, preventing recovery after a destructive attack</w:t>
            </w:r>
          </w:p>
        </w:tc>
        <w:tc>
          <w:tcPr>
            <w:tcW w:type="dxa" w:w="561"/>
            <w:tcMar>
              <w:top w:type="dxa" w:w="50"/>
              <w:left w:type="dxa" w:w="80"/>
              <w:bottom w:type="dxa" w:w="50"/>
              <w:right w:type="dxa" w:w="80"/>
            </w:tcMar>
          </w:tcPr>
          <w:p>
            <w:r>
              <w:rPr>
                <w:rFonts w:ascii="Arial" w:cs="Arial" w:eastAsia="Arial" w:hAnsi="Arial"/>
                <w:sz w:val="14"/>
                <w:szCs w:val="14"/>
              </w:rPr>
              <w:t xml:space="preserve">9.2</w:t>
            </w:r>
          </w:p>
        </w:tc>
        <w:tc>
          <w:tcPr>
            <w:tcW w:type="dxa" w:w="748"/>
            <w:tcMar>
              <w:top w:type="dxa" w:w="50"/>
              <w:left w:type="dxa" w:w="80"/>
              <w:bottom w:type="dxa" w:w="50"/>
              <w:right w:type="dxa" w:w="80"/>
            </w:tcMar>
          </w:tcPr>
          <w:p>
            <w:r>
              <w:rPr>
                <w:rFonts w:ascii="Arial" w:cs="Arial" w:eastAsia="Arial" w:hAnsi="Arial"/>
                <w:sz w:val="14"/>
                <w:szCs w:val="14"/>
              </w:rPr>
              <w:t xml:space="preserve">4,879</w:t>
            </w:r>
          </w:p>
        </w:tc>
        <w:tc>
          <w:tcPr>
            <w:tcW w:type="dxa" w:w="748"/>
            <w:tcMar>
              <w:top w:type="dxa" w:w="50"/>
              <w:left w:type="dxa" w:w="80"/>
              <w:bottom w:type="dxa" w:w="50"/>
              <w:right w:type="dxa" w:w="80"/>
            </w:tcMar>
          </w:tcPr>
          <w:p>
            <w:r>
              <w:rPr>
                <w:rFonts w:ascii="Arial" w:cs="Arial" w:eastAsia="Arial" w:hAnsi="Arial"/>
                <w:sz w:val="14"/>
                <w:szCs w:val="14"/>
              </w:rPr>
              <w:t xml:space="preserve">1,952</w:t>
            </w:r>
          </w:p>
        </w:tc>
        <w:tc>
          <w:tcPr>
            <w:tcW w:type="dxa" w:w="748"/>
            <w:tcMar>
              <w:top w:type="dxa" w:w="50"/>
              <w:left w:type="dxa" w:w="80"/>
              <w:bottom w:type="dxa" w:w="50"/>
              <w:right w:type="dxa" w:w="80"/>
            </w:tcMar>
          </w:tcPr>
          <w:p>
            <w:r>
              <w:rPr>
                <w:rFonts w:ascii="Arial" w:cs="Arial" w:eastAsia="Arial" w:hAnsi="Arial"/>
                <w:sz w:val="14"/>
                <w:szCs w:val="14"/>
              </w:rPr>
              <w:t xml:space="preserve">1,561</w:t>
            </w:r>
          </w:p>
        </w:tc>
        <w:tc>
          <w:tcPr>
            <w:tcW w:type="dxa" w:w="655"/>
            <w:tcMar>
              <w:top w:type="dxa" w:w="50"/>
              <w:left w:type="dxa" w:w="80"/>
              <w:bottom w:type="dxa" w:w="50"/>
              <w:right w:type="dxa" w:w="80"/>
            </w:tcMar>
          </w:tcPr>
          <w:p>
            <w:r>
              <w:rPr>
                <w:rFonts w:ascii="Arial" w:cs="Arial" w:eastAsia="Arial" w:hAnsi="Arial"/>
                <w:sz w:val="14"/>
                <w:szCs w:val="14"/>
              </w:rPr>
              <w:t xml:space="preserve">0.80</w:t>
            </w:r>
          </w:p>
        </w:tc>
        <w:tc>
          <w:tcPr>
            <w:tcW w:type="dxa" w:w="1216"/>
            <w:shd w:fill="D9EAD3" w:color="auto" w:val="clear"/>
            <w:tcMar>
              <w:top w:type="dxa" w:w="50"/>
              <w:left w:type="dxa" w:w="80"/>
              <w:bottom w:type="dxa" w:w="50"/>
              <w:right w:type="dxa" w:w="80"/>
            </w:tcMar>
          </w:tcPr>
          <w:p>
            <w:r>
              <w:rPr>
                <w:rFonts w:ascii="Arial" w:cs="Arial" w:eastAsia="Arial" w:hAnsi="Arial"/>
                <w:sz w:val="14"/>
                <w:szCs w:val="14"/>
              </w:rPr>
              <w:t xml:space="preserve">Below tolerance</w:t>
            </w:r>
          </w:p>
        </w:tc>
        <w:tc>
          <w:tcPr>
            <w:tcW w:type="dxa" w:w="1502"/>
            <w:tcMar>
              <w:top w:type="dxa" w:w="50"/>
              <w:left w:type="dxa" w:w="80"/>
              <w:bottom w:type="dxa" w:w="50"/>
              <w:right w:type="dxa" w:w="80"/>
            </w:tcMar>
          </w:tcPr>
          <w:p>
            <w:r>
              <w:rPr>
                <w:rFonts w:ascii="Arial" w:cs="Arial" w:eastAsia="Arial" w:hAnsi="Arial"/>
                <w:sz w:val="14"/>
                <w:szCs w:val="14"/>
              </w:rPr>
              <w:t xml:space="preserve">I02, I03, I04, I06, I11</w:t>
            </w:r>
          </w:p>
        </w:tc>
      </w:tr>
      <w:tr>
        <w:tc>
          <w:tcPr>
            <w:tcW w:type="dxa" w:w="374"/>
            <w:tcMar>
              <w:top w:type="dxa" w:w="50"/>
              <w:left w:type="dxa" w:w="80"/>
              <w:bottom w:type="dxa" w:w="50"/>
              <w:right w:type="dxa" w:w="80"/>
            </w:tcMar>
          </w:tcPr>
          <w:p>
            <w:r>
              <w:rPr>
                <w:rFonts w:ascii="Arial" w:cs="Arial" w:eastAsia="Arial" w:hAnsi="Arial"/>
                <w:sz w:val="14"/>
                <w:szCs w:val="14"/>
              </w:rPr>
              <w:t xml:space="preserve">S4</w:t>
            </w:r>
          </w:p>
        </w:tc>
        <w:tc>
          <w:tcPr>
            <w:tcW w:type="dxa" w:w="2808"/>
            <w:tcMar>
              <w:top w:type="dxa" w:w="50"/>
              <w:left w:type="dxa" w:w="80"/>
              <w:bottom w:type="dxa" w:w="50"/>
              <w:right w:type="dxa" w:w="80"/>
            </w:tcMar>
          </w:tcPr>
          <w:p>
            <w:r>
              <w:rPr>
                <w:rFonts w:ascii="Arial" w:cs="Arial" w:eastAsia="Arial" w:hAnsi="Arial"/>
                <w:sz w:val="14"/>
                <w:szCs w:val="14"/>
              </w:rPr>
              <w:t xml:space="preserve">Cloud medical-image transfer storage exposed, enabling bulk health-data exfiltration</w:t>
            </w:r>
          </w:p>
        </w:tc>
        <w:tc>
          <w:tcPr>
            <w:tcW w:type="dxa" w:w="561"/>
            <w:tcMar>
              <w:top w:type="dxa" w:w="50"/>
              <w:left w:type="dxa" w:w="80"/>
              <w:bottom w:type="dxa" w:w="50"/>
              <w:right w:type="dxa" w:w="80"/>
            </w:tcMar>
          </w:tcPr>
          <w:p>
            <w:r>
              <w:rPr>
                <w:rFonts w:ascii="Arial" w:cs="Arial" w:eastAsia="Arial" w:hAnsi="Arial"/>
                <w:sz w:val="14"/>
                <w:szCs w:val="14"/>
              </w:rPr>
              <w:t xml:space="preserve">8.7</w:t>
            </w:r>
          </w:p>
        </w:tc>
        <w:tc>
          <w:tcPr>
            <w:tcW w:type="dxa" w:w="748"/>
            <w:tcMar>
              <w:top w:type="dxa" w:w="50"/>
              <w:left w:type="dxa" w:w="80"/>
              <w:bottom w:type="dxa" w:w="50"/>
              <w:right w:type="dxa" w:w="80"/>
            </w:tcMar>
          </w:tcPr>
          <w:p>
            <w:r>
              <w:rPr>
                <w:rFonts w:ascii="Arial" w:cs="Arial" w:eastAsia="Arial" w:hAnsi="Arial"/>
                <w:sz w:val="14"/>
                <w:szCs w:val="14"/>
              </w:rPr>
              <w:t xml:space="preserve">2,973</w:t>
            </w:r>
          </w:p>
        </w:tc>
        <w:tc>
          <w:tcPr>
            <w:tcW w:type="dxa" w:w="748"/>
            <w:tcMar>
              <w:top w:type="dxa" w:w="50"/>
              <w:left w:type="dxa" w:w="80"/>
              <w:bottom w:type="dxa" w:w="50"/>
              <w:right w:type="dxa" w:w="80"/>
            </w:tcMar>
          </w:tcPr>
          <w:p>
            <w:r>
              <w:rPr>
                <w:rFonts w:ascii="Arial" w:cs="Arial" w:eastAsia="Arial" w:hAnsi="Arial"/>
                <w:sz w:val="14"/>
                <w:szCs w:val="14"/>
              </w:rPr>
              <w:t xml:space="preserve">1,321</w:t>
            </w:r>
          </w:p>
        </w:tc>
        <w:tc>
          <w:tcPr>
            <w:tcW w:type="dxa" w:w="748"/>
            <w:tcMar>
              <w:top w:type="dxa" w:w="50"/>
              <w:left w:type="dxa" w:w="80"/>
              <w:bottom w:type="dxa" w:w="50"/>
              <w:right w:type="dxa" w:w="80"/>
            </w:tcMar>
          </w:tcPr>
          <w:p>
            <w:r>
              <w:rPr>
                <w:rFonts w:ascii="Arial" w:cs="Arial" w:eastAsia="Arial" w:hAnsi="Arial"/>
                <w:sz w:val="14"/>
                <w:szCs w:val="14"/>
              </w:rPr>
              <w:t xml:space="preserve">1,204</w:t>
            </w:r>
          </w:p>
        </w:tc>
        <w:tc>
          <w:tcPr>
            <w:tcW w:type="dxa" w:w="655"/>
            <w:tcMar>
              <w:top w:type="dxa" w:w="50"/>
              <w:left w:type="dxa" w:w="80"/>
              <w:bottom w:type="dxa" w:w="50"/>
              <w:right w:type="dxa" w:w="80"/>
            </w:tcMar>
          </w:tcPr>
          <w:p>
            <w:r>
              <w:rPr>
                <w:rFonts w:ascii="Arial" w:cs="Arial" w:eastAsia="Arial" w:hAnsi="Arial"/>
                <w:sz w:val="14"/>
                <w:szCs w:val="14"/>
              </w:rPr>
              <w:t xml:space="preserve">0.91</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I03, I08, I09</w:t>
            </w:r>
          </w:p>
        </w:tc>
      </w:tr>
      <w:tr>
        <w:tc>
          <w:tcPr>
            <w:tcW w:type="dxa" w:w="374"/>
            <w:tcMar>
              <w:top w:type="dxa" w:w="50"/>
              <w:left w:type="dxa" w:w="80"/>
              <w:bottom w:type="dxa" w:w="50"/>
              <w:right w:type="dxa" w:w="80"/>
            </w:tcMar>
          </w:tcPr>
          <w:p>
            <w:r>
              <w:rPr>
                <w:rFonts w:ascii="Arial" w:cs="Arial" w:eastAsia="Arial" w:hAnsi="Arial"/>
                <w:sz w:val="14"/>
                <w:szCs w:val="14"/>
              </w:rPr>
              <w:t xml:space="preserve">S5</w:t>
            </w:r>
          </w:p>
        </w:tc>
        <w:tc>
          <w:tcPr>
            <w:tcW w:type="dxa" w:w="2808"/>
            <w:tcMar>
              <w:top w:type="dxa" w:w="50"/>
              <w:left w:type="dxa" w:w="80"/>
              <w:bottom w:type="dxa" w:w="50"/>
              <w:right w:type="dxa" w:w="80"/>
            </w:tcMar>
          </w:tcPr>
          <w:p>
            <w:r>
              <w:rPr>
                <w:rFonts w:ascii="Arial" w:cs="Arial" w:eastAsia="Arial" w:hAnsi="Arial"/>
                <w:sz w:val="14"/>
                <w:szCs w:val="14"/>
              </w:rPr>
              <w:t xml:space="preserve">Misuse of legitimate clinical, privileged or service-account access to extract patient records</w:t>
            </w:r>
          </w:p>
        </w:tc>
        <w:tc>
          <w:tcPr>
            <w:tcW w:type="dxa" w:w="561"/>
            <w:tcMar>
              <w:top w:type="dxa" w:w="50"/>
              <w:left w:type="dxa" w:w="80"/>
              <w:bottom w:type="dxa" w:w="50"/>
              <w:right w:type="dxa" w:w="80"/>
            </w:tcMar>
          </w:tcPr>
          <w:p>
            <w:r>
              <w:rPr>
                <w:rFonts w:ascii="Arial" w:cs="Arial" w:eastAsia="Arial" w:hAnsi="Arial"/>
                <w:sz w:val="14"/>
                <w:szCs w:val="14"/>
              </w:rPr>
              <w:t xml:space="preserve">7.1</w:t>
            </w:r>
          </w:p>
        </w:tc>
        <w:tc>
          <w:tcPr>
            <w:tcW w:type="dxa" w:w="748"/>
            <w:tcMar>
              <w:top w:type="dxa" w:w="50"/>
              <w:left w:type="dxa" w:w="80"/>
              <w:bottom w:type="dxa" w:w="50"/>
              <w:right w:type="dxa" w:w="80"/>
            </w:tcMar>
          </w:tcPr>
          <w:p>
            <w:r>
              <w:rPr>
                <w:rFonts w:ascii="Arial" w:cs="Arial" w:eastAsia="Arial" w:hAnsi="Arial"/>
                <w:sz w:val="14"/>
                <w:szCs w:val="14"/>
              </w:rPr>
              <w:t xml:space="preserve">2,812</w:t>
            </w:r>
          </w:p>
        </w:tc>
        <w:tc>
          <w:tcPr>
            <w:tcW w:type="dxa" w:w="748"/>
            <w:tcMar>
              <w:top w:type="dxa" w:w="50"/>
              <w:left w:type="dxa" w:w="80"/>
              <w:bottom w:type="dxa" w:w="50"/>
              <w:right w:type="dxa" w:w="80"/>
            </w:tcMar>
          </w:tcPr>
          <w:p>
            <w:r>
              <w:rPr>
                <w:rFonts w:ascii="Arial" w:cs="Arial" w:eastAsia="Arial" w:hAnsi="Arial"/>
                <w:sz w:val="14"/>
                <w:szCs w:val="14"/>
              </w:rPr>
              <w:t xml:space="preserve">1,406</w:t>
            </w:r>
          </w:p>
        </w:tc>
        <w:tc>
          <w:tcPr>
            <w:tcW w:type="dxa" w:w="748"/>
            <w:tcMar>
              <w:top w:type="dxa" w:w="50"/>
              <w:left w:type="dxa" w:w="80"/>
              <w:bottom w:type="dxa" w:w="50"/>
              <w:right w:type="dxa" w:w="80"/>
            </w:tcMar>
          </w:tcPr>
          <w:p>
            <w:r>
              <w:rPr>
                <w:rFonts w:ascii="Arial" w:cs="Arial" w:eastAsia="Arial" w:hAnsi="Arial"/>
                <w:sz w:val="14"/>
                <w:szCs w:val="14"/>
              </w:rPr>
              <w:t xml:space="preserve">1,715</w:t>
            </w:r>
          </w:p>
        </w:tc>
        <w:tc>
          <w:tcPr>
            <w:tcW w:type="dxa" w:w="655"/>
            <w:tcMar>
              <w:top w:type="dxa" w:w="50"/>
              <w:left w:type="dxa" w:w="80"/>
              <w:bottom w:type="dxa" w:w="50"/>
              <w:right w:type="dxa" w:w="80"/>
            </w:tcMar>
          </w:tcPr>
          <w:p>
            <w:r>
              <w:rPr>
                <w:rFonts w:ascii="Arial" w:cs="Arial" w:eastAsia="Arial" w:hAnsi="Arial"/>
                <w:sz w:val="14"/>
                <w:szCs w:val="14"/>
              </w:rPr>
              <w:t xml:space="preserve">1.22</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I02, I03, I09, I12</w:t>
            </w:r>
          </w:p>
        </w:tc>
      </w:tr>
      <w:tr>
        <w:tc>
          <w:tcPr>
            <w:tcW w:type="dxa" w:w="374"/>
            <w:tcMar>
              <w:top w:type="dxa" w:w="50"/>
              <w:left w:type="dxa" w:w="80"/>
              <w:bottom w:type="dxa" w:w="50"/>
              <w:right w:type="dxa" w:w="80"/>
            </w:tcMar>
          </w:tcPr>
          <w:p>
            <w:r>
              <w:rPr>
                <w:rFonts w:ascii="Arial" w:cs="Arial" w:eastAsia="Arial" w:hAnsi="Arial"/>
                <w:sz w:val="14"/>
                <w:szCs w:val="14"/>
              </w:rPr>
              <w:t xml:space="preserve">S6</w:t>
            </w:r>
          </w:p>
        </w:tc>
        <w:tc>
          <w:tcPr>
            <w:tcW w:type="dxa" w:w="2808"/>
            <w:tcMar>
              <w:top w:type="dxa" w:w="50"/>
              <w:left w:type="dxa" w:w="80"/>
              <w:bottom w:type="dxa" w:w="50"/>
              <w:right w:type="dxa" w:w="80"/>
            </w:tcMar>
          </w:tcPr>
          <w:p>
            <w:r>
              <w:rPr>
                <w:rFonts w:ascii="Arial" w:cs="Arial" w:eastAsia="Arial" w:hAnsi="Arial"/>
                <w:sz w:val="14"/>
                <w:szCs w:val="14"/>
              </w:rPr>
              <w:t xml:space="preserve">Exploitation of unpatched internet-facing or end-of-life systems</w:t>
            </w:r>
          </w:p>
        </w:tc>
        <w:tc>
          <w:tcPr>
            <w:tcW w:type="dxa" w:w="561"/>
            <w:tcMar>
              <w:top w:type="dxa" w:w="50"/>
              <w:left w:type="dxa" w:w="80"/>
              <w:bottom w:type="dxa" w:w="50"/>
              <w:right w:type="dxa" w:w="80"/>
            </w:tcMar>
          </w:tcPr>
          <w:p>
            <w:r>
              <w:rPr>
                <w:rFonts w:ascii="Arial" w:cs="Arial" w:eastAsia="Arial" w:hAnsi="Arial"/>
                <w:sz w:val="14"/>
                <w:szCs w:val="14"/>
              </w:rPr>
              <w:t xml:space="preserve">10.0</w:t>
            </w:r>
          </w:p>
        </w:tc>
        <w:tc>
          <w:tcPr>
            <w:tcW w:type="dxa" w:w="748"/>
            <w:tcMar>
              <w:top w:type="dxa" w:w="50"/>
              <w:left w:type="dxa" w:w="80"/>
              <w:bottom w:type="dxa" w:w="50"/>
              <w:right w:type="dxa" w:w="80"/>
            </w:tcMar>
          </w:tcPr>
          <w:p>
            <w:r>
              <w:rPr>
                <w:rFonts w:ascii="Arial" w:cs="Arial" w:eastAsia="Arial" w:hAnsi="Arial"/>
                <w:sz w:val="14"/>
                <w:szCs w:val="14"/>
              </w:rPr>
              <w:t xml:space="preserve">6,375</w:t>
            </w:r>
          </w:p>
        </w:tc>
        <w:tc>
          <w:tcPr>
            <w:tcW w:type="dxa" w:w="748"/>
            <w:tcMar>
              <w:top w:type="dxa" w:w="50"/>
              <w:left w:type="dxa" w:w="80"/>
              <w:bottom w:type="dxa" w:w="50"/>
              <w:right w:type="dxa" w:w="80"/>
            </w:tcMar>
          </w:tcPr>
          <w:p>
            <w:r>
              <w:rPr>
                <w:rFonts w:ascii="Arial" w:cs="Arial" w:eastAsia="Arial" w:hAnsi="Arial"/>
                <w:sz w:val="14"/>
                <w:szCs w:val="14"/>
              </w:rPr>
              <w:t xml:space="preserve">2,550</w:t>
            </w:r>
          </w:p>
        </w:tc>
        <w:tc>
          <w:tcPr>
            <w:tcW w:type="dxa" w:w="748"/>
            <w:tcMar>
              <w:top w:type="dxa" w:w="50"/>
              <w:left w:type="dxa" w:w="80"/>
              <w:bottom w:type="dxa" w:w="50"/>
              <w:right w:type="dxa" w:w="80"/>
            </w:tcMar>
          </w:tcPr>
          <w:p>
            <w:r>
              <w:rPr>
                <w:rFonts w:ascii="Arial" w:cs="Arial" w:eastAsia="Arial" w:hAnsi="Arial"/>
                <w:sz w:val="14"/>
                <w:szCs w:val="14"/>
              </w:rPr>
              <w:t xml:space="preserve">2,582</w:t>
            </w:r>
          </w:p>
        </w:tc>
        <w:tc>
          <w:tcPr>
            <w:tcW w:type="dxa" w:w="655"/>
            <w:tcMar>
              <w:top w:type="dxa" w:w="50"/>
              <w:left w:type="dxa" w:w="80"/>
              <w:bottom w:type="dxa" w:w="50"/>
              <w:right w:type="dxa" w:w="80"/>
            </w:tcMar>
          </w:tcPr>
          <w:p>
            <w:r>
              <w:rPr>
                <w:rFonts w:ascii="Arial" w:cs="Arial" w:eastAsia="Arial" w:hAnsi="Arial"/>
                <w:sz w:val="14"/>
                <w:szCs w:val="14"/>
              </w:rPr>
              <w:t xml:space="preserve">1.01</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I03, I05, I06</w:t>
            </w:r>
          </w:p>
        </w:tc>
      </w:tr>
      <w:tr>
        <w:tc>
          <w:tcPr>
            <w:tcW w:type="dxa" w:w="374"/>
            <w:tcMar>
              <w:top w:type="dxa" w:w="50"/>
              <w:left w:type="dxa" w:w="80"/>
              <w:bottom w:type="dxa" w:w="50"/>
              <w:right w:type="dxa" w:w="80"/>
            </w:tcMar>
          </w:tcPr>
          <w:p>
            <w:r>
              <w:rPr>
                <w:rFonts w:ascii="Arial" w:cs="Arial" w:eastAsia="Arial" w:hAnsi="Arial"/>
                <w:sz w:val="14"/>
                <w:szCs w:val="14"/>
              </w:rPr>
              <w:t xml:space="preserve">S7</w:t>
            </w:r>
          </w:p>
        </w:tc>
        <w:tc>
          <w:tcPr>
            <w:tcW w:type="dxa" w:w="2808"/>
            <w:tcMar>
              <w:top w:type="dxa" w:w="50"/>
              <w:left w:type="dxa" w:w="80"/>
              <w:bottom w:type="dxa" w:w="50"/>
              <w:right w:type="dxa" w:w="80"/>
            </w:tcMar>
          </w:tcPr>
          <w:p>
            <w:r>
              <w:rPr>
                <w:rFonts w:ascii="Arial" w:cs="Arial" w:eastAsia="Arial" w:hAnsi="Arial"/>
                <w:sz w:val="14"/>
                <w:szCs w:val="14"/>
              </w:rPr>
              <w:t xml:space="preserve">Connected medical device used as a foothold to disrupt clinical equipment and reach the EHR network</w:t>
            </w:r>
          </w:p>
        </w:tc>
        <w:tc>
          <w:tcPr>
            <w:tcW w:type="dxa" w:w="561"/>
            <w:tcMar>
              <w:top w:type="dxa" w:w="50"/>
              <w:left w:type="dxa" w:w="80"/>
              <w:bottom w:type="dxa" w:w="50"/>
              <w:right w:type="dxa" w:w="80"/>
            </w:tcMar>
          </w:tcPr>
          <w:p>
            <w:r>
              <w:rPr>
                <w:rFonts w:ascii="Arial" w:cs="Arial" w:eastAsia="Arial" w:hAnsi="Arial"/>
                <w:sz w:val="14"/>
                <w:szCs w:val="14"/>
              </w:rPr>
              <w:t xml:space="preserve">8.7</w:t>
            </w:r>
          </w:p>
        </w:tc>
        <w:tc>
          <w:tcPr>
            <w:tcW w:type="dxa" w:w="748"/>
            <w:tcMar>
              <w:top w:type="dxa" w:w="50"/>
              <w:left w:type="dxa" w:w="80"/>
              <w:bottom w:type="dxa" w:w="50"/>
              <w:right w:type="dxa" w:w="80"/>
            </w:tcMar>
          </w:tcPr>
          <w:p>
            <w:r>
              <w:rPr>
                <w:rFonts w:ascii="Arial" w:cs="Arial" w:eastAsia="Arial" w:hAnsi="Arial"/>
                <w:sz w:val="14"/>
                <w:szCs w:val="14"/>
              </w:rPr>
              <w:t xml:space="preserve">3,775</w:t>
            </w:r>
          </w:p>
        </w:tc>
        <w:tc>
          <w:tcPr>
            <w:tcW w:type="dxa" w:w="748"/>
            <w:tcMar>
              <w:top w:type="dxa" w:w="50"/>
              <w:left w:type="dxa" w:w="80"/>
              <w:bottom w:type="dxa" w:w="50"/>
              <w:right w:type="dxa" w:w="80"/>
            </w:tcMar>
          </w:tcPr>
          <w:p>
            <w:r>
              <w:rPr>
                <w:rFonts w:ascii="Arial" w:cs="Arial" w:eastAsia="Arial" w:hAnsi="Arial"/>
                <w:sz w:val="14"/>
                <w:szCs w:val="14"/>
              </w:rPr>
              <w:t xml:space="preserve">1,510</w:t>
            </w:r>
          </w:p>
        </w:tc>
        <w:tc>
          <w:tcPr>
            <w:tcW w:type="dxa" w:w="748"/>
            <w:tcMar>
              <w:top w:type="dxa" w:w="50"/>
              <w:left w:type="dxa" w:w="80"/>
              <w:bottom w:type="dxa" w:w="50"/>
              <w:right w:type="dxa" w:w="80"/>
            </w:tcMar>
          </w:tcPr>
          <w:p>
            <w:r>
              <w:rPr>
                <w:rFonts w:ascii="Arial" w:cs="Arial" w:eastAsia="Arial" w:hAnsi="Arial"/>
                <w:sz w:val="14"/>
                <w:szCs w:val="14"/>
              </w:rPr>
              <w:t xml:space="preserve">2,190</w:t>
            </w:r>
          </w:p>
        </w:tc>
        <w:tc>
          <w:tcPr>
            <w:tcW w:type="dxa" w:w="655"/>
            <w:tcMar>
              <w:top w:type="dxa" w:w="50"/>
              <w:left w:type="dxa" w:w="80"/>
              <w:bottom w:type="dxa" w:w="50"/>
              <w:right w:type="dxa" w:w="80"/>
            </w:tcMar>
          </w:tcPr>
          <w:p>
            <w:r>
              <w:rPr>
                <w:rFonts w:ascii="Arial" w:cs="Arial" w:eastAsia="Arial" w:hAnsi="Arial"/>
                <w:sz w:val="14"/>
                <w:szCs w:val="14"/>
              </w:rPr>
              <w:t xml:space="preserve">1.45</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I05, I06, I07</w:t>
            </w:r>
          </w:p>
        </w:tc>
      </w:tr>
      <w:tr>
        <w:tc>
          <w:tcPr>
            <w:tcW w:type="dxa" w:w="374"/>
            <w:tcMar>
              <w:top w:type="dxa" w:w="50"/>
              <w:left w:type="dxa" w:w="80"/>
              <w:bottom w:type="dxa" w:w="50"/>
              <w:right w:type="dxa" w:w="80"/>
            </w:tcMar>
          </w:tcPr>
          <w:p>
            <w:r>
              <w:rPr>
                <w:rFonts w:ascii="Arial" w:cs="Arial" w:eastAsia="Arial" w:hAnsi="Arial"/>
                <w:sz w:val="14"/>
                <w:szCs w:val="14"/>
              </w:rPr>
              <w:t xml:space="preserve">S8</w:t>
            </w:r>
          </w:p>
        </w:tc>
        <w:tc>
          <w:tcPr>
            <w:tcW w:type="dxa" w:w="2808"/>
            <w:tcMar>
              <w:top w:type="dxa" w:w="50"/>
              <w:left w:type="dxa" w:w="80"/>
              <w:bottom w:type="dxa" w:w="50"/>
              <w:right w:type="dxa" w:w="80"/>
            </w:tcMar>
          </w:tcPr>
          <w:p>
            <w:r>
              <w:rPr>
                <w:rFonts w:ascii="Arial" w:cs="Arial" w:eastAsia="Arial" w:hAnsi="Arial"/>
                <w:sz w:val="14"/>
                <w:szCs w:val="14"/>
              </w:rPr>
              <w:t xml:space="preserve">Detection and response gaps allow an intrusion to persist and escalate</w:t>
            </w:r>
          </w:p>
        </w:tc>
        <w:tc>
          <w:tcPr>
            <w:tcW w:type="dxa" w:w="561"/>
            <w:tcMar>
              <w:top w:type="dxa" w:w="50"/>
              <w:left w:type="dxa" w:w="80"/>
              <w:bottom w:type="dxa" w:w="50"/>
              <w:right w:type="dxa" w:w="80"/>
            </w:tcMar>
          </w:tcPr>
          <w:p>
            <w:r>
              <w:rPr>
                <w:rFonts w:ascii="Arial" w:cs="Arial" w:eastAsia="Arial" w:hAnsi="Arial"/>
                <w:sz w:val="14"/>
                <w:szCs w:val="14"/>
              </w:rPr>
              <w:t xml:space="preserve">9.2</w:t>
            </w:r>
          </w:p>
        </w:tc>
        <w:tc>
          <w:tcPr>
            <w:tcW w:type="dxa" w:w="748"/>
            <w:tcMar>
              <w:top w:type="dxa" w:w="50"/>
              <w:left w:type="dxa" w:w="80"/>
              <w:bottom w:type="dxa" w:w="50"/>
              <w:right w:type="dxa" w:w="80"/>
            </w:tcMar>
          </w:tcPr>
          <w:p>
            <w:r>
              <w:rPr>
                <w:rFonts w:ascii="Arial" w:cs="Arial" w:eastAsia="Arial" w:hAnsi="Arial"/>
                <w:sz w:val="14"/>
                <w:szCs w:val="14"/>
              </w:rPr>
              <w:t xml:space="preserve">9,384</w:t>
            </w:r>
          </w:p>
        </w:tc>
        <w:tc>
          <w:tcPr>
            <w:tcW w:type="dxa" w:w="748"/>
            <w:tcMar>
              <w:top w:type="dxa" w:w="50"/>
              <w:left w:type="dxa" w:w="80"/>
              <w:bottom w:type="dxa" w:w="50"/>
              <w:right w:type="dxa" w:w="80"/>
            </w:tcMar>
          </w:tcPr>
          <w:p>
            <w:r>
              <w:rPr>
                <w:rFonts w:ascii="Arial" w:cs="Arial" w:eastAsia="Arial" w:hAnsi="Arial"/>
                <w:sz w:val="14"/>
                <w:szCs w:val="14"/>
              </w:rPr>
              <w:t xml:space="preserve">3,754</w:t>
            </w:r>
          </w:p>
        </w:tc>
        <w:tc>
          <w:tcPr>
            <w:tcW w:type="dxa" w:w="748"/>
            <w:tcMar>
              <w:top w:type="dxa" w:w="50"/>
              <w:left w:type="dxa" w:w="80"/>
              <w:bottom w:type="dxa" w:w="50"/>
              <w:right w:type="dxa" w:w="80"/>
            </w:tcMar>
          </w:tcPr>
          <w:p>
            <w:r>
              <w:rPr>
                <w:rFonts w:ascii="Arial" w:cs="Arial" w:eastAsia="Arial" w:hAnsi="Arial"/>
                <w:sz w:val="14"/>
                <w:szCs w:val="14"/>
              </w:rPr>
              <w:t xml:space="preserve">4,129</w:t>
            </w:r>
          </w:p>
        </w:tc>
        <w:tc>
          <w:tcPr>
            <w:tcW w:type="dxa" w:w="655"/>
            <w:tcMar>
              <w:top w:type="dxa" w:w="50"/>
              <w:left w:type="dxa" w:w="80"/>
              <w:bottom w:type="dxa" w:w="50"/>
              <w:right w:type="dxa" w:w="80"/>
            </w:tcMar>
          </w:tcPr>
          <w:p>
            <w:r>
              <w:rPr>
                <w:rFonts w:ascii="Arial" w:cs="Arial" w:eastAsia="Arial" w:hAnsi="Arial"/>
                <w:sz w:val="14"/>
                <w:szCs w:val="14"/>
              </w:rPr>
              <w:t xml:space="preserve">1.10</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I01, I03, I11, I12</w:t>
            </w:r>
          </w:p>
        </w:tc>
      </w:tr>
      <w:tr>
        <w:tc>
          <w:tcPr>
            <w:tcW w:type="dxa" w:w="374"/>
            <w:tcMar>
              <w:top w:type="dxa" w:w="50"/>
              <w:left w:type="dxa" w:w="80"/>
              <w:bottom w:type="dxa" w:w="50"/>
              <w:right w:type="dxa" w:w="80"/>
            </w:tcMar>
          </w:tcPr>
          <w:p>
            <w:r>
              <w:rPr>
                <w:rFonts w:ascii="Arial" w:cs="Arial" w:eastAsia="Arial" w:hAnsi="Arial"/>
                <w:sz w:val="14"/>
                <w:szCs w:val="14"/>
              </w:rPr>
              <w:t xml:space="preserve">S9</w:t>
            </w:r>
          </w:p>
        </w:tc>
        <w:tc>
          <w:tcPr>
            <w:tcW w:type="dxa" w:w="2808"/>
            <w:tcMar>
              <w:top w:type="dxa" w:w="50"/>
              <w:left w:type="dxa" w:w="80"/>
              <w:bottom w:type="dxa" w:w="50"/>
              <w:right w:type="dxa" w:w="80"/>
            </w:tcMar>
          </w:tcPr>
          <w:p>
            <w:r>
              <w:rPr>
                <w:rFonts w:ascii="Arial" w:cs="Arial" w:eastAsia="Arial" w:hAnsi="Arial"/>
                <w:sz w:val="14"/>
                <w:szCs w:val="14"/>
              </w:rPr>
              <w:t xml:space="preserve">Compromise of a critical vendor with remote access to MediBec systems</w:t>
            </w:r>
          </w:p>
        </w:tc>
        <w:tc>
          <w:tcPr>
            <w:tcW w:type="dxa" w:w="561"/>
            <w:tcMar>
              <w:top w:type="dxa" w:w="50"/>
              <w:left w:type="dxa" w:w="80"/>
              <w:bottom w:type="dxa" w:w="50"/>
              <w:right w:type="dxa" w:w="80"/>
            </w:tcMar>
          </w:tcPr>
          <w:p>
            <w:r>
              <w:rPr>
                <w:rFonts w:ascii="Arial" w:cs="Arial" w:eastAsia="Arial" w:hAnsi="Arial"/>
                <w:sz w:val="14"/>
                <w:szCs w:val="14"/>
              </w:rPr>
              <w:t xml:space="preserve">9.0</w:t>
            </w:r>
          </w:p>
        </w:tc>
        <w:tc>
          <w:tcPr>
            <w:tcW w:type="dxa" w:w="748"/>
            <w:tcMar>
              <w:top w:type="dxa" w:w="50"/>
              <w:left w:type="dxa" w:w="80"/>
              <w:bottom w:type="dxa" w:w="50"/>
              <w:right w:type="dxa" w:w="80"/>
            </w:tcMar>
          </w:tcPr>
          <w:p>
            <w:r>
              <w:rPr>
                <w:rFonts w:ascii="Arial" w:cs="Arial" w:eastAsia="Arial" w:hAnsi="Arial"/>
                <w:sz w:val="14"/>
                <w:szCs w:val="14"/>
              </w:rPr>
              <w:t xml:space="preserve">4,057</w:t>
            </w:r>
          </w:p>
        </w:tc>
        <w:tc>
          <w:tcPr>
            <w:tcW w:type="dxa" w:w="748"/>
            <w:tcMar>
              <w:top w:type="dxa" w:w="50"/>
              <w:left w:type="dxa" w:w="80"/>
              <w:bottom w:type="dxa" w:w="50"/>
              <w:right w:type="dxa" w:w="80"/>
            </w:tcMar>
          </w:tcPr>
          <w:p>
            <w:r>
              <w:rPr>
                <w:rFonts w:ascii="Arial" w:cs="Arial" w:eastAsia="Arial" w:hAnsi="Arial"/>
                <w:sz w:val="14"/>
                <w:szCs w:val="14"/>
              </w:rPr>
              <w:t xml:space="preserve">1,623</w:t>
            </w:r>
          </w:p>
        </w:tc>
        <w:tc>
          <w:tcPr>
            <w:tcW w:type="dxa" w:w="748"/>
            <w:tcMar>
              <w:top w:type="dxa" w:w="50"/>
              <w:left w:type="dxa" w:w="80"/>
              <w:bottom w:type="dxa" w:w="50"/>
              <w:right w:type="dxa" w:w="80"/>
            </w:tcMar>
          </w:tcPr>
          <w:p>
            <w:r>
              <w:rPr>
                <w:rFonts w:ascii="Arial" w:cs="Arial" w:eastAsia="Arial" w:hAnsi="Arial"/>
                <w:sz w:val="14"/>
                <w:szCs w:val="14"/>
              </w:rPr>
              <w:t xml:space="preserve">2,495</w:t>
            </w:r>
          </w:p>
        </w:tc>
        <w:tc>
          <w:tcPr>
            <w:tcW w:type="dxa" w:w="655"/>
            <w:tcMar>
              <w:top w:type="dxa" w:w="50"/>
              <w:left w:type="dxa" w:w="80"/>
              <w:bottom w:type="dxa" w:w="50"/>
              <w:right w:type="dxa" w:w="80"/>
            </w:tcMar>
          </w:tcPr>
          <w:p>
            <w:r>
              <w:rPr>
                <w:rFonts w:ascii="Arial" w:cs="Arial" w:eastAsia="Arial" w:hAnsi="Arial"/>
                <w:sz w:val="14"/>
                <w:szCs w:val="14"/>
              </w:rPr>
              <w:t xml:space="preserve">1.54</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I01, I02, I03, I10, I11</w:t>
            </w:r>
          </w:p>
        </w:tc>
      </w:tr>
      <w:tr>
        <w:tc>
          <w:tcPr>
            <w:tcW w:type="dxa" w:w="374"/>
            <w:tcMar>
              <w:top w:type="dxa" w:w="50"/>
              <w:left w:type="dxa" w:w="80"/>
              <w:bottom w:type="dxa" w:w="50"/>
              <w:right w:type="dxa" w:w="80"/>
            </w:tcMar>
          </w:tcPr>
          <w:p>
            <w:r>
              <w:rPr>
                <w:rFonts w:ascii="Arial" w:cs="Arial" w:eastAsia="Arial" w:hAnsi="Arial"/>
                <w:sz w:val="14"/>
                <w:szCs w:val="14"/>
              </w:rPr>
              <w:t xml:space="preserve">S10</w:t>
            </w:r>
          </w:p>
        </w:tc>
        <w:tc>
          <w:tcPr>
            <w:tcW w:type="dxa" w:w="2808"/>
            <w:tcMar>
              <w:top w:type="dxa" w:w="50"/>
              <w:left w:type="dxa" w:w="80"/>
              <w:bottom w:type="dxa" w:w="50"/>
              <w:right w:type="dxa" w:w="80"/>
            </w:tcMar>
          </w:tcPr>
          <w:p>
            <w:r>
              <w:rPr>
                <w:rFonts w:ascii="Arial" w:cs="Arial" w:eastAsia="Arial" w:hAnsi="Arial"/>
                <w:sz w:val="14"/>
                <w:szCs w:val="14"/>
              </w:rPr>
              <w:t xml:space="preserve">Manipulation of patient, medication or billing records undermining clinical decisions</w:t>
            </w:r>
          </w:p>
        </w:tc>
        <w:tc>
          <w:tcPr>
            <w:tcW w:type="dxa" w:w="561"/>
            <w:tcMar>
              <w:top w:type="dxa" w:w="50"/>
              <w:left w:type="dxa" w:w="80"/>
              <w:bottom w:type="dxa" w:w="50"/>
              <w:right w:type="dxa" w:w="80"/>
            </w:tcMar>
          </w:tcPr>
          <w:p>
            <w:r>
              <w:rPr>
                <w:rFonts w:ascii="Arial" w:cs="Arial" w:eastAsia="Arial" w:hAnsi="Arial"/>
                <w:sz w:val="14"/>
                <w:szCs w:val="14"/>
              </w:rPr>
              <w:t xml:space="preserve">8.3</w:t>
            </w:r>
          </w:p>
        </w:tc>
        <w:tc>
          <w:tcPr>
            <w:tcW w:type="dxa" w:w="748"/>
            <w:tcMar>
              <w:top w:type="dxa" w:w="50"/>
              <w:left w:type="dxa" w:w="80"/>
              <w:bottom w:type="dxa" w:w="50"/>
              <w:right w:type="dxa" w:w="80"/>
            </w:tcMar>
          </w:tcPr>
          <w:p>
            <w:r>
              <w:rPr>
                <w:rFonts w:ascii="Arial" w:cs="Arial" w:eastAsia="Arial" w:hAnsi="Arial"/>
                <w:sz w:val="14"/>
                <w:szCs w:val="14"/>
              </w:rPr>
              <w:t xml:space="preserve">1,774</w:t>
            </w:r>
          </w:p>
        </w:tc>
        <w:tc>
          <w:tcPr>
            <w:tcW w:type="dxa" w:w="748"/>
            <w:tcMar>
              <w:top w:type="dxa" w:w="50"/>
              <w:left w:type="dxa" w:w="80"/>
              <w:bottom w:type="dxa" w:w="50"/>
              <w:right w:type="dxa" w:w="80"/>
            </w:tcMar>
          </w:tcPr>
          <w:p>
            <w:r>
              <w:rPr>
                <w:rFonts w:ascii="Arial" w:cs="Arial" w:eastAsia="Arial" w:hAnsi="Arial"/>
                <w:sz w:val="14"/>
                <w:szCs w:val="14"/>
              </w:rPr>
              <w:t xml:space="preserve">710</w:t>
            </w:r>
          </w:p>
        </w:tc>
        <w:tc>
          <w:tcPr>
            <w:tcW w:type="dxa" w:w="748"/>
            <w:tcMar>
              <w:top w:type="dxa" w:w="50"/>
              <w:left w:type="dxa" w:w="80"/>
              <w:bottom w:type="dxa" w:w="50"/>
              <w:right w:type="dxa" w:w="80"/>
            </w:tcMar>
          </w:tcPr>
          <w:p>
            <w:r>
              <w:rPr>
                <w:rFonts w:ascii="Arial" w:cs="Arial" w:eastAsia="Arial" w:hAnsi="Arial"/>
                <w:sz w:val="14"/>
                <w:szCs w:val="14"/>
              </w:rPr>
              <w:t xml:space="preserve">843</w:t>
            </w:r>
          </w:p>
        </w:tc>
        <w:tc>
          <w:tcPr>
            <w:tcW w:type="dxa" w:w="655"/>
            <w:tcMar>
              <w:top w:type="dxa" w:w="50"/>
              <w:left w:type="dxa" w:w="80"/>
              <w:bottom w:type="dxa" w:w="50"/>
              <w:right w:type="dxa" w:w="80"/>
            </w:tcMar>
          </w:tcPr>
          <w:p>
            <w:r>
              <w:rPr>
                <w:rFonts w:ascii="Arial" w:cs="Arial" w:eastAsia="Arial" w:hAnsi="Arial"/>
                <w:sz w:val="14"/>
                <w:szCs w:val="14"/>
              </w:rPr>
              <w:t xml:space="preserve">1.19</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I01, I02, I03, I04, I09, I11, I13</w:t>
            </w:r>
          </w:p>
        </w:tc>
      </w:tr>
    </w:tbl>
    <w:p>
      <w:pPr>
        <w:spacing w:after="80"/>
      </w:pPr>
    </w:p>
    <w:p>
      <w:pPr>
        <w:spacing w:after="120"/>
      </w:pPr>
      <w:r>
        <w:rPr>
          <w:rFonts w:ascii="Arial" w:cs="Arial" w:eastAsia="Arial" w:hAnsi="Arial"/>
        </w:rPr>
        <w:t xml:space="preserve">Totals: estimated 50,306, tolerated 20,437, residual 22,722 risk units. Initiative names are listed in Section 10.</w:t>
      </w:r>
    </w:p>
    <w:p>
      <w:pPr>
        <w:pStyle w:val="Heading1"/>
        <w:pageBreakBefore/>
      </w:pPr>
      <w:r>
        <w:rPr>
          <w:rFonts w:ascii="Arial" w:cs="Arial" w:eastAsia="Arial" w:hAnsi="Arial"/>
        </w:rPr>
        <w:t xml:space="preserve">7. Detailed risk scenarios</w:t>
      </w:r>
    </w:p>
    <w:p>
      <w:pPr>
        <w:spacing w:after="120"/>
      </w:pPr>
      <w:r>
        <w:rPr>
          <w:rFonts w:ascii="Arial" w:cs="Arial" w:eastAsia="Arial" w:hAnsi="Arial"/>
        </w:rPr>
        <w:t xml:space="preserve">Each scenario follows the causal chain threat source -&gt; vulnerability -&gt; asset/process -&gt; cybersecurity event -&gt; business consequence. Existing controls are listed only where the case documents them.</w:t>
      </w:r>
    </w:p>
    <w:p>
      <w:pPr>
        <w:pStyle w:val="Heading2"/>
      </w:pPr>
      <w:r>
        <w:rPr>
          <w:rFonts w:ascii="Arial" w:cs="Arial" w:eastAsia="Arial" w:hAnsi="Arial"/>
        </w:rPr>
        <w:t xml:space="preserve">S1 - Credential compromise of clinical administrator accounts through phishing and MFA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financially motivated external actor phishes clinic administrators and billing staff with an EHR-themed lure, captures credentials and obtains approval of an MFA push prompt, gaining remote access to the EHR, billing and administrative systems, enabling unauthorized access to patient records and follow-on intrusion.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MED-CYR-01 / 12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administrators and billing staff; CIO; Cybersecurity lead; Privacy officer; Clinical Ops; patients; EHR vendor; Steering Committee.</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relies on remote and cloud access for staff and clinicians (E2). Exercise evidence shows an EHR-themed phishing lure with a macro attachment and a successful login from an unusual geography approved by MFA push (E6). Attack attempts are rising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(initial-access broker or ransomware affiliate).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Credential phishing and MFA push-fatigue against remote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Push-based MFA without number matching or phishing resistance (E6 - validate)</w:t>
            </w:r>
          </w:p>
          <w:p>
            <w:r>
              <w:rPr>
                <w:rFonts w:ascii="Arial" w:cs="Arial" w:eastAsia="Arial" w:hAnsi="Arial"/>
                <w:sz w:val="16"/>
                <w:szCs w:val="16"/>
              </w:rPr>
              <w:t xml:space="preserve">No evidence of conditional access (geo/device) policies</w:t>
            </w:r>
          </w:p>
          <w:p>
            <w:r>
              <w:rPr>
                <w:rFonts w:ascii="Arial" w:cs="Arial" w:eastAsia="Arial" w:hAnsi="Arial"/>
                <w:sz w:val="16"/>
                <w:szCs w:val="16"/>
              </w:rPr>
              <w:t xml:space="preserve">Internet-sourced macro documents reach users (E6)</w:t>
            </w:r>
          </w:p>
          <w:p>
            <w:r>
              <w:rPr>
                <w:rFonts w:ascii="Arial" w:cs="Arial" w:eastAsia="Arial" w:hAnsi="Arial"/>
                <w:sz w:val="16"/>
                <w:szCs w:val="16"/>
              </w:rPr>
              <w:t xml:space="preserve">Awareness programme maturity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and remote access; CJ1 EHR;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Scheduling, clinical documentation,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 antimalware (E2 - effectiveness unknown)</w:t>
            </w:r>
          </w:p>
          <w:p>
            <w:r>
              <w:rPr>
                <w:rFonts w:ascii="Arial" w:cs="Arial" w:eastAsia="Arial" w:hAnsi="Arial"/>
                <w:sz w:val="16"/>
                <w:szCs w:val="16"/>
              </w:rPr>
              <w:t xml:space="preserve">MFA push on remote access (E6)</w:t>
            </w:r>
          </w:p>
          <w:p>
            <w:r>
              <w:rPr>
                <w:rFonts w:ascii="Arial" w:cs="Arial" w:eastAsia="Arial" w:hAnsi="Arial"/>
                <w:sz w:val="16"/>
                <w:szCs w:val="16"/>
              </w:rPr>
              <w:t xml:space="preserve">EDR alerting (E6 - triage weak)</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newly registered look-alike domain sends 'Urgent: updated EHR access procedure' messages to clinic administrators. One user enters credentials on the fake portal; the attacker triggers repeated MFA pushes late at night until one is approved. With a valid clinical administrator session, the attacker browses EHR records, harvests address books for internal phishing and stages for privilege escalation.</w:t>
      </w:r>
    </w:p>
    <w:p>
      <w:pPr>
        <w:pStyle w:val="ListParagraph"/>
        <w:numPr>
          <w:ilvl w:val="0"/>
          <w:numId w:val="2"/>
        </w:numPr>
        <w:spacing w:after="60"/>
      </w:pPr>
      <w:r>
        <w:rPr>
          <w:rFonts w:ascii="Arial" w:cs="Arial" w:eastAsia="Arial" w:hAnsi="Arial"/>
        </w:rPr>
        <w:t xml:space="preserve">Initial access - credential phishing and MFA push approval</w:t>
      </w:r>
    </w:p>
    <w:p>
      <w:pPr>
        <w:pStyle w:val="ListParagraph"/>
        <w:numPr>
          <w:ilvl w:val="0"/>
          <w:numId w:val="2"/>
        </w:numPr>
        <w:spacing w:after="60"/>
      </w:pPr>
      <w:r>
        <w:rPr>
          <w:rFonts w:ascii="Arial" w:cs="Arial" w:eastAsia="Arial" w:hAnsi="Arial"/>
        </w:rPr>
        <w:t xml:space="preserve">Exploitation - valid session on remote access gateway</w:t>
      </w:r>
    </w:p>
    <w:p>
      <w:pPr>
        <w:pStyle w:val="ListParagraph"/>
        <w:numPr>
          <w:ilvl w:val="0"/>
          <w:numId w:val="2"/>
        </w:numPr>
        <w:spacing w:after="60"/>
      </w:pPr>
      <w:r>
        <w:rPr>
          <w:rFonts w:ascii="Arial" w:cs="Arial" w:eastAsia="Arial" w:hAnsi="Arial"/>
        </w:rPr>
        <w:t xml:space="preserve">Privilege escalation - search for admin credentials and service-account secrets</w:t>
      </w:r>
    </w:p>
    <w:p>
      <w:pPr>
        <w:pStyle w:val="ListParagraph"/>
        <w:numPr>
          <w:ilvl w:val="0"/>
          <w:numId w:val="2"/>
        </w:numPr>
        <w:spacing w:after="60"/>
      </w:pPr>
      <w:r>
        <w:rPr>
          <w:rFonts w:ascii="Arial" w:cs="Arial" w:eastAsia="Arial" w:hAnsi="Arial"/>
        </w:rPr>
        <w:t xml:space="preserve">Persistence - register attacker MFA device / mailbox rules</w:t>
      </w:r>
    </w:p>
    <w:p>
      <w:pPr>
        <w:pStyle w:val="ListParagraph"/>
        <w:numPr>
          <w:ilvl w:val="0"/>
          <w:numId w:val="2"/>
        </w:numPr>
        <w:spacing w:after="60"/>
      </w:pPr>
      <w:r>
        <w:rPr>
          <w:rFonts w:ascii="Arial" w:cs="Arial" w:eastAsia="Arial" w:hAnsi="Arial"/>
        </w:rPr>
        <w:t xml:space="preserve">Discovery - enumerate EHR, file shares, clinics</w:t>
      </w:r>
    </w:p>
    <w:p>
      <w:pPr>
        <w:pStyle w:val="ListParagraph"/>
        <w:numPr>
          <w:ilvl w:val="0"/>
          <w:numId w:val="2"/>
        </w:numPr>
        <w:spacing w:after="60"/>
      </w:pPr>
      <w:r>
        <w:rPr>
          <w:rFonts w:ascii="Arial" w:cs="Arial" w:eastAsia="Arial" w:hAnsi="Arial"/>
        </w:rPr>
        <w:t xml:space="preserve">Lateral movement - internal phishing from trusted mailbox</w:t>
      </w:r>
    </w:p>
    <w:p>
      <w:pPr>
        <w:pStyle w:val="ListParagraph"/>
        <w:numPr>
          <w:ilvl w:val="0"/>
          <w:numId w:val="2"/>
        </w:numPr>
        <w:spacing w:after="60"/>
      </w:pPr>
      <w:r>
        <w:rPr>
          <w:rFonts w:ascii="Arial" w:cs="Arial" w:eastAsia="Arial" w:hAnsi="Arial"/>
        </w:rPr>
        <w:t xml:space="preserve">Collection - patient and billing extracts</w:t>
      </w:r>
    </w:p>
    <w:p>
      <w:pPr>
        <w:pStyle w:val="ListParagraph"/>
        <w:numPr>
          <w:ilvl w:val="0"/>
          <w:numId w:val="2"/>
        </w:numPr>
        <w:spacing w:after="60"/>
      </w:pPr>
      <w:r>
        <w:rPr>
          <w:rFonts w:ascii="Arial" w:cs="Arial" w:eastAsia="Arial" w:hAnsi="Arial"/>
        </w:rPr>
        <w:t xml:space="preserve">Exfiltration - over remote session</w:t>
      </w:r>
    </w:p>
    <w:p>
      <w:pPr>
        <w:pStyle w:val="ListParagraph"/>
        <w:numPr>
          <w:ilvl w:val="0"/>
          <w:numId w:val="2"/>
        </w:numPr>
        <w:spacing w:after="60"/>
      </w:pPr>
      <w:r>
        <w:rPr>
          <w:rFonts w:ascii="Arial" w:cs="Arial" w:eastAsia="Arial" w:hAnsi="Arial"/>
        </w:rPr>
        <w:t xml:space="preserve">Detection - unusual geography flagged late or not at all</w:t>
      </w:r>
    </w:p>
    <w:p>
      <w:pPr>
        <w:pStyle w:val="ListParagraph"/>
        <w:numPr>
          <w:ilvl w:val="0"/>
          <w:numId w:val="2"/>
        </w:numPr>
        <w:spacing w:after="60"/>
      </w:pPr>
      <w:r>
        <w:rPr>
          <w:rFonts w:ascii="Arial" w:cs="Arial" w:eastAsia="Arial" w:hAnsi="Arial"/>
        </w:rPr>
        <w:t xml:space="preserve">Business impact - privacy breach, possible precursor to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patient records; likely reportable confidentiality incident.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or mailbox manipulation.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Limited directly; high if it leads to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resets and investigation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Investigation, notification,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Quebec privacy-law incident register, assessment and notification obligations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Loss of patient trust if disclosed.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Phishing is constant and attempts are increasing; lures already observed.</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is bypassable by fatigue; no conditional access or macro blocking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Access to a subset of records; containment possible if detected.</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EHR access or pivot to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Two-person team; alert triage weak; IR untested.</w:t>
            </w:r>
          </w:p>
        </w:tc>
        <w:tc>
          <w:tcPr>
            <w:tcW w:type="dxa" w:w="842"/>
            <w:tcMar>
              <w:top w:type="dxa" w:w="50"/>
              <w:left w:type="dxa" w:w="80"/>
              <w:bottom w:type="dxa" w:w="50"/>
              <w:right w:type="dxa" w:w="80"/>
            </w:tcMar>
          </w:tcPr>
          <w:p>
            <w:r>
              <w:rPr>
                <w:rFonts w:ascii="Arial" w:cs="Arial" w:eastAsia="Arial" w:hAnsi="Arial"/>
                <w:sz w:val="15"/>
                <w:szCs w:val="15"/>
              </w:rPr>
              <w:t xml:space="preserve">E3,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is the gateway to every crown jewel.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CVSS:4.0/AV:N/AC:L/AT:N/PR:N/UI:A/VC:H/VI:H/VA:N/SC:H/SI:L/SA:L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remote-access authentication accepting MFA push approval (CWE-308-type single-channel weakness). AV:N internet-reachable gateway; AC:L no special conditions; AT:N; PR:N attacker starts unauthenticated; UI:A user must actively approve; VC/VI:H full session on gateway; VA:N; SC:H EHR data behind the gateway; SI:L/SA:L limited downstream change/disruption. Applicability: moderate - human factor dominates.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0.55 x 9.3 x ((0.55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6,467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0.55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2,772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6,467 x 0.80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3,880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6,467 - 3,880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2,587 / 2,772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0.93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(6,467 - 2,587) / $223,889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17.33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conditional access (I01) is the primary lever; PAM (I02) limits blast radius; MDR (I03) shortens dwell time; awareness and reporting (I12).</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I12 Governance, awareness and risk reporting. Allocated Year-1 cost $223,889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S2 - Ransomware disrupting EHR access and clinic operations across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ransomware group gains a foothold through a macro-enabled phishing attachment or exposed service, moves laterally across an insufficiently segmented network, exfiltrates health data and encrypts EHR support servers, shared folders and scheduling systems, halting clinical and administrative operations at multiple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Board/ownership group; CIO; Cybersecurity lead; Clinical Ops; clinic managers; Privacy/Legal; Communications; EHR vendor; insurer; forensic provider; patients; media.</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Clinics depend heavily on central services in Montreal (E1, E2). The exercise timeline shows the full chain - phishing, PowerShell alert closed as low, backup failures, ransom note (E6). Segmentation and backup isolation are listed as open questions (E2,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Ransomware-as-a-service affiliate (double extortion).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Encryption of servers and endpoints with prior data theft and extortion.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Macro execution and weak alert triage (E6)</w:t>
            </w:r>
          </w:p>
          <w:p>
            <w:r>
              <w:rPr>
                <w:rFonts w:ascii="Arial" w:cs="Arial" w:eastAsia="Arial" w:hAnsi="Arial"/>
                <w:sz w:val="16"/>
                <w:szCs w:val="16"/>
              </w:rPr>
              <w:t xml:space="preserve">Segmentation between clinics, servers and backups not evidenced (E2, E7)</w:t>
            </w:r>
          </w:p>
          <w:p>
            <w:r>
              <w:rPr>
                <w:rFonts w:ascii="Arial" w:cs="Arial" w:eastAsia="Arial" w:hAnsi="Arial"/>
                <w:sz w:val="16"/>
                <w:szCs w:val="16"/>
              </w:rPr>
              <w:t xml:space="preserve">Privileged credential hygiene unknown (Information gap)</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CJ3 scheduling, CJ4 billing, CJ6 data centre and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Care delivery, appointments, diagnostics, billing,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antimalware (E2)</w:t>
            </w:r>
          </w:p>
          <w:p>
            <w:r>
              <w:rPr>
                <w:rFonts w:ascii="Arial" w:cs="Arial" w:eastAsia="Arial" w:hAnsi="Arial"/>
                <w:sz w:val="16"/>
                <w:szCs w:val="16"/>
              </w:rPr>
              <w:t xml:space="preserve">EDR (E6)</w:t>
            </w:r>
          </w:p>
          <w:p>
            <w:r>
              <w:rPr>
                <w:rFonts w:ascii="Arial" w:cs="Arial" w:eastAsia="Arial" w:hAnsi="Arial"/>
                <w:sz w:val="16"/>
                <w:szCs w:val="16"/>
              </w:rPr>
              <w:t xml:space="preserve">On-site and off-site backups (E2 - isolation and testing unknown)</w:t>
            </w:r>
          </w:p>
          <w:p>
            <w:r>
              <w:rPr>
                <w:rFonts w:ascii="Arial" w:cs="Arial" w:eastAsia="Arial" w:hAnsi="Arial"/>
                <w:sz w:val="16"/>
                <w:szCs w:val="16"/>
              </w:rPr>
              <w:t xml:space="preserve">Incident command structure defined (E6 - untested)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(COO)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initial access (see S1/S6), the actor escalates to domain administrator within days, disables security tooling where possible, deletes or encrypts reachable backups, exfiltrates EHR exports and deploys ransomware at 07:00 on a weekday. Several clinics lose EHR and scheduling; staff revert to paper; imaging and lab results are delayed.</w:t>
      </w:r>
    </w:p>
    <w:p>
      <w:pPr>
        <w:pStyle w:val="ListParagraph"/>
        <w:numPr>
          <w:ilvl w:val="0"/>
          <w:numId w:val="2"/>
        </w:numPr>
        <w:spacing w:after="60"/>
      </w:pPr>
      <w:r>
        <w:rPr>
          <w:rFonts w:ascii="Arial" w:cs="Arial" w:eastAsia="Arial" w:hAnsi="Arial"/>
        </w:rPr>
        <w:t xml:space="preserve">Initial access - phishing macro or exposed service</w:t>
      </w:r>
    </w:p>
    <w:p>
      <w:pPr>
        <w:pStyle w:val="ListParagraph"/>
        <w:numPr>
          <w:ilvl w:val="0"/>
          <w:numId w:val="2"/>
        </w:numPr>
        <w:spacing w:after="60"/>
      </w:pPr>
      <w:r>
        <w:rPr>
          <w:rFonts w:ascii="Arial" w:cs="Arial" w:eastAsia="Arial" w:hAnsi="Arial"/>
        </w:rPr>
        <w:t xml:space="preserve">Exploitation - PowerShell loader</w:t>
      </w:r>
    </w:p>
    <w:p>
      <w:pPr>
        <w:pStyle w:val="ListParagraph"/>
        <w:numPr>
          <w:ilvl w:val="0"/>
          <w:numId w:val="2"/>
        </w:numPr>
        <w:spacing w:after="60"/>
      </w:pPr>
      <w:r>
        <w:rPr>
          <w:rFonts w:ascii="Arial" w:cs="Arial" w:eastAsia="Arial" w:hAnsi="Arial"/>
        </w:rPr>
        <w:t xml:space="preserve">Privilege escalation - credential dumping to domain admin</w:t>
      </w:r>
    </w:p>
    <w:p>
      <w:pPr>
        <w:pStyle w:val="ListParagraph"/>
        <w:numPr>
          <w:ilvl w:val="0"/>
          <w:numId w:val="2"/>
        </w:numPr>
        <w:spacing w:after="60"/>
      </w:pPr>
      <w:r>
        <w:rPr>
          <w:rFonts w:ascii="Arial" w:cs="Arial" w:eastAsia="Arial" w:hAnsi="Arial"/>
        </w:rPr>
        <w:t xml:space="preserve">Persistence - scheduled tasks, remote tools</w:t>
      </w:r>
    </w:p>
    <w:p>
      <w:pPr>
        <w:pStyle w:val="ListParagraph"/>
        <w:numPr>
          <w:ilvl w:val="0"/>
          <w:numId w:val="2"/>
        </w:numPr>
        <w:spacing w:after="60"/>
      </w:pPr>
      <w:r>
        <w:rPr>
          <w:rFonts w:ascii="Arial" w:cs="Arial" w:eastAsia="Arial" w:hAnsi="Arial"/>
        </w:rPr>
        <w:t xml:space="preserve">Discovery - AD, backups, file shares</w:t>
      </w:r>
    </w:p>
    <w:p>
      <w:pPr>
        <w:pStyle w:val="ListParagraph"/>
        <w:numPr>
          <w:ilvl w:val="0"/>
          <w:numId w:val="2"/>
        </w:numPr>
        <w:spacing w:after="60"/>
      </w:pPr>
      <w:r>
        <w:rPr>
          <w:rFonts w:ascii="Arial" w:cs="Arial" w:eastAsia="Arial" w:hAnsi="Arial"/>
        </w:rPr>
        <w:t xml:space="preserve">Lateral movement - flat network to servers and clinics</w:t>
      </w:r>
    </w:p>
    <w:p>
      <w:pPr>
        <w:pStyle w:val="ListParagraph"/>
        <w:numPr>
          <w:ilvl w:val="0"/>
          <w:numId w:val="2"/>
        </w:numPr>
        <w:spacing w:after="60"/>
      </w:pPr>
      <w:r>
        <w:rPr>
          <w:rFonts w:ascii="Arial" w:cs="Arial" w:eastAsia="Arial" w:hAnsi="Arial"/>
        </w:rPr>
        <w:t xml:space="preserve">Collection - EHR and billing exports</w:t>
      </w:r>
    </w:p>
    <w:p>
      <w:pPr>
        <w:pStyle w:val="ListParagraph"/>
        <w:numPr>
          <w:ilvl w:val="0"/>
          <w:numId w:val="2"/>
        </w:numPr>
        <w:spacing w:after="60"/>
      </w:pPr>
      <w:r>
        <w:rPr>
          <w:rFonts w:ascii="Arial" w:cs="Arial" w:eastAsia="Arial" w:hAnsi="Arial"/>
        </w:rPr>
        <w:t xml:space="preserve">Exfiltration then encryption of servers and clinic storage</w:t>
      </w:r>
    </w:p>
    <w:p>
      <w:pPr>
        <w:pStyle w:val="ListParagraph"/>
        <w:numPr>
          <w:ilvl w:val="0"/>
          <w:numId w:val="2"/>
        </w:numPr>
        <w:spacing w:after="60"/>
      </w:pPr>
      <w:r>
        <w:rPr>
          <w:rFonts w:ascii="Arial" w:cs="Arial" w:eastAsia="Arial" w:hAnsi="Arial"/>
        </w:rPr>
        <w:t xml:space="preserve">Detection - ransom note / user reports</w:t>
      </w:r>
    </w:p>
    <w:p>
      <w:pPr>
        <w:pStyle w:val="ListParagraph"/>
        <w:numPr>
          <w:ilvl w:val="0"/>
          <w:numId w:val="2"/>
        </w:numPr>
        <w:spacing w:after="60"/>
      </w:pPr>
      <w:r>
        <w:rPr>
          <w:rFonts w:ascii="Arial" w:cs="Arial" w:eastAsia="Arial" w:hAnsi="Arial"/>
        </w:rPr>
        <w:t xml:space="preserve">Business impact - multi-day multi-clinic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Probable health-data theft and publication threat.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Encrypted and possibly corrupted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scheduling and file shares down for days.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Cancelled or delayed appointments at several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Recovery, forensics, lost revenue, possible extortion demand.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Notification to regulator and patients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Media attention (E6 inject).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diagnosis and treatment; medication-history gaps.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Healthcare is a sustained ransomware target; attempts rising.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weak links (triage, segmentation, backup isolation) but perimeter controls exist.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Multi-day disruption of several clinics.</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Network-wide outage with data theft and failed recovery.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Recovery and workarounds untested; small team.</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and scheduling underpin care delivery.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CVSS:4.0/AV:L/AC:L/AT:N/PR:N/UI:P/VC:H/VI:H/VA:H/SC:H/SI:H/SA:H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malicious macro document leading to code execution (initial vector in E6). AV:L: the document is delivered by e-mail but opened and executed locally on the workstation (FIRST CVSS v4.0 user guide scores malicious documents as Local whatever the delivery channel); AC:L; AT:N; PR:N; UI:P user opens the document; VC/VI/VA:H on the workstation; SC/SI/SA:H because EHR and clinic systems are subsequently affected. CVSS describes the entry weakness only, not the enterprise impact.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0.75 x 0.50 x 9.3 x ((0.70 + 0.95)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7,810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0.75 x 0.50 x 9.3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2,840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7,810 x 0.75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4,393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7,810 - 4,393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3,417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3,417 / 2,840  (pre-treatment ratio 2.75)</w:t>
            </w:r>
          </w:p>
        </w:tc>
        <w:tc>
          <w:tcPr>
            <w:tcW w:type="dxa" w:w="1405"/>
            <w:tcMar>
              <w:top w:type="dxa" w:w="50"/>
              <w:left w:type="dxa" w:w="80"/>
              <w:bottom w:type="dxa" w:w="50"/>
              <w:right w:type="dxa" w:w="80"/>
            </w:tcMar>
          </w:tcPr>
          <w:p>
            <w:r>
              <w:rPr>
                <w:rFonts w:ascii="Arial" w:cs="Arial" w:eastAsia="Arial" w:hAnsi="Arial"/>
                <w:sz w:val="15"/>
                <w:szCs w:val="15"/>
              </w:rPr>
              <w:t xml:space="preserve">1.20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(7,810 - 3,417) / $585,889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7.50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Layered: MDR/EDR (I03), PAM (I02), segmentation (I06), immutable backup (I04), patching (I05), IR and downtime procedures (I11), awareness (I12). Residual remains material - consider cyber-insurance transfer.</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I05 Risk-based vulnerability and patch management; I06 Network segmentation and network access control; I11 Incident response and clinical continuity readiness; I12 Governance, awareness and risk reporting. Allocated Year-1 cost $585,889 (share of shared initiatives). Horizon: 0-24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(1.20).</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S3 - Backup environment compromised, preventing recovery after a destructive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holding administrative credentials reaches backup servers that share the production identity domain and network, deletes or encrypts backup sets and clinic storage copies, so that MediBec cannot restore EHR and clinic systems within clinically acceptable time after a destructive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team; Cybersecurity lead; Clinical Ops; clinic managers; off-site backup provider;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on-site and off-site backups (E2) but isolation, immutability and restore testing are not evidenced. Exercise evidence shows unexplained backup failures on several clinic storage units before encryption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 operator or other attacker with administrative access.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Deletion/encryption of backups and recovery tooling.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Backup consoles authenticated through production directory (Analyst assumption - validate)</w:t>
            </w:r>
          </w:p>
          <w:p>
            <w:r>
              <w:rPr>
                <w:rFonts w:ascii="Arial" w:cs="Arial" w:eastAsia="Arial" w:hAnsi="Arial"/>
                <w:sz w:val="16"/>
                <w:szCs w:val="16"/>
              </w:rPr>
              <w:t xml:space="preserve">No immutable or offline copy evidenced</w:t>
            </w:r>
          </w:p>
          <w:p>
            <w:r>
              <w:rPr>
                <w:rFonts w:ascii="Arial" w:cs="Arial" w:eastAsia="Arial" w:hAnsi="Arial"/>
                <w:sz w:val="16"/>
                <w:szCs w:val="16"/>
              </w:rPr>
              <w:t xml:space="preserve">Restore testing and RTO/RPO not evidenced (E7)</w:t>
            </w:r>
          </w:p>
          <w:p>
            <w:r>
              <w:rPr>
                <w:rFonts w:ascii="Arial" w:cs="Arial" w:eastAsia="Arial" w:hAnsi="Arial"/>
                <w:sz w:val="16"/>
                <w:szCs w:val="16"/>
              </w:rPr>
              <w:t xml:space="preserve">Backup failure alerts not escalated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backup servers, off-site copies,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Disaster recovery for 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On-site and off-site backups (E2)</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Days before detonation, the attacker logs into the backup console with a domain administrator account, shortens retention, deletes restore points and corrupts clinic storage replicas. Failed backup jobs raise tickets that are treated as capacity issues. After encryption, restoration attempts fail or reach only stale copies.</w:t>
      </w:r>
    </w:p>
    <w:p>
      <w:pPr>
        <w:pStyle w:val="ListParagraph"/>
        <w:numPr>
          <w:ilvl w:val="0"/>
          <w:numId w:val="2"/>
        </w:numPr>
        <w:spacing w:after="60"/>
      </w:pPr>
      <w:r>
        <w:rPr>
          <w:rFonts w:ascii="Arial" w:cs="Arial" w:eastAsia="Arial" w:hAnsi="Arial"/>
        </w:rPr>
        <w:t xml:space="preserve">Initial access - via S1/S2 chain</w:t>
      </w:r>
    </w:p>
    <w:p>
      <w:pPr>
        <w:pStyle w:val="ListParagraph"/>
        <w:numPr>
          <w:ilvl w:val="0"/>
          <w:numId w:val="2"/>
        </w:numPr>
        <w:spacing w:after="60"/>
      </w:pPr>
      <w:r>
        <w:rPr>
          <w:rFonts w:ascii="Arial" w:cs="Arial" w:eastAsia="Arial" w:hAnsi="Arial"/>
        </w:rPr>
        <w:t xml:space="preserve">Privilege escalation - domain admin</w:t>
      </w:r>
    </w:p>
    <w:p>
      <w:pPr>
        <w:pStyle w:val="ListParagraph"/>
        <w:numPr>
          <w:ilvl w:val="0"/>
          <w:numId w:val="2"/>
        </w:numPr>
        <w:spacing w:after="60"/>
      </w:pPr>
      <w:r>
        <w:rPr>
          <w:rFonts w:ascii="Arial" w:cs="Arial" w:eastAsia="Arial" w:hAnsi="Arial"/>
        </w:rPr>
        <w:t xml:space="preserve">Discovery - locate backup servers and schedules</w:t>
      </w:r>
    </w:p>
    <w:p>
      <w:pPr>
        <w:pStyle w:val="ListParagraph"/>
        <w:numPr>
          <w:ilvl w:val="0"/>
          <w:numId w:val="2"/>
        </w:numPr>
        <w:spacing w:after="60"/>
      </w:pPr>
      <w:r>
        <w:rPr>
          <w:rFonts w:ascii="Arial" w:cs="Arial" w:eastAsia="Arial" w:hAnsi="Arial"/>
        </w:rPr>
        <w:t xml:space="preserve">Lateral movement - to backup network</w:t>
      </w:r>
    </w:p>
    <w:p>
      <w:pPr>
        <w:pStyle w:val="ListParagraph"/>
        <w:numPr>
          <w:ilvl w:val="0"/>
          <w:numId w:val="2"/>
        </w:numPr>
        <w:spacing w:after="60"/>
      </w:pPr>
      <w:r>
        <w:rPr>
          <w:rFonts w:ascii="Arial" w:cs="Arial" w:eastAsia="Arial" w:hAnsi="Arial"/>
        </w:rPr>
        <w:t xml:space="preserve">Manipulation - retention changes, deletion of restore points</w:t>
      </w:r>
    </w:p>
    <w:p>
      <w:pPr>
        <w:pStyle w:val="ListParagraph"/>
        <w:numPr>
          <w:ilvl w:val="0"/>
          <w:numId w:val="2"/>
        </w:numPr>
        <w:spacing w:after="60"/>
      </w:pPr>
      <w:r>
        <w:rPr>
          <w:rFonts w:ascii="Arial" w:cs="Arial" w:eastAsia="Arial" w:hAnsi="Arial"/>
        </w:rPr>
        <w:t xml:space="preserve">Disruption - encryption of backup repositories</w:t>
      </w:r>
    </w:p>
    <w:p>
      <w:pPr>
        <w:pStyle w:val="ListParagraph"/>
        <w:numPr>
          <w:ilvl w:val="0"/>
          <w:numId w:val="2"/>
        </w:numPr>
        <w:spacing w:after="60"/>
      </w:pPr>
      <w:r>
        <w:rPr>
          <w:rFonts w:ascii="Arial" w:cs="Arial" w:eastAsia="Arial" w:hAnsi="Arial"/>
        </w:rPr>
        <w:t xml:space="preserve">Detection - failed restore during incident</w:t>
      </w:r>
    </w:p>
    <w:p>
      <w:pPr>
        <w:pStyle w:val="ListParagraph"/>
        <w:numPr>
          <w:ilvl w:val="0"/>
          <w:numId w:val="2"/>
        </w:numPr>
        <w:spacing w:after="60"/>
      </w:pPr>
      <w:r>
        <w:rPr>
          <w:rFonts w:ascii="Arial" w:cs="Arial" w:eastAsia="Arial" w:hAnsi="Arial"/>
        </w:rPr>
        <w:t xml:space="preserve">Business impact - prolonged outage and potential permanent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Backup data sets also exfiltrated.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Loss of historical clinical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Recovery time extends from days to weeks.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Prolonged paper-based operation.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Pressure to pay ransom; rebuild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Record-keeping and continuity obligations at risk.</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for ongoing treatment.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Conditional on an intrusion reaching administrative level (S1/S2).</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Isolation unknown; failures in E6 suggest exposure.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Partial loss of recent restore points.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usable backup for EHR.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restore testing evidence.</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Recoverability of every crown jewel depends on it.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CVSS:4.0/AV:N/AC:L/AT:N/PR:H/UI:N/VC:H/VI:H/VA:H/SC:N/SI:N/SA:H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Representative weakness: backup management console reachable from production network and trusting production administrator accounts. PR:H attacker already holds admin credentials; VC/VI/VA:H on the backup system; SA:H because recovery of all subsequent systems is lost.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9.2 x ((0.60 + 0.90)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4,879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9.2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1,952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4,879 x 0.80 (probability) x 0.85 (impact)</w:t>
            </w:r>
          </w:p>
        </w:tc>
        <w:tc>
          <w:tcPr>
            <w:tcW w:type="dxa" w:w="1405"/>
            <w:tcMar>
              <w:top w:type="dxa" w:w="50"/>
              <w:left w:type="dxa" w:w="80"/>
              <w:bottom w:type="dxa" w:w="50"/>
              <w:right w:type="dxa" w:w="80"/>
            </w:tcMar>
          </w:tcPr>
          <w:p>
            <w:r>
              <w:rPr>
                <w:rFonts w:ascii="Arial" w:cs="Arial" w:eastAsia="Arial" w:hAnsi="Arial"/>
                <w:sz w:val="15"/>
                <w:szCs w:val="15"/>
              </w:rPr>
              <w:t xml:space="preserve">3,318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4,879 - 3,318</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1,561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1,561 / 1,952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0.80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(4,879 - 1,561) / $423,889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7.83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Immutable/offline copies with separate backup identity (I04), segmentation (I06), PAM (I02), backup-alert monitoring (I03), quarterly restore tests and IR integration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I06 Network segmentation and network access control; I11 Incident response and clinical continuity readiness. Allocated Year-1 cost $423,889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(0.80).</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S4 - Cloud medical-image transfer storage exposed, enabling bulk health-data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or targeted actor discovers a cloud storage location used for medical-image transfer and exports that is shared through long-lived public or weakly authenticated links, downloads large volumes of images and associated patient identifiers, and causes a large-scale health-data breach.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CIO; Cybersecurity lead; Privacy officer; Legal; cloud provider; referring clinicians;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uses cloud integration for remote data access (E2). Exercise evidence shows medical</w:t>
            </w:r>
            <w:r>
              <w:rPr>
                <w:rFonts w:ascii="Arial" w:cs="Arial" w:eastAsia="Arial" w:hAnsi="Arial"/>
                <w:i/>
                <w:iCs/>
                <w:sz w:val="16"/>
                <w:szCs w:val="16"/>
              </w:rPr>
              <w:t xml:space="preserve">image</w:t>
            </w:r>
            <w:r>
              <w:rPr>
                <w:rFonts w:ascii="Arial" w:cs="Arial" w:eastAsia="Arial" w:hAnsi="Arial"/>
                <w:sz w:val="16"/>
                <w:szCs w:val="16"/>
              </w:rPr>
              <w:t xml:space="preserve">export.zip downloaded from an unrecognized IP (E6). Cloud configuration, logging and shared-responsibility understanding are open questions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scanner or cybercriminal data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bulk download from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Permissive or long-lived sharing links (Analyst assumption)</w:t>
            </w:r>
          </w:p>
          <w:p>
            <w:r>
              <w:rPr>
                <w:rFonts w:ascii="Arial" w:cs="Arial" w:eastAsia="Arial" w:hAnsi="Arial"/>
                <w:sz w:val="16"/>
                <w:szCs w:val="16"/>
              </w:rPr>
              <w:t xml:space="preserve">No cloud posture management evidenced</w:t>
            </w:r>
          </w:p>
          <w:p>
            <w:r>
              <w:rPr>
                <w:rFonts w:ascii="Arial" w:cs="Arial" w:eastAsia="Arial" w:hAnsi="Arial"/>
                <w:sz w:val="16"/>
                <w:szCs w:val="16"/>
              </w:rPr>
              <w:t xml:space="preserve">Object-level access logging unknown (E4)</w:t>
            </w:r>
          </w:p>
          <w:p>
            <w:r>
              <w:rPr>
                <w:rFonts w:ascii="Arial" w:cs="Arial" w:eastAsia="Arial" w:hAnsi="Arial"/>
                <w:sz w:val="16"/>
                <w:szCs w:val="16"/>
              </w:rPr>
              <w:t xml:space="preserve">Exports contain identifiers alongside images</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CJ7 cloud image storage; CJ2 radiology.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sharing with clinicians and partners, referrals.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at-rest only, not access control)</w:t>
            </w:r>
          </w:p>
          <w:p>
            <w:r>
              <w:rPr>
                <w:rFonts w:ascii="Arial" w:cs="Arial" w:eastAsia="Arial" w:hAnsi="Arial"/>
                <w:sz w:val="16"/>
                <w:szCs w:val="16"/>
              </w:rPr>
              <w:t xml:space="preserve">Cloud access via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export bucket created for a referral workflow keeps an anonymous access link. Automated scanners find it; an actor downloads several thousand studies with DICOM headers containing patient identifiers. MediBec learns of it from anomalous egress or from a third party.</w:t>
      </w:r>
    </w:p>
    <w:p>
      <w:pPr>
        <w:pStyle w:val="ListParagraph"/>
        <w:numPr>
          <w:ilvl w:val="0"/>
          <w:numId w:val="2"/>
        </w:numPr>
        <w:spacing w:after="60"/>
      </w:pPr>
      <w:r>
        <w:rPr>
          <w:rFonts w:ascii="Arial" w:cs="Arial" w:eastAsia="Arial" w:hAnsi="Arial"/>
        </w:rPr>
        <w:t xml:space="preserve">Discovery - scanning for open storage</w:t>
      </w:r>
    </w:p>
    <w:p>
      <w:pPr>
        <w:pStyle w:val="ListParagraph"/>
        <w:numPr>
          <w:ilvl w:val="0"/>
          <w:numId w:val="2"/>
        </w:numPr>
        <w:spacing w:after="60"/>
      </w:pPr>
      <w:r>
        <w:rPr>
          <w:rFonts w:ascii="Arial" w:cs="Arial" w:eastAsia="Arial" w:hAnsi="Arial"/>
        </w:rPr>
        <w:t xml:space="preserve">Initial access - anonymous or leaked link</w:t>
      </w:r>
    </w:p>
    <w:p>
      <w:pPr>
        <w:pStyle w:val="ListParagraph"/>
        <w:numPr>
          <w:ilvl w:val="0"/>
          <w:numId w:val="2"/>
        </w:numPr>
        <w:spacing w:after="60"/>
      </w:pPr>
      <w:r>
        <w:rPr>
          <w:rFonts w:ascii="Arial" w:cs="Arial" w:eastAsia="Arial" w:hAnsi="Arial"/>
        </w:rPr>
        <w:t xml:space="preserve">Collection - enumeration of objects</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late, via egress anomaly or external notice</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exposure of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Sharing workflow suspended.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 delays.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legal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 - large number of affected individuals.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Cloud storage is continuously scanned.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sharing configuration - unknown; E6 suggests weakness.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data set exposed.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Entire export history exposed.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Logging and detection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Important but not essential to same-day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CVSS:4.0/AV:N/AC:L/AT:N/PR:N/UI:N/VC:H/VI:N/VA:N/SC:N/SI:N/SA:N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storage object accessible without authentication (CWE-284 misconfiguration). AV:N, AC:L, AT:N, PR:N, UI:N; confidentiality only (VC:H).</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0.45 x 8.7 x ((0.55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2,973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0.45 x 8.7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1,321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2,973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1,769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2,973 - 1,769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1,204 / 1,321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0.91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(2,973 - 1,204) / $345,556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5.12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Block public access and enforce expiring authenticated links (I08); DLP and data minimization in exports (I09); object-access logging to MDR (I03).</w:t>
      </w:r>
    </w:p>
    <w:p>
      <w:pPr>
        <w:spacing w:after="120"/>
      </w:pPr>
      <w:r>
        <w:rPr>
          <w:rFonts w:ascii="Arial" w:cs="Arial" w:eastAsia="Arial" w:hAnsi="Arial"/>
        </w:rPr>
        <w:t xml:space="preserve">Initiatives: I03 24/7 managed detection and response with centralized logging; I08 Cloud security posture and secure image transfer; I09 Data access governance and EHR privacy monitoring. Allocated Year-1 cost $345,556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S5 - Misuse of legitimate clinical, privileged or service-account access to extract patient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malicious or curious insider, or an attacker who has taken over the over-privileged ehr-sync-svc service account, uses legitimate but excessive EHR access to query and export large volumes of patient or billing records without triggering review, resulting in a privacy breach and loss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MED-CYR-11 (+ service-account evidence)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HR; Clinical Ops; CIO; Cybersecurity lead; Legal;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access is central to care (E7). Exercise evidence shows unusual query volume from ehr-sync-svc (E6). The appetite statement requires least privilege and logging for high-risk data stores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or negligent insider; external actor using a service account.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query and export of health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Broad role-based access in EHR (Analyst assumption)</w:t>
            </w:r>
          </w:p>
          <w:p>
            <w:r>
              <w:rPr>
                <w:rFonts w:ascii="Arial" w:cs="Arial" w:eastAsia="Arial" w:hAnsi="Arial"/>
                <w:sz w:val="16"/>
                <w:szCs w:val="16"/>
              </w:rPr>
              <w:t xml:space="preserve">Over-privileged service account without vaulting (E6)</w:t>
            </w:r>
          </w:p>
          <w:p>
            <w:r>
              <w:rPr>
                <w:rFonts w:ascii="Arial" w:cs="Arial" w:eastAsia="Arial" w:hAnsi="Arial"/>
                <w:sz w:val="16"/>
                <w:szCs w:val="16"/>
              </w:rPr>
              <w:t xml:space="preserve">No EHR access analytics or periodic recertification evidenced (E7)</w:t>
            </w:r>
          </w:p>
          <w:p>
            <w:r>
              <w:rPr>
                <w:rFonts w:ascii="Arial" w:cs="Arial" w:eastAsia="Arial" w:hAnsi="Arial"/>
                <w:sz w:val="16"/>
                <w:szCs w:val="16"/>
              </w:rPr>
              <w:t xml:space="preserve">No DLP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data; CJ4 billing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documentation, billing, EHR integration.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 exists (E6)</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employee leaving for a competitor exports patient contact and billing lists; separately, ehr-sync-svc credentials stored in a script are reused to pull records at night. Audit logs capture the activity but nobody reviews them until a patient complaint.</w:t>
      </w:r>
    </w:p>
    <w:p>
      <w:pPr>
        <w:pStyle w:val="ListParagraph"/>
        <w:numPr>
          <w:ilvl w:val="0"/>
          <w:numId w:val="2"/>
        </w:numPr>
        <w:spacing w:after="60"/>
      </w:pPr>
      <w:r>
        <w:rPr>
          <w:rFonts w:ascii="Arial" w:cs="Arial" w:eastAsia="Arial" w:hAnsi="Arial"/>
        </w:rPr>
        <w:t xml:space="preserve">Initial access - legitimate account or reused service credential</w:t>
      </w:r>
    </w:p>
    <w:p>
      <w:pPr>
        <w:pStyle w:val="ListParagraph"/>
        <w:numPr>
          <w:ilvl w:val="0"/>
          <w:numId w:val="2"/>
        </w:numPr>
        <w:spacing w:after="60"/>
      </w:pPr>
      <w:r>
        <w:rPr>
          <w:rFonts w:ascii="Arial" w:cs="Arial" w:eastAsia="Arial" w:hAnsi="Arial"/>
        </w:rPr>
        <w:t xml:space="preserve">Collection - bulk queries and exports</w:t>
      </w:r>
    </w:p>
    <w:p>
      <w:pPr>
        <w:pStyle w:val="ListParagraph"/>
        <w:numPr>
          <w:ilvl w:val="0"/>
          <w:numId w:val="2"/>
        </w:numPr>
        <w:spacing w:after="60"/>
      </w:pPr>
      <w:r>
        <w:rPr>
          <w:rFonts w:ascii="Arial" w:cs="Arial" w:eastAsia="Arial" w:hAnsi="Arial"/>
        </w:rPr>
        <w:t xml:space="preserve">Exfiltration - USB, e-mail, personal cloud</w:t>
      </w:r>
    </w:p>
    <w:p>
      <w:pPr>
        <w:pStyle w:val="ListParagraph"/>
        <w:numPr>
          <w:ilvl w:val="0"/>
          <w:numId w:val="2"/>
        </w:numPr>
        <w:spacing w:after="60"/>
      </w:pPr>
      <w:r>
        <w:rPr>
          <w:rFonts w:ascii="Arial" w:cs="Arial" w:eastAsia="Arial" w:hAnsi="Arial"/>
        </w:rPr>
        <w:t xml:space="preserve">Detection - patient complaint or after-the-fact log review</w:t>
      </w:r>
    </w:p>
    <w:p>
      <w:pPr>
        <w:pStyle w:val="ListParagraph"/>
        <w:numPr>
          <w:ilvl w:val="0"/>
          <w:numId w:val="2"/>
        </w:numPr>
        <w:spacing w:after="60"/>
      </w:pPr>
      <w:r>
        <w:rPr>
          <w:rFonts w:ascii="Arial" w:cs="Arial" w:eastAsia="Arial" w:hAnsi="Arial"/>
        </w:rPr>
        <w:t xml:space="preserve">Business impact - privacy breach, disciplinary and legal action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Targeted or bulk disclosure of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Investigations, HR processes.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and 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especially for sensitive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Insider snooping is recurrent in healthcare; service-account anomaly observed.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Legitimate access bypasses perimeter controls; no analytics.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set of records.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Bulk extraction through the service account.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Logs exist but not monitored.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confidentiality is core to trust.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Limited applicability: insider misuse is not a software vulnerability. Representative weakness used for the workbook: excessive privileges on an authenticated account (CWE-269). PR:L legitimate low-privilege access; VC:H bulk read; VI:L. Interpret with caution.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0.55 x 7.1 x ((0.45 + 0.75)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2,812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0.55 x 7.1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1,406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2,812 x 0.60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1,097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2,812 - 1,097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1,715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1,715 / 1,406  (pre-treatment ratio 2.00)</w:t>
            </w:r>
          </w:p>
        </w:tc>
        <w:tc>
          <w:tcPr>
            <w:tcW w:type="dxa" w:w="1405"/>
            <w:tcMar>
              <w:top w:type="dxa" w:w="50"/>
              <w:left w:type="dxa" w:w="80"/>
              <w:bottom w:type="dxa" w:w="50"/>
              <w:right w:type="dxa" w:w="80"/>
            </w:tcMar>
          </w:tcPr>
          <w:p>
            <w:r>
              <w:rPr>
                <w:rFonts w:ascii="Arial" w:cs="Arial" w:eastAsia="Arial" w:hAnsi="Arial"/>
                <w:sz w:val="15"/>
                <w:szCs w:val="15"/>
              </w:rPr>
              <w:t xml:space="preserve">1.22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(2,812 - 1,715) / $260,556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4.21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Least-privilege redesign and access recertification plus EHR access analytics and DLP (I09); vault and restrict service accounts (I02); MDR use-cases (I03); HR/awareness (I12).</w:t>
      </w:r>
    </w:p>
    <w:p>
      <w:pPr>
        <w:spacing w:after="120"/>
      </w:pPr>
      <w:r>
        <w:rPr>
          <w:rFonts w:ascii="Arial" w:cs="Arial" w:eastAsia="Arial" w:hAnsi="Arial"/>
        </w:rPr>
        <w:t xml:space="preserve">Initiatives: I02 Privileged access and service-account management (PAM); I03 24/7 managed detection and response with centralized logging; I09 Data access governance and EHR privacy monitoring; I12 Governance, awareness and risk reporting. Allocated Year-1 cost $260,556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S6 - Exploitation of unpatched internet-facing or end-of-life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cybercriminal or state-linked actor mass-exploits a known vulnerability in an internet-facing remote access gateway, firewall or web application that MediBec has not patched because of uptime concerns, vendor constraints or limited staff, obtaining remote code execution and a foothold for data theft or ransomware.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Cybersecurity lead; application owners; vendors; Clinical Ops (change windows).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Patch delays are documented as a healthcare constraint (E3, E7). Asset inventory completeness and scan coverage are unknown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state-linked actor using public exploits.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Remote exploitation of a known vulnerability.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Patch SLAs and exception governance not evidenced (E7)</w:t>
            </w:r>
          </w:p>
          <w:p>
            <w:r>
              <w:rPr>
                <w:rFonts w:ascii="Arial" w:cs="Arial" w:eastAsia="Arial" w:hAnsi="Arial"/>
                <w:sz w:val="16"/>
                <w:szCs w:val="16"/>
              </w:rPr>
              <w:t xml:space="preserve">Incomplete asset inventory (E4)</w:t>
            </w:r>
          </w:p>
          <w:p>
            <w:r>
              <w:rPr>
                <w:rFonts w:ascii="Arial" w:cs="Arial" w:eastAsia="Arial" w:hAnsi="Arial"/>
                <w:sz w:val="16"/>
                <w:szCs w:val="16"/>
              </w:rPr>
              <w:t xml:space="preserve">Possible end-of-life systems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remote access; CJ6 perimeter; internet-facing applications.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access for clinicians; online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w:t>
            </w:r>
          </w:p>
          <w:p>
            <w:r>
              <w:rPr>
                <w:rFonts w:ascii="Arial" w:cs="Arial" w:eastAsia="Arial" w:hAnsi="Arial"/>
                <w:sz w:val="16"/>
                <w:szCs w:val="16"/>
              </w:rPr>
              <w:t xml:space="preserve">Antimalware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critical flaw in the remote access appliance is disclosed and exploited within days. MediBec schedules the patch for the next quarterly window. The actor implants a web shell, harvests session tokens and pivots internally.</w:t>
      </w:r>
    </w:p>
    <w:p>
      <w:pPr>
        <w:pStyle w:val="ListParagraph"/>
        <w:numPr>
          <w:ilvl w:val="0"/>
          <w:numId w:val="2"/>
        </w:numPr>
        <w:spacing w:after="60"/>
      </w:pPr>
      <w:r>
        <w:rPr>
          <w:rFonts w:ascii="Arial" w:cs="Arial" w:eastAsia="Arial" w:hAnsi="Arial"/>
        </w:rPr>
        <w:t xml:space="preserve">Initial access - exploit of edge device</w:t>
      </w:r>
    </w:p>
    <w:p>
      <w:pPr>
        <w:pStyle w:val="ListParagraph"/>
        <w:numPr>
          <w:ilvl w:val="0"/>
          <w:numId w:val="2"/>
        </w:numPr>
        <w:spacing w:after="60"/>
      </w:pPr>
      <w:r>
        <w:rPr>
          <w:rFonts w:ascii="Arial" w:cs="Arial" w:eastAsia="Arial" w:hAnsi="Arial"/>
        </w:rPr>
        <w:t xml:space="preserve">Persistence - web shell / implant</w:t>
      </w:r>
    </w:p>
    <w:p>
      <w:pPr>
        <w:pStyle w:val="ListParagraph"/>
        <w:numPr>
          <w:ilvl w:val="0"/>
          <w:numId w:val="2"/>
        </w:numPr>
        <w:spacing w:after="60"/>
      </w:pPr>
      <w:r>
        <w:rPr>
          <w:rFonts w:ascii="Arial" w:cs="Arial" w:eastAsia="Arial" w:hAnsi="Arial"/>
        </w:rPr>
        <w:t xml:space="preserve">Credential access - session tokens</w:t>
      </w:r>
    </w:p>
    <w:p>
      <w:pPr>
        <w:pStyle w:val="ListParagraph"/>
        <w:numPr>
          <w:ilvl w:val="0"/>
          <w:numId w:val="2"/>
        </w:numPr>
        <w:spacing w:after="60"/>
      </w:pPr>
      <w:r>
        <w:rPr>
          <w:rFonts w:ascii="Arial" w:cs="Arial" w:eastAsia="Arial" w:hAnsi="Arial"/>
        </w:rPr>
        <w:t xml:space="preserve">Lateral movement - into server network</w:t>
      </w:r>
    </w:p>
    <w:p>
      <w:pPr>
        <w:pStyle w:val="ListParagraph"/>
        <w:numPr>
          <w:ilvl w:val="0"/>
          <w:numId w:val="2"/>
        </w:numPr>
        <w:spacing w:after="60"/>
      </w:pPr>
      <w:r>
        <w:rPr>
          <w:rFonts w:ascii="Arial" w:cs="Arial" w:eastAsia="Arial" w:hAnsi="Arial"/>
        </w:rPr>
        <w:t xml:space="preserve">Collection / disruption - leads to S2 or data theft</w:t>
      </w:r>
    </w:p>
    <w:p>
      <w:pPr>
        <w:pStyle w:val="ListParagraph"/>
        <w:numPr>
          <w:ilvl w:val="0"/>
          <w:numId w:val="2"/>
        </w:numPr>
        <w:spacing w:after="60"/>
      </w:pPr>
      <w:r>
        <w:rPr>
          <w:rFonts w:ascii="Arial" w:cs="Arial" w:eastAsia="Arial" w:hAnsi="Arial"/>
        </w:rPr>
        <w:t xml:space="preserve">Detection - external notice or threat hunt</w:t>
      </w:r>
    </w:p>
    <w:p>
      <w:pPr>
        <w:pStyle w:val="ListParagraph"/>
        <w:numPr>
          <w:ilvl w:val="0"/>
          <w:numId w:val="2"/>
        </w:numPr>
        <w:spacing w:after="60"/>
      </w:pPr>
      <w:r>
        <w:rPr>
          <w:rFonts w:ascii="Arial" w:cs="Arial" w:eastAsia="Arial" w:hAnsi="Arial"/>
        </w:rPr>
        <w:t xml:space="preserve">Business impact - intrusion, possible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Potential access to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 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Remote access outage during emergency patching.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 remote access disrupted.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Incident response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Edge-device exploitation campaigns are frequent.</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Patching lag documented; inventory incomplete.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with some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Precursor to network-wide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Detection of implants uncertain.</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Remote access and perimeter serve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CVSS:4.0/AV:N/AC:L/AT:N/PR:N/UI:N/VC:H/VI:H/VA:H/SC:H/SI:H/SA:H   </w:t>
      </w:r>
      <w:r>
        <w:rPr>
          <w:rFonts w:ascii="Arial" w:cs="Arial" w:eastAsia="Arial" w:hAnsi="Arial"/>
          <w:b/>
          <w:bCs/>
        </w:rPr>
        <w:t xml:space="preserve">CVSS-B:</w:t>
      </w:r>
      <w:r>
        <w:rPr>
          <w:rFonts w:ascii="Arial" w:cs="Arial" w:eastAsia="Arial" w:hAnsi="Arial"/>
        </w:rPr>
        <w:t xml:space="preserve"> 10.0 (Critical)</w:t>
      </w:r>
    </w:p>
    <w:p>
      <w:pPr>
        <w:spacing w:after="120"/>
      </w:pPr>
      <w:r>
        <w:rPr>
          <w:rFonts w:ascii="Arial" w:cs="Arial" w:eastAsia="Arial" w:hAnsi="Arial"/>
        </w:rPr>
        <w:t xml:space="preserve">Representative weakness: unauthenticated remote code execution in an internet-facing gateway (typical of known-exploited edge vulnerabilities). All impacts High because the gateway fronts the internal network. Replace with the actual CVE vector once scan data is available.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0.50 x 10.0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6,375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0.50 x 10.0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2,550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6,375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3,793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6,375 - 3,793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2,582 / 2,550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1.01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(6,375 - 2,582) / $320,889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11.82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Risk-based vulnerability and patch management with KEV SLAs and EOL retirement (I05); segmentation behind the edge (I06); MDR threat hunting (I03).</w:t>
      </w:r>
    </w:p>
    <w:p>
      <w:pPr>
        <w:spacing w:after="120"/>
      </w:pPr>
      <w:r>
        <w:rPr>
          <w:rFonts w:ascii="Arial" w:cs="Arial" w:eastAsia="Arial" w:hAnsi="Arial"/>
        </w:rPr>
        <w:t xml:space="preserve">Initiatives: I03 24/7 managed detection and response with centralized logging; I05 Risk-based vulnerability and patch management; I06 Network segmentation and network access control. Allocated Year-1 cost $320,889 (share of shared initiatives). Horizon: 1-9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S7 - Connected medical device used as a foothold to disrupt clinical equipment and reach the EHR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reaching a clinic network (through malware, a compromised clinic Wi-Fi or vendor access) exploits an unpatched or default-credential medical device on a network shared with EHR workstations, disrupting device operation and using it as a persistent foothold, with potential consequences for patient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MED-CYR-09 (+ Wi-Fi path 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Biomedical engineering; Clinical Ops; clinic managers; device manufacturers; CIO; Cybersecurity lead;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Medical equipment is interconnected with the EHR environment; inventory, patch levels and segmentation are unknown (E2, E4). Patching is constrained by certification (E3).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(opportunistic or during ransomware operation).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 medical/IoT device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Incomplete device inventory (E4)</w:t>
            </w:r>
          </w:p>
          <w:p>
            <w:r>
              <w:rPr>
                <w:rFonts w:ascii="Arial" w:cs="Arial" w:eastAsia="Arial" w:hAnsi="Arial"/>
                <w:sz w:val="16"/>
                <w:szCs w:val="16"/>
              </w:rPr>
              <w:t xml:space="preserve">Embedded OS patching restricted by certification (E3)</w:t>
            </w:r>
          </w:p>
          <w:p>
            <w:r>
              <w:rPr>
                <w:rFonts w:ascii="Arial" w:cs="Arial" w:eastAsia="Arial" w:hAnsi="Arial"/>
                <w:sz w:val="16"/>
                <w:szCs w:val="16"/>
              </w:rPr>
              <w:t xml:space="preserve">Devices and guest/clinical Wi-Fi not segmented (E4, E7 - validate)</w:t>
            </w:r>
          </w:p>
          <w:p>
            <w:r>
              <w:rPr>
                <w:rFonts w:ascii="Arial" w:cs="Arial" w:eastAsia="Arial" w:hAnsi="Arial"/>
                <w:sz w:val="16"/>
                <w:szCs w:val="16"/>
              </w:rPr>
              <w:t xml:space="preserve">Default credentials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CJ8 medical devices; CJ2 diagnostics; clinic LAN.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imaging, monitoring, device-to-EHR data flows.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hub (E2 - east-west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Ransomware spreading in a clinic encrypts the Windows-based console of an imaging device; separately, an attacker on guest Wi-Fi reaches a device with default credentials and uses it as a pivot that endpoint tools do not cover.</w:t>
      </w:r>
    </w:p>
    <w:p>
      <w:pPr>
        <w:pStyle w:val="ListParagraph"/>
        <w:numPr>
          <w:ilvl w:val="0"/>
          <w:numId w:val="2"/>
        </w:numPr>
        <w:spacing w:after="60"/>
      </w:pPr>
      <w:r>
        <w:rPr>
          <w:rFonts w:ascii="Arial" w:cs="Arial" w:eastAsia="Arial" w:hAnsi="Arial"/>
        </w:rPr>
        <w:t xml:space="preserve">Initial access - adjacent network (Wi-Fi or infected workstation)</w:t>
      </w:r>
    </w:p>
    <w:p>
      <w:pPr>
        <w:pStyle w:val="ListParagraph"/>
        <w:numPr>
          <w:ilvl w:val="0"/>
          <w:numId w:val="2"/>
        </w:numPr>
        <w:spacing w:after="60"/>
      </w:pPr>
      <w:r>
        <w:rPr>
          <w:rFonts w:ascii="Arial" w:cs="Arial" w:eastAsia="Arial" w:hAnsi="Arial"/>
        </w:rPr>
        <w:t xml:space="preserve">Exploitation - unpatched service / default credentials</w:t>
      </w:r>
    </w:p>
    <w:p>
      <w:pPr>
        <w:pStyle w:val="ListParagraph"/>
        <w:numPr>
          <w:ilvl w:val="0"/>
          <w:numId w:val="2"/>
        </w:numPr>
        <w:spacing w:after="60"/>
      </w:pPr>
      <w:r>
        <w:rPr>
          <w:rFonts w:ascii="Arial" w:cs="Arial" w:eastAsia="Arial" w:hAnsi="Arial"/>
        </w:rPr>
        <w:t xml:space="preserve">Persistence - implant on unmanaged device</w:t>
      </w:r>
    </w:p>
    <w:p>
      <w:pPr>
        <w:pStyle w:val="ListParagraph"/>
        <w:numPr>
          <w:ilvl w:val="0"/>
          <w:numId w:val="2"/>
        </w:numPr>
        <w:spacing w:after="60"/>
      </w:pPr>
      <w:r>
        <w:rPr>
          <w:rFonts w:ascii="Arial" w:cs="Arial" w:eastAsia="Arial" w:hAnsi="Arial"/>
        </w:rPr>
        <w:t xml:space="preserve">Lateral movement - to EHR workstations</w:t>
      </w:r>
    </w:p>
    <w:p>
      <w:pPr>
        <w:pStyle w:val="ListParagraph"/>
        <w:numPr>
          <w:ilvl w:val="0"/>
          <w:numId w:val="2"/>
        </w:numPr>
        <w:spacing w:after="60"/>
      </w:pPr>
      <w:r>
        <w:rPr>
          <w:rFonts w:ascii="Arial" w:cs="Arial" w:eastAsia="Arial" w:hAnsi="Arial"/>
        </w:rPr>
        <w:t xml:space="preserve">Disruption - device unavailable or data altered</w:t>
      </w:r>
    </w:p>
    <w:p>
      <w:pPr>
        <w:pStyle w:val="ListParagraph"/>
        <w:numPr>
          <w:ilvl w:val="0"/>
          <w:numId w:val="2"/>
        </w:numPr>
        <w:spacing w:after="60"/>
      </w:pPr>
      <w:r>
        <w:rPr>
          <w:rFonts w:ascii="Arial" w:cs="Arial" w:eastAsia="Arial" w:hAnsi="Arial"/>
        </w:rPr>
        <w:t xml:space="preserve">Detection - clinical staff notice malfunction</w:t>
      </w:r>
    </w:p>
    <w:p>
      <w:pPr>
        <w:pStyle w:val="ListParagraph"/>
        <w:numPr>
          <w:ilvl w:val="0"/>
          <w:numId w:val="2"/>
        </w:numPr>
        <w:spacing w:after="60"/>
      </w:pPr>
      <w:r>
        <w:rPr>
          <w:rFonts w:ascii="Arial" w:cs="Arial" w:eastAsia="Arial" w:hAnsi="Arial"/>
        </w:rPr>
        <w:t xml:space="preserve">Business impact - postponed procedures, safety review</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Device-stored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altered readings.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Devices out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Procedure cancellations.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remediation with vendor.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Device-safety reporting may apply (validate).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patient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delayed or incorrect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Targeting of devices is less frequent than IT, but collateral infection is common.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 and segmentation constraints documented.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Some devices unavailable at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altered or unavailable equipment.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 or inventory evidence.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Direct link to patient safety.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CVSS:4.0/AV:A/AC:L/AT:N/PR:N/UI:N/VC:H/VI:H/VA:H/SC:L/SI:L/SA:L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unpatched embedded service or default credential on a networked device. AV:A reachable from the clinic LAN/Wi-Fi only; PR:N; full device impact; SC/SI/SA:L onward effects. CVSS supplemental metric Safety (S:P) would apply but is not part of the base score.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0.50 x 8.7 x ((0.55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3,775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0.50 x 8.7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3,775 x 0.70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1,586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3,775 - 1,586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2,190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2,190 / 1,510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(3,775 - 2,190) / $522,000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3.04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Medical device security programme (I07), segmentation and NAC including guest Wi-Fi isolation (I06), patch/compensating controls (I05). Residual depends on manufacturers.</w:t>
      </w:r>
    </w:p>
    <w:p>
      <w:pPr>
        <w:spacing w:after="120"/>
      </w:pPr>
      <w:r>
        <w:rPr>
          <w:rFonts w:ascii="Arial" w:cs="Arial" w:eastAsia="Arial" w:hAnsi="Arial"/>
        </w:rPr>
        <w:t xml:space="preserve">Initiatives: I05 Risk-based vulnerability and patch management; I06 Network segmentation and network access control; I07 Medical device security programme. Allocated Year-1 cost $522,000 (share of shared initiatives). Horizon: 3-24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(1.45).</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S8 - Detection and response gaps allow an intrusion to persist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intrusion by any external actor goes unnoticed or is misclassified because alert triage, log coverage and after-hours monitoring are insufficient for a two-person cybersecurity team, and the untested incident response plan leads to slow, uncoordinated containment, turning a contained event into a major privacy and operational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MED-CYR-08 / 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 CIO; Executive leadership; Clinical Ops; clinic managers; Privacy/Legal; Communications; MDR/forensic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Two dedicated cybersecurity staff (E3); a PowerShell alert was closed as low severity; unusual logins, cloud downloads and service-account queries were not correlated (E6). The IR plan has not been tested across clinics (E8 MED-CYR-15).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external actor (amplifier scenario).</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Undetected dwell time and delayed, uncoordinated response.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24/7 monitoring (E3 - inferred)</w:t>
            </w:r>
          </w:p>
          <w:p>
            <w:r>
              <w:rPr>
                <w:rFonts w:ascii="Arial" w:cs="Arial" w:eastAsia="Arial" w:hAnsi="Arial"/>
                <w:sz w:val="16"/>
                <w:szCs w:val="16"/>
              </w:rPr>
              <w:t xml:space="preserve">Alert triage criteria weak (E6)</w:t>
            </w:r>
          </w:p>
          <w:p>
            <w:r>
              <w:rPr>
                <w:rFonts w:ascii="Arial" w:cs="Arial" w:eastAsia="Arial" w:hAnsi="Arial"/>
                <w:sz w:val="16"/>
                <w:szCs w:val="16"/>
              </w:rPr>
              <w:t xml:space="preserve">Log coverage and retention unknown (E4)</w:t>
            </w:r>
          </w:p>
          <w:p>
            <w:r>
              <w:rPr>
                <w:rFonts w:ascii="Arial" w:cs="Arial" w:eastAsia="Arial" w:hAnsi="Arial"/>
                <w:sz w:val="16"/>
                <w:szCs w:val="16"/>
              </w:rPr>
              <w:t xml:space="preserve">IR plan untested; decision rights unclear (E8)</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All crown jewels; especially CJ1, CJ5.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management, clinical continuity, privacy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IDS/IPS (E2)</w:t>
            </w:r>
          </w:p>
          <w:p>
            <w:r>
              <w:rPr>
                <w:rFonts w:ascii="Arial" w:cs="Arial" w:eastAsia="Arial" w:hAnsi="Arial"/>
                <w:sz w:val="16"/>
                <w:szCs w:val="16"/>
              </w:rPr>
              <w:t xml:space="preserve">EDR (E6)</w:t>
            </w:r>
          </w:p>
          <w:p>
            <w:r>
              <w:rPr>
                <w:rFonts w:ascii="Arial" w:cs="Arial" w:eastAsia="Arial" w:hAnsi="Arial"/>
                <w:sz w:val="16"/>
                <w:szCs w:val="16"/>
              </w:rPr>
              <w:t xml:space="preserve">Incident command roles defined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Across ten days, four weak signals (phishing, PowerShell, unusual login, cloud download) are visible in different consoles but no one correlates them. When encryption begins, roles, forensic engagement and clinical workarounds are improvised.</w:t>
      </w:r>
    </w:p>
    <w:p>
      <w:pPr>
        <w:pStyle w:val="ListParagraph"/>
        <w:numPr>
          <w:ilvl w:val="0"/>
          <w:numId w:val="2"/>
        </w:numPr>
        <w:spacing w:after="60"/>
      </w:pPr>
      <w:r>
        <w:rPr>
          <w:rFonts w:ascii="Arial" w:cs="Arial" w:eastAsia="Arial" w:hAnsi="Arial"/>
        </w:rPr>
        <w:t xml:space="preserve">Initial access - via S1/S6</w:t>
      </w:r>
    </w:p>
    <w:p>
      <w:pPr>
        <w:pStyle w:val="ListParagraph"/>
        <w:numPr>
          <w:ilvl w:val="0"/>
          <w:numId w:val="2"/>
        </w:numPr>
        <w:spacing w:after="60"/>
      </w:pPr>
      <w:r>
        <w:rPr>
          <w:rFonts w:ascii="Arial" w:cs="Arial" w:eastAsia="Arial" w:hAnsi="Arial"/>
        </w:rPr>
        <w:t xml:space="preserve">Weak signals generated but not triaged</w:t>
      </w:r>
    </w:p>
    <w:p>
      <w:pPr>
        <w:pStyle w:val="ListParagraph"/>
        <w:numPr>
          <w:ilvl w:val="0"/>
          <w:numId w:val="2"/>
        </w:numPr>
        <w:spacing w:after="60"/>
      </w:pPr>
      <w:r>
        <w:rPr>
          <w:rFonts w:ascii="Arial" w:cs="Arial" w:eastAsia="Arial" w:hAnsi="Arial"/>
        </w:rPr>
        <w:t xml:space="preserve">Dwell time of days to weeks</w:t>
      </w:r>
    </w:p>
    <w:p>
      <w:pPr>
        <w:pStyle w:val="ListParagraph"/>
        <w:numPr>
          <w:ilvl w:val="0"/>
          <w:numId w:val="2"/>
        </w:numPr>
        <w:spacing w:after="60"/>
      </w:pPr>
      <w:r>
        <w:rPr>
          <w:rFonts w:ascii="Arial" w:cs="Arial" w:eastAsia="Arial" w:hAnsi="Arial"/>
        </w:rPr>
        <w:t xml:space="preserve">Escalation to data theft / encryption</w:t>
      </w:r>
    </w:p>
    <w:p>
      <w:pPr>
        <w:pStyle w:val="ListParagraph"/>
        <w:numPr>
          <w:ilvl w:val="0"/>
          <w:numId w:val="2"/>
        </w:numPr>
        <w:spacing w:after="60"/>
      </w:pPr>
      <w:r>
        <w:rPr>
          <w:rFonts w:ascii="Arial" w:cs="Arial" w:eastAsia="Arial" w:hAnsi="Arial"/>
        </w:rPr>
        <w:t xml:space="preserve">Detection - by impact, not by monitoring</w:t>
      </w:r>
    </w:p>
    <w:p>
      <w:pPr>
        <w:pStyle w:val="ListParagraph"/>
        <w:numPr>
          <w:ilvl w:val="0"/>
          <w:numId w:val="2"/>
        </w:numPr>
        <w:spacing w:after="60"/>
      </w:pPr>
      <w:r>
        <w:rPr>
          <w:rFonts w:ascii="Arial" w:cs="Arial" w:eastAsia="Arial" w:hAnsi="Arial"/>
        </w:rPr>
        <w:t xml:space="preserve">Response - delayed decisions, evidence loss</w:t>
      </w:r>
    </w:p>
    <w:p>
      <w:pPr>
        <w:pStyle w:val="ListParagraph"/>
        <w:numPr>
          <w:ilvl w:val="0"/>
          <w:numId w:val="2"/>
        </w:numPr>
        <w:spacing w:after="60"/>
      </w:pPr>
      <w:r>
        <w:rPr>
          <w:rFonts w:ascii="Arial" w:cs="Arial" w:eastAsia="Arial" w:hAnsi="Arial"/>
        </w:rPr>
        <w:t xml:space="preserve">Business impact - amplified harm</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Larger breach scope; weaker evidence of what was accessed.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Uncertainty over what was changed.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Longer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Poor coordination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Higher total incident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Inability to substantiate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Perceived mismanagement.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 via prolonged outage.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Attempts ongoing; some will pass perimeter controls.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Evidence of mis-triaged alerts and uncorrelated signals.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Incident escalates before containment.</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ransomware and breach scenario.</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and response are the weak capability itself.</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Response capacity protects every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CVSS:4.0/AV:L/AC:L/AT:N/PR:N/UI:P/VC:H/VI:H/VA:L/SC:H/SI:L/SA:L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Limited applicability: a detection gap is a control weakness, not a vulnerability. Representative weakness for the workbook: the undetected initial code-execution vector (macro/PowerShell, E6), scored AV:L because the e-mailed document is opened and executed locally (FIRST CVSS v4.0 user guide). Do not interpret the score as the severity of the detection gap.</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0.60 x 9.2 x ((0.60 + 0.90) / 2) x 0.85 / 0.30 x 1,000</w:t>
            </w:r>
          </w:p>
        </w:tc>
        <w:tc>
          <w:tcPr>
            <w:tcW w:type="dxa" w:w="1405"/>
            <w:tcMar>
              <w:top w:type="dxa" w:w="50"/>
              <w:left w:type="dxa" w:w="80"/>
              <w:bottom w:type="dxa" w:w="50"/>
              <w:right w:type="dxa" w:w="80"/>
            </w:tcMar>
          </w:tcPr>
          <w:p>
            <w:r>
              <w:rPr>
                <w:rFonts w:ascii="Arial" w:cs="Arial" w:eastAsia="Arial" w:hAnsi="Arial"/>
                <w:sz w:val="15"/>
                <w:szCs w:val="15"/>
              </w:rPr>
              <w:t xml:space="preserve">9,384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0.60 x 9.2 x 0.30 x 0.85 / 0.30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3,754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9,384 x 0.70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5,255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9,384 - 5,255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4,129 / 3,754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(9,384 - 4,129) / $208,889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25.16</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24/7 MDR with centralized logging and escalation criteria (I03); IR plan, playbooks, retainer and tabletop exercises across clinics (I11); governance reporting (I12).</w:t>
      </w:r>
    </w:p>
    <w:p>
      <w:pPr>
        <w:spacing w:after="120"/>
      </w:pPr>
      <w:r>
        <w:rPr>
          <w:rFonts w:ascii="Arial" w:cs="Arial" w:eastAsia="Arial" w:hAnsi="Arial"/>
        </w:rPr>
        <w:t xml:space="preserve">Initiatives: I01 Phishing-resistant MFA and conditional access; I03 24/7 managed detection and response with centralized logging; I11 Incident response and clinical continuity readiness; I12 Governance, awareness and risk reporting. Allocated Year-1 cost $208,889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(1.10).</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S9 - Compromise of a critical vendor with remote access to MediBec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an EHR, diagnostic, device or IT support vendor and uses the vendor's standing remote access or software update channel to enter MediBec's environment, bypassing perimeter controls to access health data or deploy malware.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CIO; Cybersecurity lead; Vendor coordination lead; Privacy/Legal; Clinical Ops; affected vendors.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depends on EHR, cloud, device and support vendors (E2, E7). Vendor assurance, contract clauses and access restrictions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Supply-chain attacker (cybercriminal or state-linked).</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Intrusion through a trusted third-party access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vendor remote access (Analyst assumption)</w:t>
            </w:r>
          </w:p>
          <w:p>
            <w:r>
              <w:rPr>
                <w:rFonts w:ascii="Arial" w:cs="Arial" w:eastAsia="Arial" w:hAnsi="Arial"/>
                <w:sz w:val="16"/>
                <w:szCs w:val="16"/>
              </w:rPr>
              <w:t xml:space="preserve">No vendor tiering or assessments evidenced (E7)</w:t>
            </w:r>
          </w:p>
          <w:p>
            <w:r>
              <w:rPr>
                <w:rFonts w:ascii="Arial" w:cs="Arial" w:eastAsia="Arial" w:hAnsi="Arial"/>
                <w:sz w:val="16"/>
                <w:szCs w:val="16"/>
              </w:rPr>
              <w:t xml:space="preserve">Incident-notification clauses unknown (E5)</w:t>
            </w:r>
          </w:p>
          <w:p>
            <w:r>
              <w:rPr>
                <w:rFonts w:ascii="Arial" w:cs="Arial" w:eastAsia="Arial" w:hAnsi="Arial"/>
                <w:sz w:val="16"/>
                <w:szCs w:val="16"/>
              </w:rPr>
              <w:t xml:space="preserve">Vendor sessions not brokered or recorded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CJ8 and vendor-managed components.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EHR support, device maintenance, IT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Vendor coordination role defined for incidents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remote-support tool used by a diagnostic-system vendor is compromised; the attacker uses the vendor's always-on connection to access the imaging server and pivot. The vendor notifies customers two weeks later.</w:t>
      </w:r>
    </w:p>
    <w:p>
      <w:pPr>
        <w:pStyle w:val="ListParagraph"/>
        <w:numPr>
          <w:ilvl w:val="0"/>
          <w:numId w:val="2"/>
        </w:numPr>
        <w:spacing w:after="60"/>
      </w:pPr>
      <w:r>
        <w:rPr>
          <w:rFonts w:ascii="Arial" w:cs="Arial" w:eastAsia="Arial" w:hAnsi="Arial"/>
        </w:rPr>
        <w:t xml:space="preserve">Initial access - via vendor remote access</w:t>
      </w:r>
    </w:p>
    <w:p>
      <w:pPr>
        <w:pStyle w:val="ListParagraph"/>
        <w:numPr>
          <w:ilvl w:val="0"/>
          <w:numId w:val="2"/>
        </w:numPr>
        <w:spacing w:after="60"/>
      </w:pPr>
      <w:r>
        <w:rPr>
          <w:rFonts w:ascii="Arial" w:cs="Arial" w:eastAsia="Arial" w:hAnsi="Arial"/>
        </w:rPr>
        <w:t xml:space="preserve">Exploitation - trusted session</w:t>
      </w:r>
    </w:p>
    <w:p>
      <w:pPr>
        <w:pStyle w:val="ListParagraph"/>
        <w:numPr>
          <w:ilvl w:val="0"/>
          <w:numId w:val="2"/>
        </w:numPr>
        <w:spacing w:after="60"/>
      </w:pPr>
      <w:r>
        <w:rPr>
          <w:rFonts w:ascii="Arial" w:cs="Arial" w:eastAsia="Arial" w:hAnsi="Arial"/>
        </w:rPr>
        <w:t xml:space="preserve">Discovery - vendor-managed servers</w:t>
      </w:r>
    </w:p>
    <w:p>
      <w:pPr>
        <w:pStyle w:val="ListParagraph"/>
        <w:numPr>
          <w:ilvl w:val="0"/>
          <w:numId w:val="2"/>
        </w:numPr>
        <w:spacing w:after="60"/>
      </w:pPr>
      <w:r>
        <w:rPr>
          <w:rFonts w:ascii="Arial" w:cs="Arial" w:eastAsia="Arial" w:hAnsi="Arial"/>
        </w:rPr>
        <w:t xml:space="preserve">Lateral movement - into MediBec network</w:t>
      </w:r>
    </w:p>
    <w:p>
      <w:pPr>
        <w:pStyle w:val="ListParagraph"/>
        <w:numPr>
          <w:ilvl w:val="0"/>
          <w:numId w:val="2"/>
        </w:numPr>
        <w:spacing w:after="60"/>
      </w:pPr>
      <w:r>
        <w:rPr>
          <w:rFonts w:ascii="Arial" w:cs="Arial" w:eastAsia="Arial" w:hAnsi="Arial"/>
        </w:rPr>
        <w:t xml:space="preserve">Collection / disruption</w:t>
      </w:r>
    </w:p>
    <w:p>
      <w:pPr>
        <w:pStyle w:val="ListParagraph"/>
        <w:numPr>
          <w:ilvl w:val="0"/>
          <w:numId w:val="2"/>
        </w:numPr>
        <w:spacing w:after="60"/>
      </w:pPr>
      <w:r>
        <w:rPr>
          <w:rFonts w:ascii="Arial" w:cs="Arial" w:eastAsia="Arial" w:hAnsi="Arial"/>
        </w:rPr>
        <w:t xml:space="preserve">Detection - vendor notice or MDR alert</w:t>
      </w:r>
    </w:p>
    <w:p>
      <w:pPr>
        <w:pStyle w:val="ListParagraph"/>
        <w:numPr>
          <w:ilvl w:val="0"/>
          <w:numId w:val="2"/>
        </w:numPr>
        <w:spacing w:after="60"/>
      </w:pPr>
      <w:r>
        <w:rPr>
          <w:rFonts w:ascii="Arial" w:cs="Arial" w:eastAsia="Arial" w:hAnsi="Arial"/>
        </w:rPr>
        <w:t xml:space="preserve">Business impact - breach and outage, contractual disputes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Health data exposed via vendor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tampering with vendor-managed systems.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Vendor systems isolated during investigation.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services degraded.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Shared-liability disputes.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MediBec remains accountable for its data.</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Supply-chain attacks on healthcare vendors are recurrent.</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Controls over vendor access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Breach through one vendor path.</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vendor compromise affecting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Limited visibility into vendor activity.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Vendors support crown-jewel systems.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CVSS:4.0/AV:N/AC:L/AT:P/PR:L/UI:N/VC:H/VI:H/VA:H/SC:H/SI:H/SA:H   </w:t>
      </w:r>
      <w:r>
        <w:rPr>
          <w:rFonts w:ascii="Arial" w:cs="Arial" w:eastAsia="Arial" w:hAnsi="Arial"/>
          <w:b/>
          <w:bCs/>
        </w:rPr>
        <w:t xml:space="preserve">CVSS-B:</w:t>
      </w:r>
      <w:r>
        <w:rPr>
          <w:rFonts w:ascii="Arial" w:cs="Arial" w:eastAsia="Arial" w:hAnsi="Arial"/>
        </w:rPr>
        <w:t xml:space="preserve"> 9.0 (Critical)</w:t>
      </w:r>
    </w:p>
    <w:p>
      <w:pPr>
        <w:spacing w:after="120"/>
      </w:pPr>
      <w:r>
        <w:rPr>
          <w:rFonts w:ascii="Arial" w:cs="Arial" w:eastAsia="Arial" w:hAnsi="Arial"/>
        </w:rPr>
        <w:t xml:space="preserve">Limited applicability: supplier concentration is not a single vulnerability. Representative weakness: standing authenticated remote-access channel. AT:P the vendor must first be compromised; PR:L vendor account; full impacts. Validate against actual vendor access design.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0.45 x 9.0 x ((0.60 + 0.90)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4,057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0.45 x 9.0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1,623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4,057 x 0.55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1,562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4,057 - 1,562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2,495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2,495 / 1,623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1.54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(4,057 - 2,495) / $383,889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4.07</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Third-party risk programme and contract clauses (I10); vendor access only through PAM with MFA and recording (I01/I02); MDR monitoring of vendor sessions (I03); joint IR (I11). Residual largely outside MediBec's control - consider contractual and insurance transfer.</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I10 Third-party cyber risk management; I11 Incident response and clinical continuity readiness. Allocated Year-1 cost $383,889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(1.54).</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S10 - Manipulation of patient, medication or billing records undermining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with compromised clinical credentials, or a malicious insider, alters medication, allergy, laboratory or billing records in the EHR or pharmacy system without detection, leading to incorrect clinical decisions, patient harm and loss of confidence in the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Pharmacy lead; Laboratory lead; physicians; Privacy officer; CIO; Cybersecurity lead;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Clinical decisions rely on EHR, lab and pharmacy data (E1). Integrity controls are listed among expected controls but are not evidenced (E8). The appetite statement allows no residual risk that creates credible immediate threat to patient care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(extortion or sabotage) or malicious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modification of clinical or billing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integrity monitoring or reconciliation evidenced (E8)</w:t>
            </w:r>
          </w:p>
          <w:p>
            <w:r>
              <w:rPr>
                <w:rFonts w:ascii="Arial" w:cs="Arial" w:eastAsia="Arial" w:hAnsi="Arial"/>
                <w:sz w:val="16"/>
                <w:szCs w:val="16"/>
              </w:rPr>
              <w:t xml:space="preserve">Broad write privileges (Analyst assumption)</w:t>
            </w:r>
          </w:p>
          <w:p>
            <w:r>
              <w:rPr>
                <w:rFonts w:ascii="Arial" w:cs="Arial" w:eastAsia="Arial" w:hAnsi="Arial"/>
                <w:sz w:val="16"/>
                <w:szCs w:val="16"/>
              </w:rPr>
              <w:t xml:space="preserve">Audit trail review not evidenced</w:t>
            </w:r>
          </w:p>
          <w:p>
            <w:r>
              <w:rPr>
                <w:rFonts w:ascii="Arial" w:cs="Arial" w:eastAsia="Arial" w:hAnsi="Arial"/>
                <w:sz w:val="16"/>
                <w:szCs w:val="16"/>
              </w:rPr>
              <w:t xml:space="preserve">Post-restore integrity verification absent</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CJ2 pharmacy and laboratory systems;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Prescribing, dispensing, diagnosis,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logging (E6)</w:t>
            </w:r>
          </w:p>
          <w:p>
            <w:r>
              <w:rPr>
                <w:rFonts w:ascii="Arial" w:cs="Arial" w:eastAsia="Arial" w:hAnsi="Arial"/>
                <w:sz w:val="16"/>
                <w:szCs w:val="16"/>
              </w:rPr>
              <w:t xml:space="preserve">Encrypted storage (E2 - no integrity protection)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a credential compromise, an extortion group alters allergy entries for a sample of patients and then demands payment to reveal which records were changed. MediBec must verify thousands of records manually.</w:t>
      </w:r>
    </w:p>
    <w:p>
      <w:pPr>
        <w:pStyle w:val="ListParagraph"/>
        <w:numPr>
          <w:ilvl w:val="0"/>
          <w:numId w:val="2"/>
        </w:numPr>
        <w:spacing w:after="60"/>
      </w:pPr>
      <w:r>
        <w:rPr>
          <w:rFonts w:ascii="Arial" w:cs="Arial" w:eastAsia="Arial" w:hAnsi="Arial"/>
        </w:rPr>
        <w:t xml:space="preserve">Initial access - compromised clinical account</w:t>
      </w:r>
    </w:p>
    <w:p>
      <w:pPr>
        <w:pStyle w:val="ListParagraph"/>
        <w:numPr>
          <w:ilvl w:val="0"/>
          <w:numId w:val="2"/>
        </w:numPr>
        <w:spacing w:after="60"/>
      </w:pPr>
      <w:r>
        <w:rPr>
          <w:rFonts w:ascii="Arial" w:cs="Arial" w:eastAsia="Arial" w:hAnsi="Arial"/>
        </w:rPr>
        <w:t xml:space="preserve">Manipulation - targeted record changes</w:t>
      </w:r>
    </w:p>
    <w:p>
      <w:pPr>
        <w:pStyle w:val="ListParagraph"/>
        <w:numPr>
          <w:ilvl w:val="0"/>
          <w:numId w:val="2"/>
        </w:numPr>
        <w:spacing w:after="60"/>
      </w:pPr>
      <w:r>
        <w:rPr>
          <w:rFonts w:ascii="Arial" w:cs="Arial" w:eastAsia="Arial" w:hAnsi="Arial"/>
        </w:rPr>
        <w:t xml:space="preserve">Detection - clinician notices inconsistency or extortion note</w:t>
      </w:r>
    </w:p>
    <w:p>
      <w:pPr>
        <w:pStyle w:val="ListParagraph"/>
        <w:numPr>
          <w:ilvl w:val="0"/>
          <w:numId w:val="2"/>
        </w:numPr>
        <w:spacing w:after="60"/>
      </w:pPr>
      <w:r>
        <w:rPr>
          <w:rFonts w:ascii="Arial" w:cs="Arial" w:eastAsia="Arial" w:hAnsi="Arial"/>
        </w:rPr>
        <w:t xml:space="preserve">Response - verification against backups</w:t>
      </w:r>
    </w:p>
    <w:p>
      <w:pPr>
        <w:pStyle w:val="ListParagraph"/>
        <w:numPr>
          <w:ilvl w:val="0"/>
          <w:numId w:val="2"/>
        </w:numPr>
        <w:spacing w:after="60"/>
      </w:pPr>
      <w:r>
        <w:rPr>
          <w:rFonts w:ascii="Arial" w:cs="Arial" w:eastAsia="Arial" w:hAnsi="Arial"/>
        </w:rPr>
        <w:t xml:space="preserve">Business impact - clinical safety review, loss of trust in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 - trust in clinical record.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in restricted mode during verification.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Manual verification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Verification,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Professional and privacy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 if harm occurs.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wrong medication or diagnosis.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Integrity attacks are rarer than theft or encryption.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Requires write access; monitoring absent.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Limited record set altered and detected.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undetected alteration.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Backups exist but integrity verification absent.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record integrity underpins safe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CVSS:4.0/AV:N/AC:L/AT:N/PR:L/UI:N/VC:L/VI:H/VA:N/SC:N/SI:H/SA:N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authenticated user able to modify records beyond need (improper authorization, CWE-285). PR:L; VI:H; SI:H because pharmacy/lab downstream systems consume the altered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0.30 x 0.40 x 8.3 x ((0.55 + 0.95) / 2) x 0.95 / 0.40 x 1,000</w:t>
            </w:r>
          </w:p>
        </w:tc>
        <w:tc>
          <w:tcPr>
            <w:tcW w:type="dxa" w:w="1405"/>
            <w:tcMar>
              <w:top w:type="dxa" w:w="50"/>
              <w:left w:type="dxa" w:w="80"/>
              <w:bottom w:type="dxa" w:w="50"/>
              <w:right w:type="dxa" w:w="80"/>
            </w:tcMar>
          </w:tcPr>
          <w:p>
            <w:r>
              <w:rPr>
                <w:rFonts w:ascii="Arial" w:cs="Arial" w:eastAsia="Arial" w:hAnsi="Arial"/>
                <w:sz w:val="15"/>
                <w:szCs w:val="15"/>
              </w:rPr>
              <w:t xml:space="preserve">1,774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0.30 x 0.40 x 8.3 x 0.30 x 0.95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1,774 x 0.70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931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1,774 - 931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843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843 / 710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(1,774 - 843) / $590,556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Integrity monitoring and reconciliation (I13), least-privilege write access (I09/I02), strong authentication (I01), backup-based verification (I04), MDR (I03), clinical playbook (I11).</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I04 Immutable and isolated backup with tested recovery; I09 Data access governance and EHR privacy monitoring; I11 Incident response and clinical continuity readiness; I13 Clinical data integrity controls. Allocated Year-1 cost $590,556 (share of shared initiatives). Horizon: 3-15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(1.19).</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1"/>
        <w:pageBreakBefore/>
      </w:pPr>
      <w:r>
        <w:rPr>
          <w:rFonts w:ascii="Arial" w:cs="Arial" w:eastAsia="Arial" w:hAnsi="Arial"/>
        </w:rPr>
        <w:t xml:space="preserve">8. Cross-scenario analysis</w:t>
      </w:r>
    </w:p>
    <w:p>
      <w:pPr>
        <w:pStyle w:val="Heading2"/>
      </w:pPr>
      <w:r>
        <w:rPr>
          <w:rFonts w:ascii="Arial" w:cs="Arial" w:eastAsia="Arial" w:hAnsi="Arial"/>
        </w:rPr>
        <w:t xml:space="preserve">8.1 Recurring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4"/>
        <w:gridCol w:w="5430"/>
      </w:tblGrid>
      <w:tr>
        <w:trPr>
          <w:tblHeader/>
        </w:trPr>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Root cause</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Scenarios</w:t>
            </w:r>
          </w:p>
        </w:tc>
        <w:tc>
          <w:tcPr>
            <w:tcW w:type="dxa" w:w="543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Observation</w:t>
            </w:r>
          </w:p>
        </w:tc>
      </w:tr>
      <w:tr>
        <w:tc>
          <w:tcPr>
            <w:tcW w:type="dxa" w:w="2246"/>
            <w:tcMar>
              <w:top w:type="dxa" w:w="50"/>
              <w:left w:type="dxa" w:w="80"/>
              <w:bottom w:type="dxa" w:w="50"/>
              <w:right w:type="dxa" w:w="80"/>
            </w:tcMar>
          </w:tcPr>
          <w:p>
            <w:r>
              <w:rPr>
                <w:rFonts w:ascii="Arial" w:cs="Arial" w:eastAsia="Arial" w:hAnsi="Arial"/>
                <w:sz w:val="16"/>
                <w:szCs w:val="16"/>
              </w:rPr>
              <w:t xml:space="preserve">Identity that can be phished or abused</w:t>
            </w:r>
          </w:p>
        </w:tc>
        <w:tc>
          <w:tcPr>
            <w:tcW w:type="dxa" w:w="1684"/>
            <w:tcMar>
              <w:top w:type="dxa" w:w="50"/>
              <w:left w:type="dxa" w:w="80"/>
              <w:bottom w:type="dxa" w:w="50"/>
              <w:right w:type="dxa" w:w="80"/>
            </w:tcMar>
          </w:tcPr>
          <w:p>
            <w:r>
              <w:rPr>
                <w:rFonts w:ascii="Arial" w:cs="Arial" w:eastAsia="Arial" w:hAnsi="Arial"/>
                <w:sz w:val="16"/>
                <w:szCs w:val="16"/>
              </w:rPr>
              <w:t xml:space="preserve">S1, S2, S5, S8, S9, S10</w:t>
            </w:r>
          </w:p>
        </w:tc>
        <w:tc>
          <w:tcPr>
            <w:tcW w:type="dxa" w:w="5430"/>
            <w:tcMar>
              <w:top w:type="dxa" w:w="50"/>
              <w:left w:type="dxa" w:w="80"/>
              <w:bottom w:type="dxa" w:w="50"/>
              <w:right w:type="dxa" w:w="80"/>
            </w:tcMar>
          </w:tcPr>
          <w:p>
            <w:r>
              <w:rPr>
                <w:rFonts w:ascii="Arial" w:cs="Arial" w:eastAsia="Arial" w:hAnsi="Arial"/>
                <w:sz w:val="16"/>
                <w:szCs w:val="16"/>
              </w:rPr>
              <w:t xml:space="preserve">Push MFA, standing privileges, un-vaulted service accounts and vendor access provide the main entry and escalation paths.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Limited detection and response capacity</w:t>
            </w:r>
          </w:p>
        </w:tc>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All (S8 amplifier)</w:t>
            </w:r>
          </w:p>
        </w:tc>
        <w:tc>
          <w:tcPr>
            <w:tcW w:type="dxa" w:w="5430"/>
            <w:shd w:fill="F2F2F2" w:color="auto" w:val="clear"/>
            <w:tcMar>
              <w:top w:type="dxa" w:w="50"/>
              <w:left w:type="dxa" w:w="80"/>
              <w:bottom w:type="dxa" w:w="50"/>
              <w:right w:type="dxa" w:w="80"/>
            </w:tcMar>
          </w:tcPr>
          <w:p>
            <w:r>
              <w:rPr>
                <w:rFonts w:ascii="Arial" w:cs="Arial" w:eastAsia="Arial" w:hAnsi="Arial"/>
                <w:sz w:val="16"/>
                <w:szCs w:val="16"/>
              </w:rPr>
              <w:t xml:space="preserve">Two staff cannot provide 24/7 triage; weak signals in E6 were not correlated. This raises damage in every scenario.</w:t>
            </w:r>
          </w:p>
        </w:tc>
      </w:tr>
      <w:tr>
        <w:tc>
          <w:tcPr>
            <w:tcW w:type="dxa" w:w="2246"/>
            <w:tcMar>
              <w:top w:type="dxa" w:w="50"/>
              <w:left w:type="dxa" w:w="80"/>
              <w:bottom w:type="dxa" w:w="50"/>
              <w:right w:type="dxa" w:w="80"/>
            </w:tcMar>
          </w:tcPr>
          <w:p>
            <w:r>
              <w:rPr>
                <w:rFonts w:ascii="Arial" w:cs="Arial" w:eastAsia="Arial" w:hAnsi="Arial"/>
                <w:sz w:val="16"/>
                <w:szCs w:val="16"/>
              </w:rPr>
              <w:t xml:space="preserve">Unproven recoverability</w:t>
            </w:r>
          </w:p>
        </w:tc>
        <w:tc>
          <w:tcPr>
            <w:tcW w:type="dxa" w:w="1684"/>
            <w:tcMar>
              <w:top w:type="dxa" w:w="50"/>
              <w:left w:type="dxa" w:w="80"/>
              <w:bottom w:type="dxa" w:w="50"/>
              <w:right w:type="dxa" w:w="80"/>
            </w:tcMar>
          </w:tcPr>
          <w:p>
            <w:r>
              <w:rPr>
                <w:rFonts w:ascii="Arial" w:cs="Arial" w:eastAsia="Arial" w:hAnsi="Arial"/>
                <w:sz w:val="16"/>
                <w:szCs w:val="16"/>
              </w:rPr>
              <w:t xml:space="preserve">S2, S3, S10</w:t>
            </w:r>
          </w:p>
        </w:tc>
        <w:tc>
          <w:tcPr>
            <w:tcW w:type="dxa" w:w="5430"/>
            <w:tcMar>
              <w:top w:type="dxa" w:w="50"/>
              <w:left w:type="dxa" w:w="80"/>
              <w:bottom w:type="dxa" w:w="50"/>
              <w:right w:type="dxa" w:w="80"/>
            </w:tcMar>
          </w:tcPr>
          <w:p>
            <w:r>
              <w:rPr>
                <w:rFonts w:ascii="Arial" w:cs="Arial" w:eastAsia="Arial" w:hAnsi="Arial"/>
                <w:sz w:val="16"/>
                <w:szCs w:val="16"/>
              </w:rPr>
              <w:t xml:space="preserve">Backups exist but isolation, immutability, restore tests and integrity checks are not evidenced.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Flat, heterogeneous clinic networks</w:t>
            </w:r>
          </w:p>
        </w:tc>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S2, S6, S7</w:t>
            </w:r>
          </w:p>
        </w:tc>
        <w:tc>
          <w:tcPr>
            <w:tcW w:type="dxa" w:w="5430"/>
            <w:shd w:fill="F2F2F2" w:color="auto" w:val="clear"/>
            <w:tcMar>
              <w:top w:type="dxa" w:w="50"/>
              <w:left w:type="dxa" w:w="80"/>
              <w:bottom w:type="dxa" w:w="50"/>
              <w:right w:type="dxa" w:w="80"/>
            </w:tcMar>
          </w:tcPr>
          <w:p>
            <w:r>
              <w:rPr>
                <w:rFonts w:ascii="Arial" w:cs="Arial" w:eastAsia="Arial" w:hAnsi="Arial"/>
                <w:sz w:val="16"/>
                <w:szCs w:val="16"/>
              </w:rPr>
              <w:t xml:space="preserve">Workstations, medical devices and Wi-Fi share networks; one foothold reaches clinical systems.</w:t>
            </w:r>
          </w:p>
        </w:tc>
      </w:tr>
      <w:tr>
        <w:tc>
          <w:tcPr>
            <w:tcW w:type="dxa" w:w="2246"/>
            <w:tcMar>
              <w:top w:type="dxa" w:w="50"/>
              <w:left w:type="dxa" w:w="80"/>
              <w:bottom w:type="dxa" w:w="50"/>
              <w:right w:type="dxa" w:w="80"/>
            </w:tcMar>
          </w:tcPr>
          <w:p>
            <w:r>
              <w:rPr>
                <w:rFonts w:ascii="Arial" w:cs="Arial" w:eastAsia="Arial" w:hAnsi="Arial"/>
                <w:sz w:val="16"/>
                <w:szCs w:val="16"/>
              </w:rPr>
              <w:t xml:space="preserve">Limited visibility of data stores and third parties</w:t>
            </w:r>
          </w:p>
        </w:tc>
        <w:tc>
          <w:tcPr>
            <w:tcW w:type="dxa" w:w="1684"/>
            <w:tcMar>
              <w:top w:type="dxa" w:w="50"/>
              <w:left w:type="dxa" w:w="80"/>
              <w:bottom w:type="dxa" w:w="50"/>
              <w:right w:type="dxa" w:w="80"/>
            </w:tcMar>
          </w:tcPr>
          <w:p>
            <w:r>
              <w:rPr>
                <w:rFonts w:ascii="Arial" w:cs="Arial" w:eastAsia="Arial" w:hAnsi="Arial"/>
                <w:sz w:val="16"/>
                <w:szCs w:val="16"/>
              </w:rPr>
              <w:t xml:space="preserve">S4, S5, S9</w:t>
            </w:r>
          </w:p>
        </w:tc>
        <w:tc>
          <w:tcPr>
            <w:tcW w:type="dxa" w:w="5430"/>
            <w:tcMar>
              <w:top w:type="dxa" w:w="50"/>
              <w:left w:type="dxa" w:w="80"/>
              <w:bottom w:type="dxa" w:w="50"/>
              <w:right w:type="dxa" w:w="80"/>
            </w:tcMar>
          </w:tcPr>
          <w:p>
            <w:r>
              <w:rPr>
                <w:rFonts w:ascii="Arial" w:cs="Arial" w:eastAsia="Arial" w:hAnsi="Arial"/>
                <w:sz w:val="16"/>
                <w:szCs w:val="16"/>
              </w:rPr>
              <w:t xml:space="preserve">Cloud storage, EHR access patterns and vendor sessions are not monitored.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Governance operating on paper</w:t>
            </w:r>
          </w:p>
        </w:tc>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All</w:t>
            </w:r>
          </w:p>
        </w:tc>
        <w:tc>
          <w:tcPr>
            <w:tcW w:type="dxa" w:w="5430"/>
            <w:shd w:fill="F2F2F2" w:color="auto" w:val="clear"/>
            <w:tcMar>
              <w:top w:type="dxa" w:w="50"/>
              <w:left w:type="dxa" w:w="80"/>
              <w:bottom w:type="dxa" w:w="50"/>
              <w:right w:type="dxa" w:w="80"/>
            </w:tcMar>
          </w:tcPr>
          <w:p>
            <w:r>
              <w:rPr>
                <w:rFonts w:ascii="Arial" w:cs="Arial" w:eastAsia="Arial" w:hAnsi="Arial"/>
                <w:sz w:val="16"/>
                <w:szCs w:val="16"/>
              </w:rPr>
              <w:t xml:space="preserve">Roles are defined, but no KRI reporting, access recertification or tested IR is evidenced.</w:t>
            </w:r>
          </w:p>
        </w:tc>
      </w:tr>
    </w:tbl>
    <w:p>
      <w:pPr>
        <w:pStyle w:val="Heading2"/>
      </w:pPr>
      <w:r>
        <w:rPr>
          <w:rFonts w:ascii="Arial" w:cs="Arial" w:eastAsia="Arial" w:hAnsi="Arial"/>
        </w:rPr>
        <w:t xml:space="preserve">8.2 Concentration and systemic dependencies</w:t>
      </w:r>
    </w:p>
    <w:p>
      <w:pPr>
        <w:pStyle w:val="ListParagraph"/>
        <w:numPr>
          <w:ilvl w:val="0"/>
          <w:numId w:val="2"/>
        </w:numPr>
        <w:spacing w:after="60"/>
      </w:pPr>
      <w:r>
        <w:rPr>
          <w:rFonts w:ascii="Arial" w:cs="Arial" w:eastAsia="Arial" w:hAnsi="Arial"/>
          <w:b/>
          <w:bCs/>
        </w:rPr>
        <w:t xml:space="preserve">Montreal hub</w:t>
      </w:r>
      <w:r>
        <w:rPr>
          <w:rFonts w:ascii="Arial" w:cs="Arial" w:eastAsia="Arial" w:hAnsi="Arial"/>
        </w:rPr>
        <w:t xml:space="preserve"> - EHR, identity, backups and WAN converge on one site; any enterprise-wide compromise affects all 10 clinics simultaneously.</w:t>
      </w:r>
    </w:p>
    <w:p>
      <w:pPr>
        <w:pStyle w:val="ListParagraph"/>
        <w:numPr>
          <w:ilvl w:val="0"/>
          <w:numId w:val="2"/>
        </w:numPr>
        <w:spacing w:after="60"/>
      </w:pPr>
      <w:r>
        <w:rPr>
          <w:rFonts w:ascii="Arial" w:cs="Arial" w:eastAsia="Arial" w:hAnsi="Arial"/>
          <w:b/>
          <w:bCs/>
        </w:rPr>
        <w:t xml:space="preserve">Identity platform</w:t>
      </w:r>
      <w:r>
        <w:rPr>
          <w:rFonts w:ascii="Arial" w:cs="Arial" w:eastAsia="Arial" w:hAnsi="Arial"/>
        </w:rPr>
        <w:t xml:space="preserve"> - a single directory and MFA service gate every crown jewel; its compromise defeats most other controls.</w:t>
      </w:r>
    </w:p>
    <w:p>
      <w:pPr>
        <w:pStyle w:val="ListParagraph"/>
        <w:numPr>
          <w:ilvl w:val="0"/>
          <w:numId w:val="2"/>
        </w:numPr>
        <w:spacing w:after="60"/>
      </w:pPr>
      <w:r>
        <w:rPr>
          <w:rFonts w:ascii="Arial" w:cs="Arial" w:eastAsia="Arial" w:hAnsi="Arial"/>
          <w:b/>
          <w:bCs/>
        </w:rPr>
        <w:t xml:space="preserve">EHR vendor</w:t>
      </w:r>
      <w:r>
        <w:rPr>
          <w:rFonts w:ascii="Arial" w:cs="Arial" w:eastAsia="Arial" w:hAnsi="Arial"/>
        </w:rPr>
        <w:t xml:space="preserve"> - a single integrated EHR supplier represents concentration risk (S9); vendor identity and contract terms are an </w:t>
      </w:r>
      <w:r>
        <w:rPr>
          <w:rFonts w:ascii="Arial" w:cs="Arial" w:eastAsia="Arial" w:hAnsi="Arial"/>
          <w:b/>
          <w:bCs/>
        </w:rPr>
        <w:t xml:space="preserve">Information gap — organizational validation required</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Scenario chaining</w:t>
      </w:r>
      <w:r>
        <w:rPr>
          <w:rFonts w:ascii="Arial" w:cs="Arial" w:eastAsia="Arial" w:hAnsi="Arial"/>
        </w:rPr>
        <w:t xml:space="preserve"> - S1 or S6 (entry) + S8 (undetected) + S3 (no recovery) = S2 at maximum damage. Treating the chain's weakest links (I01, I03, I04) reduces several scenarios at once.</w:t>
      </w:r>
    </w:p>
    <w:p>
      <w:pPr>
        <w:pStyle w:val="Heading2"/>
      </w:pPr>
      <w:r>
        <w:rPr>
          <w:rFonts w:ascii="Arial" w:cs="Arial" w:eastAsia="Arial" w:hAnsi="Arial"/>
        </w:rPr>
        <w:t xml:space="preserve">8.3 Shared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684"/>
        <w:gridCol w:w="5243"/>
      </w:tblGrid>
      <w:tr>
        <w:trPr>
          <w:tblHeader/>
        </w:trPr>
        <w:tc>
          <w:tcPr>
            <w:tcW w:type="dxa" w:w="243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Initiative</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Scenarios</w:t>
            </w:r>
          </w:p>
        </w:tc>
        <w:tc>
          <w:tcPr>
            <w:tcW w:type="dxa" w:w="524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Why it is shared</w:t>
            </w:r>
          </w:p>
        </w:tc>
      </w:tr>
      <w:tr>
        <w:tc>
          <w:tcPr>
            <w:tcW w:type="dxa" w:w="2433"/>
            <w:tcMar>
              <w:top w:type="dxa" w:w="50"/>
              <w:left w:type="dxa" w:w="80"/>
              <w:bottom w:type="dxa" w:w="50"/>
              <w:right w:type="dxa" w:w="80"/>
            </w:tcMar>
          </w:tcPr>
          <w:p>
            <w:r>
              <w:rPr>
                <w:rFonts w:ascii="Arial" w:cs="Arial" w:eastAsia="Arial" w:hAnsi="Arial"/>
                <w:sz w:val="15"/>
                <w:szCs w:val="15"/>
              </w:rPr>
              <w:t xml:space="preserve">I01 Phishing-resistant MFA and conditional access</w:t>
            </w:r>
          </w:p>
        </w:tc>
        <w:tc>
          <w:tcPr>
            <w:tcW w:type="dxa" w:w="1684"/>
            <w:tcMar>
              <w:top w:type="dxa" w:w="50"/>
              <w:left w:type="dxa" w:w="80"/>
              <w:bottom w:type="dxa" w:w="50"/>
              <w:right w:type="dxa" w:w="80"/>
            </w:tcMar>
          </w:tcPr>
          <w:p>
            <w:r>
              <w:rPr>
                <w:rFonts w:ascii="Arial" w:cs="Arial" w:eastAsia="Arial" w:hAnsi="Arial"/>
                <w:sz w:val="15"/>
                <w:szCs w:val="15"/>
              </w:rPr>
              <w:t xml:space="preserve">S1, S8, S9, S10</w:t>
            </w:r>
          </w:p>
        </w:tc>
        <w:tc>
          <w:tcPr>
            <w:tcW w:type="dxa" w:w="5243"/>
            <w:tcMar>
              <w:top w:type="dxa" w:w="50"/>
              <w:left w:type="dxa" w:w="80"/>
              <w:bottom w:type="dxa" w:w="50"/>
              <w:right w:type="dxa" w:w="80"/>
            </w:tcMar>
          </w:tcPr>
          <w:p>
            <w:r>
              <w:rPr>
                <w:rFonts w:ascii="Arial" w:cs="Arial" w:eastAsia="Arial" w:hAnsi="Arial"/>
                <w:sz w:val="15"/>
                <w:szCs w:val="15"/>
              </w:rPr>
              <w:t xml:space="preserve">FIDO2/passkeys for privileged, remote-access and EHR administrator accounts; number-matching MFA for all other users; conditional access (geo, device health); block internet-sourced Office macros.</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I02 Privileged access and service-account management (PAM)</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S1, S2, S3, S5, S9, S10</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Tiered administration, credential vault, just-in-time elevation, rotation and least privilege for service accounts (incl. ehr-sync-svc), vendor sessions brokered and recorded.</w:t>
            </w:r>
          </w:p>
        </w:tc>
      </w:tr>
      <w:tr>
        <w:tc>
          <w:tcPr>
            <w:tcW w:type="dxa" w:w="2433"/>
            <w:tcMar>
              <w:top w:type="dxa" w:w="50"/>
              <w:left w:type="dxa" w:w="80"/>
              <w:bottom w:type="dxa" w:w="50"/>
              <w:right w:type="dxa" w:w="80"/>
            </w:tcMar>
          </w:tcPr>
          <w:p>
            <w:r>
              <w:rPr>
                <w:rFonts w:ascii="Arial" w:cs="Arial" w:eastAsia="Arial" w:hAnsi="Arial"/>
                <w:sz w:val="15"/>
                <w:szCs w:val="15"/>
              </w:rPr>
              <w:t xml:space="preserve">I03 24/7 managed detection and response with centralized logging</w:t>
            </w:r>
          </w:p>
        </w:tc>
        <w:tc>
          <w:tcPr>
            <w:tcW w:type="dxa" w:w="1684"/>
            <w:tcMar>
              <w:top w:type="dxa" w:w="50"/>
              <w:left w:type="dxa" w:w="80"/>
              <w:bottom w:type="dxa" w:w="50"/>
              <w:right w:type="dxa" w:w="80"/>
            </w:tcMar>
          </w:tcPr>
          <w:p>
            <w:r>
              <w:rPr>
                <w:rFonts w:ascii="Arial" w:cs="Arial" w:eastAsia="Arial" w:hAnsi="Arial"/>
                <w:sz w:val="15"/>
                <w:szCs w:val="15"/>
              </w:rPr>
              <w:t xml:space="preserve">S1, S2, S3, S4, S5, S6, S8, S9, S10</w:t>
            </w:r>
          </w:p>
        </w:tc>
        <w:tc>
          <w:tcPr>
            <w:tcW w:type="dxa" w:w="5243"/>
            <w:tcMar>
              <w:top w:type="dxa" w:w="50"/>
              <w:left w:type="dxa" w:w="80"/>
              <w:bottom w:type="dxa" w:w="50"/>
              <w:right w:type="dxa" w:w="80"/>
            </w:tcMar>
          </w:tcPr>
          <w:p>
            <w:r>
              <w:rPr>
                <w:rFonts w:ascii="Arial" w:cs="Arial" w:eastAsia="Arial" w:hAnsi="Arial"/>
                <w:sz w:val="15"/>
                <w:szCs w:val="15"/>
              </w:rPr>
              <w:t xml:space="preserve">MDR provider on full EDR coverage; SIEM ingesting identity, remote access, EHR audit, cloud, backup and firewall logs; defined escalation criteria; 12-month log retention.</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I04 Immutable and isolated backup with tested recovery</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S2, S3, S10</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Immutable/offline copies, separate backup identity domain with MFA, backup network isolation, quarterly restore tests incl. clinic storage, documented RTO/RPO per crown jewel.</w:t>
            </w:r>
          </w:p>
        </w:tc>
      </w:tr>
      <w:tr>
        <w:tc>
          <w:tcPr>
            <w:tcW w:type="dxa" w:w="2433"/>
            <w:tcMar>
              <w:top w:type="dxa" w:w="50"/>
              <w:left w:type="dxa" w:w="80"/>
              <w:bottom w:type="dxa" w:w="50"/>
              <w:right w:type="dxa" w:w="80"/>
            </w:tcMar>
          </w:tcPr>
          <w:p>
            <w:r>
              <w:rPr>
                <w:rFonts w:ascii="Arial" w:cs="Arial" w:eastAsia="Arial" w:hAnsi="Arial"/>
                <w:sz w:val="15"/>
                <w:szCs w:val="15"/>
              </w:rPr>
              <w:t xml:space="preserve">I05 Risk-based vulnerability and patch management</w:t>
            </w:r>
          </w:p>
        </w:tc>
        <w:tc>
          <w:tcPr>
            <w:tcW w:type="dxa" w:w="1684"/>
            <w:tcMar>
              <w:top w:type="dxa" w:w="50"/>
              <w:left w:type="dxa" w:w="80"/>
              <w:bottom w:type="dxa" w:w="50"/>
              <w:right w:type="dxa" w:w="80"/>
            </w:tcMar>
          </w:tcPr>
          <w:p>
            <w:r>
              <w:rPr>
                <w:rFonts w:ascii="Arial" w:cs="Arial" w:eastAsia="Arial" w:hAnsi="Arial"/>
                <w:sz w:val="15"/>
                <w:szCs w:val="15"/>
              </w:rPr>
              <w:t xml:space="preserve">S2, S6, S7</w:t>
            </w:r>
          </w:p>
        </w:tc>
        <w:tc>
          <w:tcPr>
            <w:tcW w:type="dxa" w:w="5243"/>
            <w:tcMar>
              <w:top w:type="dxa" w:w="50"/>
              <w:left w:type="dxa" w:w="80"/>
              <w:bottom w:type="dxa" w:w="50"/>
              <w:right w:type="dxa" w:w="80"/>
            </w:tcMar>
          </w:tcPr>
          <w:p>
            <w:r>
              <w:rPr>
                <w:rFonts w:ascii="Arial" w:cs="Arial" w:eastAsia="Arial" w:hAnsi="Arial"/>
                <w:sz w:val="15"/>
                <w:szCs w:val="15"/>
              </w:rPr>
              <w:t xml:space="preserve">Complete asset inventory, authenticated scanning, external attack-surface monitoring, SLAs (known-exploited: 72 h internet-facing / 14 days internal), exception governance, retirement of end-of-life systems; 1 dedicated FTE.</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I06 Network segmentation and network access control</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S2, S3, S6, S7</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Zones for clinical systems, medical devices, administration, guest Wi-Fi (WPA3), backups and servers; NAC at clinics; east-west firewall rules.</w:t>
            </w:r>
          </w:p>
        </w:tc>
      </w:tr>
      <w:tr>
        <w:tc>
          <w:tcPr>
            <w:tcW w:type="dxa" w:w="2433"/>
            <w:tcMar>
              <w:top w:type="dxa" w:w="50"/>
              <w:left w:type="dxa" w:w="80"/>
              <w:bottom w:type="dxa" w:w="50"/>
              <w:right w:type="dxa" w:w="80"/>
            </w:tcMar>
          </w:tcPr>
          <w:p>
            <w:r>
              <w:rPr>
                <w:rFonts w:ascii="Arial" w:cs="Arial" w:eastAsia="Arial" w:hAnsi="Arial"/>
                <w:sz w:val="15"/>
                <w:szCs w:val="15"/>
              </w:rPr>
              <w:t xml:space="preserve">I09 Data access governance and EHR privacy monitoring</w:t>
            </w:r>
          </w:p>
        </w:tc>
        <w:tc>
          <w:tcPr>
            <w:tcW w:type="dxa" w:w="1684"/>
            <w:tcMar>
              <w:top w:type="dxa" w:w="50"/>
              <w:left w:type="dxa" w:w="80"/>
              <w:bottom w:type="dxa" w:w="50"/>
              <w:right w:type="dxa" w:w="80"/>
            </w:tcMar>
          </w:tcPr>
          <w:p>
            <w:r>
              <w:rPr>
                <w:rFonts w:ascii="Arial" w:cs="Arial" w:eastAsia="Arial" w:hAnsi="Arial"/>
                <w:sz w:val="15"/>
                <w:szCs w:val="15"/>
              </w:rPr>
              <w:t xml:space="preserve">S4, S5, S10</w:t>
            </w:r>
          </w:p>
        </w:tc>
        <w:tc>
          <w:tcPr>
            <w:tcW w:type="dxa" w:w="5243"/>
            <w:tcMar>
              <w:top w:type="dxa" w:w="50"/>
              <w:left w:type="dxa" w:w="80"/>
              <w:bottom w:type="dxa" w:w="50"/>
              <w:right w:type="dxa" w:w="80"/>
            </w:tcMar>
          </w:tcPr>
          <w:p>
            <w:r>
              <w:rPr>
                <w:rFonts w:ascii="Arial" w:cs="Arial" w:eastAsia="Arial" w:hAnsi="Arial"/>
                <w:sz w:val="15"/>
                <w:szCs w:val="15"/>
              </w:rPr>
              <w:t xml:space="preserve">Role-based access redesign, quarterly access recertification, EHR access analytics (break-the-glass, VIP, bulk queries), endpoint/cloud DLP for health data.</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I11 Incident response and clinical continuity readiness</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S2, S3, S8, S9, S10</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Updated IR plan and playbooks (ransomware, privacy breach, device), IR/forensics retainer, semi-annual tabletop including clinics, clinical downtime procedures.</w:t>
            </w:r>
          </w:p>
        </w:tc>
      </w:tr>
      <w:tr>
        <w:tc>
          <w:tcPr>
            <w:tcW w:type="dxa" w:w="2433"/>
            <w:tcMar>
              <w:top w:type="dxa" w:w="50"/>
              <w:left w:type="dxa" w:w="80"/>
              <w:bottom w:type="dxa" w:w="50"/>
              <w:right w:type="dxa" w:w="80"/>
            </w:tcMar>
          </w:tcPr>
          <w:p>
            <w:r>
              <w:rPr>
                <w:rFonts w:ascii="Arial" w:cs="Arial" w:eastAsia="Arial" w:hAnsi="Arial"/>
                <w:sz w:val="15"/>
                <w:szCs w:val="15"/>
              </w:rPr>
              <w:t xml:space="preserve">I12 Governance, awareness and risk reporting</w:t>
            </w:r>
          </w:p>
        </w:tc>
        <w:tc>
          <w:tcPr>
            <w:tcW w:type="dxa" w:w="1684"/>
            <w:tcMar>
              <w:top w:type="dxa" w:w="50"/>
              <w:left w:type="dxa" w:w="80"/>
              <w:bottom w:type="dxa" w:w="50"/>
              <w:right w:type="dxa" w:w="80"/>
            </w:tcMar>
          </w:tcPr>
          <w:p>
            <w:r>
              <w:rPr>
                <w:rFonts w:ascii="Arial" w:cs="Arial" w:eastAsia="Arial" w:hAnsi="Arial"/>
                <w:sz w:val="15"/>
                <w:szCs w:val="15"/>
              </w:rPr>
              <w:t xml:space="preserve">S1, S2, S5, S8</w:t>
            </w:r>
          </w:p>
        </w:tc>
        <w:tc>
          <w:tcPr>
            <w:tcW w:type="dxa" w:w="5243"/>
            <w:tcMar>
              <w:top w:type="dxa" w:w="50"/>
              <w:left w:type="dxa" w:w="80"/>
              <w:bottom w:type="dxa" w:w="50"/>
              <w:right w:type="dxa" w:w="80"/>
            </w:tcMar>
          </w:tcPr>
          <w:p>
            <w:r>
              <w:rPr>
                <w:rFonts w:ascii="Arial" w:cs="Arial" w:eastAsia="Arial" w:hAnsi="Arial"/>
                <w:sz w:val="15"/>
                <w:szCs w:val="15"/>
              </w:rPr>
              <w:t xml:space="preserve">Role-based awareness and phishing simulation, quarterly KRI dashboard to Steering Committee, risk register and acceptance workflow, cyber-insurance coverage review.</w:t>
            </w:r>
          </w:p>
        </w:tc>
      </w:tr>
    </w:tbl>
    <w:p>
      <w:pPr>
        <w:spacing w:after="80"/>
      </w:pPr>
    </w:p>
    <w:p>
      <w:pPr>
        <w:spacing w:after="120"/>
      </w:pPr>
      <w:r>
        <w:rPr>
          <w:rFonts w:ascii="Arial" w:cs="Arial" w:eastAsia="Arial" w:hAnsi="Arial"/>
        </w:rPr>
        <w:t xml:space="preserve">Shared initiatives are costed once in the portfolio and their Year-1 cost is split equally among the scenarios they address (Workbook, Portfolio sheet). Scenario-level cost-effectiveness therefore reflects a fair share, not the full enterprise cost. Key dependencies: I02 (PAM) needs the account inventory from I01; I06 (segmentation) needs the device and asset inventories from I05 and I07; I13 needs the logging platform from I03.</w:t>
      </w:r>
    </w:p>
    <w:p>
      <w:pPr>
        <w:pStyle w:val="Heading1"/>
        <w:pageBreakBefore/>
      </w:pPr>
      <w:r>
        <w:rPr>
          <w:rFonts w:ascii="Arial" w:cs="Arial" w:eastAsia="Arial" w:hAnsi="Arial"/>
        </w:rPr>
        <w:t xml:space="preserve">9. Sensitivity analysis</w:t>
      </w:r>
    </w:p>
    <w:p>
      <w:pPr>
        <w:spacing w:after="120"/>
      </w:pPr>
      <w:r>
        <w:rPr>
          <w:rFonts w:ascii="Arial" w:cs="Arial" w:eastAsia="Arial" w:hAnsi="Arial"/>
        </w:rPr>
        <w:t xml:space="preserve">For five key scenarios, all uncertain parameters were shifted together by 0.10: the lower-risk case lowers threat, exploitation and damage values and raises resilience and treatment effectiveness; the higher-risk case does the reverse. This is a deliberately wide band given Low-to-Medium confidence in most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1404"/>
        <w:gridCol w:w="1404"/>
        <w:gridCol w:w="1404"/>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Lower: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Central: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Higher: residual / ratio</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Recommendation robust?</w:t>
            </w:r>
          </w:p>
        </w:tc>
      </w:tr>
      <w:tr>
        <w:tc>
          <w:tcPr>
            <w:tcW w:type="dxa" w:w="468"/>
            <w:tcMar>
              <w:top w:type="dxa" w:w="50"/>
              <w:left w:type="dxa" w:w="80"/>
              <w:bottom w:type="dxa" w:w="50"/>
              <w:right w:type="dxa" w:w="80"/>
            </w:tcMar>
          </w:tcPr>
          <w:p>
            <w:r>
              <w:rPr>
                <w:rFonts w:ascii="Arial" w:cs="Arial" w:eastAsia="Arial" w:hAnsi="Arial"/>
                <w:sz w:val="15"/>
                <w:szCs w:val="15"/>
              </w:rPr>
              <w:t xml:space="preserve">S2</w:t>
            </w:r>
          </w:p>
        </w:tc>
        <w:tc>
          <w:tcPr>
            <w:tcW w:type="dxa" w:w="2808"/>
            <w:tcMar>
              <w:top w:type="dxa" w:w="50"/>
              <w:left w:type="dxa" w:w="80"/>
              <w:bottom w:type="dxa" w:w="50"/>
              <w:right w:type="dxa" w:w="80"/>
            </w:tcMar>
          </w:tcPr>
          <w:p>
            <w:r>
              <w:rPr>
                <w:rFonts w:ascii="Arial" w:cs="Arial" w:eastAsia="Arial" w:hAnsi="Arial"/>
                <w:sz w:val="15"/>
                <w:szCs w:val="15"/>
              </w:rPr>
              <w:t xml:space="preserve">Ransomware disrupting EHR access and clinic operations across the network</w:t>
            </w:r>
          </w:p>
        </w:tc>
        <w:tc>
          <w:tcPr>
            <w:tcW w:type="dxa" w:w="1404"/>
            <w:tcMar>
              <w:top w:type="dxa" w:w="50"/>
              <w:left w:type="dxa" w:w="80"/>
              <w:bottom w:type="dxa" w:w="50"/>
              <w:right w:type="dxa" w:w="80"/>
            </w:tcMar>
          </w:tcPr>
          <w:p>
            <w:r>
              <w:rPr>
                <w:rFonts w:ascii="Arial" w:cs="Arial" w:eastAsia="Arial" w:hAnsi="Arial"/>
                <w:sz w:val="15"/>
                <w:szCs w:val="15"/>
              </w:rPr>
              <w:t xml:space="preserve">1,027 / 0.67</w:t>
            </w:r>
          </w:p>
        </w:tc>
        <w:tc>
          <w:tcPr>
            <w:tcW w:type="dxa" w:w="1404"/>
            <w:tcMar>
              <w:top w:type="dxa" w:w="50"/>
              <w:left w:type="dxa" w:w="80"/>
              <w:bottom w:type="dxa" w:w="50"/>
              <w:right w:type="dxa" w:w="80"/>
            </w:tcMar>
          </w:tcPr>
          <w:p>
            <w:r>
              <w:rPr>
                <w:rFonts w:ascii="Arial" w:cs="Arial" w:eastAsia="Arial" w:hAnsi="Arial"/>
                <w:sz w:val="15"/>
                <w:szCs w:val="15"/>
              </w:rPr>
              <w:t xml:space="preserve">3,417 / 1.20</w:t>
            </w:r>
          </w:p>
        </w:tc>
        <w:tc>
          <w:tcPr>
            <w:tcW w:type="dxa" w:w="1404"/>
            <w:tcMar>
              <w:top w:type="dxa" w:w="50"/>
              <w:left w:type="dxa" w:w="80"/>
              <w:bottom w:type="dxa" w:w="50"/>
              <w:right w:type="dxa" w:w="80"/>
            </w:tcMar>
          </w:tcPr>
          <w:p>
            <w:r>
              <w:rPr>
                <w:rFonts w:ascii="Arial" w:cs="Arial" w:eastAsia="Arial" w:hAnsi="Arial"/>
                <w:sz w:val="15"/>
                <w:szCs w:val="15"/>
              </w:rPr>
              <w:t xml:space="preserve">9,316 / 1.72</w:t>
            </w:r>
          </w:p>
        </w:tc>
        <w:tc>
          <w:tcPr>
            <w:tcW w:type="dxa" w:w="1872"/>
            <w:tcMar>
              <w:top w:type="dxa" w:w="50"/>
              <w:left w:type="dxa" w:w="80"/>
              <w:bottom w:type="dxa" w:w="50"/>
              <w:right w:type="dxa" w:w="80"/>
            </w:tcMar>
          </w:tcPr>
          <w:p>
            <w:r>
              <w:rPr>
                <w:rFonts w:ascii="Arial" w:cs="Arial" w:eastAsia="Arial" w:hAnsi="Arial"/>
                <w:sz w:val="15"/>
                <w:szCs w:val="15"/>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S7</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Connected medical device used as a foothold to disrupt clinical equipment and reach the EHR network</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697 / 0.95</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2,190 / 1.45</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5,933 / 1.91</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No - approximately at tolerance to above tolerance</w:t>
            </w:r>
          </w:p>
        </w:tc>
      </w:tr>
      <w:tr>
        <w:tc>
          <w:tcPr>
            <w:tcW w:type="dxa" w:w="468"/>
            <w:tcMar>
              <w:top w:type="dxa" w:w="50"/>
              <w:left w:type="dxa" w:w="80"/>
              <w:bottom w:type="dxa" w:w="50"/>
              <w:right w:type="dxa" w:w="80"/>
            </w:tcMar>
          </w:tcPr>
          <w:p>
            <w:r>
              <w:rPr>
                <w:rFonts w:ascii="Arial" w:cs="Arial" w:eastAsia="Arial" w:hAnsi="Arial"/>
                <w:sz w:val="15"/>
                <w:szCs w:val="15"/>
              </w:rPr>
              <w:t xml:space="preserve">S9</w:t>
            </w:r>
          </w:p>
        </w:tc>
        <w:tc>
          <w:tcPr>
            <w:tcW w:type="dxa" w:w="2808"/>
            <w:tcMar>
              <w:top w:type="dxa" w:w="50"/>
              <w:left w:type="dxa" w:w="80"/>
              <w:bottom w:type="dxa" w:w="50"/>
              <w:right w:type="dxa" w:w="80"/>
            </w:tcMar>
          </w:tcPr>
          <w:p>
            <w:r>
              <w:rPr>
                <w:rFonts w:ascii="Arial" w:cs="Arial" w:eastAsia="Arial" w:hAnsi="Arial"/>
                <w:sz w:val="15"/>
                <w:szCs w:val="15"/>
              </w:rPr>
              <w:t xml:space="preserve">Compromise of a critical vendor with remote access to MediBec systems</w:t>
            </w:r>
          </w:p>
        </w:tc>
        <w:tc>
          <w:tcPr>
            <w:tcW w:type="dxa" w:w="1404"/>
            <w:tcMar>
              <w:top w:type="dxa" w:w="50"/>
              <w:left w:type="dxa" w:w="80"/>
              <w:bottom w:type="dxa" w:w="50"/>
              <w:right w:type="dxa" w:w="80"/>
            </w:tcMar>
          </w:tcPr>
          <w:p>
            <w:r>
              <w:rPr>
                <w:rFonts w:ascii="Arial" w:cs="Arial" w:eastAsia="Arial" w:hAnsi="Arial"/>
                <w:sz w:val="15"/>
                <w:szCs w:val="15"/>
              </w:rPr>
              <w:t xml:space="preserve">835 / 1.04</w:t>
            </w:r>
          </w:p>
        </w:tc>
        <w:tc>
          <w:tcPr>
            <w:tcW w:type="dxa" w:w="1404"/>
            <w:tcMar>
              <w:top w:type="dxa" w:w="50"/>
              <w:left w:type="dxa" w:w="80"/>
              <w:bottom w:type="dxa" w:w="50"/>
              <w:right w:type="dxa" w:w="80"/>
            </w:tcMar>
          </w:tcPr>
          <w:p>
            <w:r>
              <w:rPr>
                <w:rFonts w:ascii="Arial" w:cs="Arial" w:eastAsia="Arial" w:hAnsi="Arial"/>
                <w:sz w:val="15"/>
                <w:szCs w:val="15"/>
              </w:rPr>
              <w:t xml:space="preserve">2,495 / 1.54</w:t>
            </w:r>
          </w:p>
        </w:tc>
        <w:tc>
          <w:tcPr>
            <w:tcW w:type="dxa" w:w="1404"/>
            <w:tcMar>
              <w:top w:type="dxa" w:w="50"/>
              <w:left w:type="dxa" w:w="80"/>
              <w:bottom w:type="dxa" w:w="50"/>
              <w:right w:type="dxa" w:w="80"/>
            </w:tcMar>
          </w:tcPr>
          <w:p>
            <w:r>
              <w:rPr>
                <w:rFonts w:ascii="Arial" w:cs="Arial" w:eastAsia="Arial" w:hAnsi="Arial"/>
                <w:sz w:val="15"/>
                <w:szCs w:val="15"/>
              </w:rPr>
              <w:t xml:space="preserve">6,748 / 2.06</w:t>
            </w:r>
          </w:p>
        </w:tc>
        <w:tc>
          <w:tcPr>
            <w:tcW w:type="dxa" w:w="1872"/>
            <w:tcMar>
              <w:top w:type="dxa" w:w="50"/>
              <w:left w:type="dxa" w:w="80"/>
              <w:bottom w:type="dxa" w:w="50"/>
              <w:right w:type="dxa" w:w="80"/>
            </w:tcMar>
          </w:tcPr>
          <w:p>
            <w:r>
              <w:rPr>
                <w:rFonts w:ascii="Arial" w:cs="Arial" w:eastAsia="Arial" w:hAnsi="Arial"/>
                <w:sz w:val="15"/>
                <w:szCs w:val="15"/>
              </w:rPr>
              <w:t xml:space="preserve">No - approximately at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S1</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Credential compromise of clinical administrator accounts through phishing and MFA fatigue</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752 / 0.47</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2,587 / 0.93</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7,094 / 1.45</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5"/>
                <w:szCs w:val="15"/>
              </w:rPr>
              <w:t xml:space="preserve">S8</w:t>
            </w:r>
          </w:p>
        </w:tc>
        <w:tc>
          <w:tcPr>
            <w:tcW w:type="dxa" w:w="2808"/>
            <w:tcMar>
              <w:top w:type="dxa" w:w="50"/>
              <w:left w:type="dxa" w:w="80"/>
              <w:bottom w:type="dxa" w:w="50"/>
              <w:right w:type="dxa" w:w="80"/>
            </w:tcMar>
          </w:tcPr>
          <w:p>
            <w:r>
              <w:rPr>
                <w:rFonts w:ascii="Arial" w:cs="Arial" w:eastAsia="Arial" w:hAnsi="Arial"/>
                <w:sz w:val="15"/>
                <w:szCs w:val="15"/>
              </w:rPr>
              <w:t xml:space="preserve">Detection and response gaps allow an intrusion to persist and escalate</w:t>
            </w:r>
          </w:p>
        </w:tc>
        <w:tc>
          <w:tcPr>
            <w:tcW w:type="dxa" w:w="1404"/>
            <w:tcMar>
              <w:top w:type="dxa" w:w="50"/>
              <w:left w:type="dxa" w:w="80"/>
              <w:bottom w:type="dxa" w:w="50"/>
              <w:right w:type="dxa" w:w="80"/>
            </w:tcMar>
          </w:tcPr>
          <w:p>
            <w:r>
              <w:rPr>
                <w:rFonts w:ascii="Arial" w:cs="Arial" w:eastAsia="Arial" w:hAnsi="Arial"/>
                <w:sz w:val="15"/>
                <w:szCs w:val="15"/>
              </w:rPr>
              <w:t xml:space="preserve">1,245 / 0.61</w:t>
            </w:r>
          </w:p>
        </w:tc>
        <w:tc>
          <w:tcPr>
            <w:tcW w:type="dxa" w:w="1404"/>
            <w:tcMar>
              <w:top w:type="dxa" w:w="50"/>
              <w:left w:type="dxa" w:w="80"/>
              <w:bottom w:type="dxa" w:w="50"/>
              <w:right w:type="dxa" w:w="80"/>
            </w:tcMar>
          </w:tcPr>
          <w:p>
            <w:r>
              <w:rPr>
                <w:rFonts w:ascii="Arial" w:cs="Arial" w:eastAsia="Arial" w:hAnsi="Arial"/>
                <w:sz w:val="15"/>
                <w:szCs w:val="15"/>
              </w:rPr>
              <w:t xml:space="preserve">4,129 / 1.10</w:t>
            </w:r>
          </w:p>
        </w:tc>
        <w:tc>
          <w:tcPr>
            <w:tcW w:type="dxa" w:w="1404"/>
            <w:tcMar>
              <w:top w:type="dxa" w:w="50"/>
              <w:left w:type="dxa" w:w="80"/>
              <w:bottom w:type="dxa" w:w="50"/>
              <w:right w:type="dxa" w:w="80"/>
            </w:tcMar>
          </w:tcPr>
          <w:p>
            <w:r>
              <w:rPr>
                <w:rFonts w:ascii="Arial" w:cs="Arial" w:eastAsia="Arial" w:hAnsi="Arial"/>
                <w:sz w:val="15"/>
                <w:szCs w:val="15"/>
              </w:rPr>
              <w:t xml:space="preserve">12,073 / 1.63</w:t>
            </w:r>
          </w:p>
        </w:tc>
        <w:tc>
          <w:tcPr>
            <w:tcW w:type="dxa" w:w="1872"/>
            <w:tcMar>
              <w:top w:type="dxa" w:w="50"/>
              <w:left w:type="dxa" w:w="80"/>
              <w:bottom w:type="dxa" w:w="50"/>
              <w:right w:type="dxa" w:w="80"/>
            </w:tcMar>
          </w:tcPr>
          <w:p>
            <w:r>
              <w:rPr>
                <w:rFonts w:ascii="Arial" w:cs="Arial" w:eastAsia="Arial" w:hAnsi="Arial"/>
                <w:sz w:val="15"/>
                <w:szCs w:val="15"/>
              </w:rPr>
              <w:t xml:space="preserve">No - below tolerance to above tolerance</w:t>
            </w:r>
          </w:p>
        </w:tc>
      </w:tr>
    </w:tbl>
    <w:p>
      <w:pPr>
        <w:spacing w:after="80"/>
      </w:pPr>
    </w:p>
    <w:p>
      <w:pPr>
        <w:spacing w:after="120"/>
      </w:pPr>
      <w:r>
        <w:rPr>
          <w:rFonts w:ascii="Arial" w:cs="Arial" w:eastAsia="Arial" w:hAnsi="Arial"/>
          <w:b/>
          <w:bCs/>
        </w:rPr>
        <w:t xml:space="preserve">Findings.</w:t>
      </w:r>
    </w:p>
    <w:p>
      <w:pPr>
        <w:pStyle w:val="ListParagraph"/>
        <w:numPr>
          <w:ilvl w:val="0"/>
          <w:numId w:val="2"/>
        </w:numPr>
        <w:spacing w:after="60"/>
      </w:pPr>
      <w:r>
        <w:rPr>
          <w:rFonts w:ascii="Arial" w:cs="Arial" w:eastAsia="Arial" w:hAnsi="Arial"/>
          <w:b/>
          <w:bCs/>
        </w:rPr>
        <w:t xml:space="preserve">S9 (vendors)</w:t>
      </w:r>
      <w:r>
        <w:rPr>
          <w:rFonts w:ascii="Arial" w:cs="Arial" w:eastAsia="Arial" w:hAnsi="Arial"/>
        </w:rPr>
        <w:t xml:space="preserve"> is above tolerance in the central and higher cases and only reaches approximately-at in the lower case (1.04): treatment within MediBec's control is insufficient on its own, so contractual and insurance transfer plus formal acceptance is the robust recommendation.</w:t>
      </w:r>
    </w:p>
    <w:p>
      <w:pPr>
        <w:pStyle w:val="ListParagraph"/>
        <w:numPr>
          <w:ilvl w:val="0"/>
          <w:numId w:val="2"/>
        </w:numPr>
        <w:spacing w:after="60"/>
      </w:pPr>
      <w:r>
        <w:rPr>
          <w:rFonts w:ascii="Arial" w:cs="Arial" w:eastAsia="Arial" w:hAnsi="Arial"/>
          <w:b/>
          <w:bCs/>
        </w:rPr>
        <w:t xml:space="preserve">S7 (medical devices)</w:t>
      </w:r>
      <w:r>
        <w:rPr>
          <w:rFonts w:ascii="Arial" w:cs="Arial" w:eastAsia="Arial" w:hAnsi="Arial"/>
        </w:rPr>
        <w:t xml:space="preserve"> is at tolerance only in the lower case: its outcome depends on manufacturer cooperation and segmentation effectiveness - both need validation before committing to acceptance.</w:t>
      </w:r>
    </w:p>
    <w:p>
      <w:pPr>
        <w:pStyle w:val="ListParagraph"/>
        <w:numPr>
          <w:ilvl w:val="0"/>
          <w:numId w:val="2"/>
        </w:numPr>
        <w:spacing w:after="60"/>
      </w:pPr>
      <w:r>
        <w:rPr>
          <w:rFonts w:ascii="Arial" w:cs="Arial" w:eastAsia="Arial" w:hAnsi="Arial"/>
          <w:b/>
          <w:bCs/>
        </w:rPr>
        <w:t xml:space="preserve">S1, S2 and S8</w:t>
      </w:r>
      <w:r>
        <w:rPr>
          <w:rFonts w:ascii="Arial" w:cs="Arial" w:eastAsia="Arial" w:hAnsi="Arial"/>
        </w:rPr>
        <w:t xml:space="preserve"> flip between below and above tolerance: the decision to invest is robust (estimated risk is high in all cases), but whether residual risk can be accepted depends on the treatment achieving its assumed effectiveness. Track with KRI-01, KRI-05, KRI-06, KRI-07.</w:t>
      </w:r>
    </w:p>
    <w:p>
      <w:pPr>
        <w:pStyle w:val="ListParagraph"/>
        <w:numPr>
          <w:ilvl w:val="0"/>
          <w:numId w:val="2"/>
        </w:numPr>
        <w:spacing w:after="60"/>
      </w:pPr>
      <w:r>
        <w:rPr>
          <w:rFonts w:ascii="Arial" w:cs="Arial" w:eastAsia="Arial" w:hAnsi="Arial"/>
        </w:rPr>
        <w:t xml:space="preserve">Appetite is as influential as any parameter (Section 4): moving from 0.30 to 0.40 changes the classification of eight of the ten scenarios.</w:t>
      </w:r>
    </w:p>
    <w:p>
      <w:pPr>
        <w:pStyle w:val="Heading1"/>
        <w:pageBreakBefore/>
      </w:pPr>
      <w:r>
        <w:rPr>
          <w:rFonts w:ascii="Arial" w:cs="Arial" w:eastAsia="Arial" w:hAnsi="Arial"/>
        </w:rPr>
        <w:t xml:space="preserve">10. Prioritization and treatment portfolio</w:t>
      </w:r>
    </w:p>
    <w:p>
      <w:pPr>
        <w:pStyle w:val="Heading2"/>
      </w:pPr>
      <w:r>
        <w:rPr>
          <w:rFonts w:ascii="Arial" w:cs="Arial" w:eastAsia="Arial" w:hAnsi="Arial"/>
        </w:rPr>
        <w:t xml:space="preserve">10.1 Management attention list</w:t>
      </w:r>
    </w:p>
    <w:p>
      <w:pPr>
        <w:spacing w:after="120"/>
      </w:pPr>
      <w:r>
        <w:rPr>
          <w:rFonts w:ascii="Arial" w:cs="Arial" w:eastAsia="Arial" w:hAnsi="Arial"/>
        </w:rPr>
        <w:t xml:space="preserve">Ranking combines estimated and residual risk, tolerance ratio, maximum consequence, patient-safety and privacy significance, risk velocity, cost-effectiveness, shared benefit and time to benefit. It is a judgement to support discussion, not a mathematical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468"/>
        <w:gridCol w:w="1497"/>
        <w:gridCol w:w="4212"/>
        <w:gridCol w:w="280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w:t>
            </w:r>
          </w:p>
        </w:tc>
        <w:tc>
          <w:tcPr>
            <w:tcW w:type="dxa" w:w="46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280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Action</w:t>
            </w:r>
          </w:p>
        </w:tc>
      </w:tr>
      <w:tr>
        <w:tc>
          <w:tcPr>
            <w:tcW w:type="dxa" w:w="374"/>
            <w:tcMar>
              <w:top w:type="dxa" w:w="50"/>
              <w:left w:type="dxa" w:w="80"/>
              <w:bottom w:type="dxa" w:w="50"/>
              <w:right w:type="dxa" w:w="80"/>
            </w:tcMar>
          </w:tcPr>
          <w:p>
            <w:r>
              <w:rPr>
                <w:rFonts w:ascii="Arial" w:cs="Arial" w:eastAsia="Arial" w:hAnsi="Arial"/>
                <w:sz w:val="15"/>
                <w:szCs w:val="15"/>
              </w:rPr>
              <w:t xml:space="preserve">1</w:t>
            </w:r>
          </w:p>
        </w:tc>
        <w:tc>
          <w:tcPr>
            <w:tcW w:type="dxa" w:w="468"/>
            <w:tcMar>
              <w:top w:type="dxa" w:w="50"/>
              <w:left w:type="dxa" w:w="80"/>
              <w:bottom w:type="dxa" w:w="50"/>
              <w:right w:type="dxa" w:w="80"/>
            </w:tcMar>
          </w:tcPr>
          <w:p>
            <w:r>
              <w:rPr>
                <w:rFonts w:ascii="Arial" w:cs="Arial" w:eastAsia="Arial" w:hAnsi="Arial"/>
                <w:sz w:val="15"/>
                <w:szCs w:val="15"/>
              </w:rPr>
              <w:t xml:space="preserve">S2</w:t>
            </w:r>
          </w:p>
        </w:tc>
        <w:tc>
          <w:tcPr>
            <w:tcW w:type="dxa" w:w="1497"/>
            <w:tcMar>
              <w:top w:type="dxa" w:w="50"/>
              <w:left w:type="dxa" w:w="80"/>
              <w:bottom w:type="dxa" w:w="50"/>
              <w:right w:type="dxa" w:w="80"/>
            </w:tcMar>
          </w:tcPr>
          <w:p>
            <w:r>
              <w:rPr>
                <w:rFonts w:ascii="Arial" w:cs="Arial" w:eastAsia="Arial" w:hAnsi="Arial"/>
                <w:sz w:val="15"/>
                <w:szCs w:val="15"/>
              </w:rPr>
              <w:t xml:space="preserve">Ransomware</w:t>
            </w:r>
          </w:p>
        </w:tc>
        <w:tc>
          <w:tcPr>
            <w:tcW w:type="dxa" w:w="4212"/>
            <w:tcMar>
              <w:top w:type="dxa" w:w="50"/>
              <w:left w:type="dxa" w:w="80"/>
              <w:bottom w:type="dxa" w:w="50"/>
              <w:right w:type="dxa" w:w="80"/>
            </w:tcMar>
          </w:tcPr>
          <w:p>
            <w:r>
              <w:rPr>
                <w:rFonts w:ascii="Arial" w:cs="Arial" w:eastAsia="Arial" w:hAnsi="Arial"/>
                <w:sz w:val="15"/>
                <w:szCs w:val="15"/>
              </w:rPr>
              <w:t xml:space="preserve">Highest combined clinical, privacy and operational consequence (dm 0.95); above tolerance; fast-moving</w:t>
            </w:r>
          </w:p>
        </w:tc>
        <w:tc>
          <w:tcPr>
            <w:tcW w:type="dxa" w:w="2809"/>
            <w:tcMar>
              <w:top w:type="dxa" w:w="50"/>
              <w:left w:type="dxa" w:w="80"/>
              <w:bottom w:type="dxa" w:w="50"/>
              <w:right w:type="dxa" w:w="80"/>
            </w:tcMar>
          </w:tcPr>
          <w:p>
            <w:r>
              <w:rPr>
                <w:rFonts w:ascii="Arial" w:cs="Arial" w:eastAsia="Arial" w:hAnsi="Arial"/>
                <w:sz w:val="15"/>
                <w:szCs w:val="15"/>
              </w:rPr>
              <w:t xml:space="preserve">Fund layered package; Board acceptance of residual; insurance review</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2</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Detection and response</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Highest estimated risk; best cost-effectiveness (25.4); amplifies every other scenario</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Immediate MDR and IR readiness</w:t>
            </w:r>
          </w:p>
        </w:tc>
      </w:tr>
      <w:tr>
        <w:tc>
          <w:tcPr>
            <w:tcW w:type="dxa" w:w="374"/>
            <w:tcMar>
              <w:top w:type="dxa" w:w="50"/>
              <w:left w:type="dxa" w:w="80"/>
              <w:bottom w:type="dxa" w:w="50"/>
              <w:right w:type="dxa" w:w="80"/>
            </w:tcMar>
          </w:tcPr>
          <w:p>
            <w:r>
              <w:rPr>
                <w:rFonts w:ascii="Arial" w:cs="Arial" w:eastAsia="Arial" w:hAnsi="Arial"/>
                <w:sz w:val="15"/>
                <w:szCs w:val="15"/>
              </w:rPr>
              <w:t xml:space="preserve">3</w:t>
            </w:r>
          </w:p>
        </w:tc>
        <w:tc>
          <w:tcPr>
            <w:tcW w:type="dxa" w:w="468"/>
            <w:tcMar>
              <w:top w:type="dxa" w:w="50"/>
              <w:left w:type="dxa" w:w="80"/>
              <w:bottom w:type="dxa" w:w="50"/>
              <w:right w:type="dxa" w:w="80"/>
            </w:tcMar>
          </w:tcPr>
          <w:p>
            <w:r>
              <w:rPr>
                <w:rFonts w:ascii="Arial" w:cs="Arial" w:eastAsia="Arial" w:hAnsi="Arial"/>
                <w:sz w:val="15"/>
                <w:szCs w:val="15"/>
              </w:rPr>
              <w:t xml:space="preserve">S1</w:t>
            </w:r>
          </w:p>
        </w:tc>
        <w:tc>
          <w:tcPr>
            <w:tcW w:type="dxa" w:w="1497"/>
            <w:tcMar>
              <w:top w:type="dxa" w:w="50"/>
              <w:left w:type="dxa" w:w="80"/>
              <w:bottom w:type="dxa" w:w="50"/>
              <w:right w:type="dxa" w:w="80"/>
            </w:tcMar>
          </w:tcPr>
          <w:p>
            <w:r>
              <w:rPr>
                <w:rFonts w:ascii="Arial" w:cs="Arial" w:eastAsia="Arial" w:hAnsi="Arial"/>
                <w:sz w:val="15"/>
                <w:szCs w:val="15"/>
              </w:rPr>
              <w:t xml:space="preserve">Credential compromise</w:t>
            </w:r>
          </w:p>
        </w:tc>
        <w:tc>
          <w:tcPr>
            <w:tcW w:type="dxa" w:w="4212"/>
            <w:tcMar>
              <w:top w:type="dxa" w:w="50"/>
              <w:left w:type="dxa" w:w="80"/>
              <w:bottom w:type="dxa" w:w="50"/>
              <w:right w:type="dxa" w:w="80"/>
            </w:tcMar>
          </w:tcPr>
          <w:p>
            <w:r>
              <w:rPr>
                <w:rFonts w:ascii="Arial" w:cs="Arial" w:eastAsia="Arial" w:hAnsi="Arial"/>
                <w:sz w:val="15"/>
                <w:szCs w:val="15"/>
              </w:rPr>
              <w:t xml:space="preserve">Most likely entry path; strong cost-effectiveness (17.3); quick to treat</w:t>
            </w:r>
          </w:p>
        </w:tc>
        <w:tc>
          <w:tcPr>
            <w:tcW w:type="dxa" w:w="2809"/>
            <w:tcMar>
              <w:top w:type="dxa" w:w="50"/>
              <w:left w:type="dxa" w:w="80"/>
              <w:bottom w:type="dxa" w:w="50"/>
              <w:right w:type="dxa" w:w="80"/>
            </w:tcMar>
          </w:tcPr>
          <w:p>
            <w:r>
              <w:rPr>
                <w:rFonts w:ascii="Arial" w:cs="Arial" w:eastAsia="Arial" w:hAnsi="Arial"/>
                <w:sz w:val="15"/>
                <w:szCs w:val="15"/>
              </w:rPr>
              <w:t xml:space="preserve">Phishing-resistant MFA within 90 days for privileged and remote access</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4</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S7</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Medical devices</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Direct patient-safety pathway; ratio 1.45; slow to treat (certification, vendors)</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Start device programme and segmentation; CMO sign-off on residual</w:t>
            </w:r>
          </w:p>
        </w:tc>
      </w:tr>
      <w:tr>
        <w:tc>
          <w:tcPr>
            <w:tcW w:type="dxa" w:w="374"/>
            <w:tcMar>
              <w:top w:type="dxa" w:w="50"/>
              <w:left w:type="dxa" w:w="80"/>
              <w:bottom w:type="dxa" w:w="50"/>
              <w:right w:type="dxa" w:w="80"/>
            </w:tcMar>
          </w:tcPr>
          <w:p>
            <w:r>
              <w:rPr>
                <w:rFonts w:ascii="Arial" w:cs="Arial" w:eastAsia="Arial" w:hAnsi="Arial"/>
                <w:sz w:val="15"/>
                <w:szCs w:val="15"/>
              </w:rPr>
              <w:t xml:space="preserve">5</w:t>
            </w:r>
          </w:p>
        </w:tc>
        <w:tc>
          <w:tcPr>
            <w:tcW w:type="dxa" w:w="468"/>
            <w:tcMar>
              <w:top w:type="dxa" w:w="50"/>
              <w:left w:type="dxa" w:w="80"/>
              <w:bottom w:type="dxa" w:w="50"/>
              <w:right w:type="dxa" w:w="80"/>
            </w:tcMar>
          </w:tcPr>
          <w:p>
            <w:r>
              <w:rPr>
                <w:rFonts w:ascii="Arial" w:cs="Arial" w:eastAsia="Arial" w:hAnsi="Arial"/>
                <w:sz w:val="15"/>
                <w:szCs w:val="15"/>
              </w:rPr>
              <w:t xml:space="preserve">S3</w:t>
            </w:r>
          </w:p>
        </w:tc>
        <w:tc>
          <w:tcPr>
            <w:tcW w:type="dxa" w:w="1497"/>
            <w:tcMar>
              <w:top w:type="dxa" w:w="50"/>
              <w:left w:type="dxa" w:w="80"/>
              <w:bottom w:type="dxa" w:w="50"/>
              <w:right w:type="dxa" w:w="80"/>
            </w:tcMar>
          </w:tcPr>
          <w:p>
            <w:r>
              <w:rPr>
                <w:rFonts w:ascii="Arial" w:cs="Arial" w:eastAsia="Arial" w:hAnsi="Arial"/>
                <w:sz w:val="15"/>
                <w:szCs w:val="15"/>
              </w:rPr>
              <w:t xml:space="preserve">Backup compromise</w:t>
            </w:r>
          </w:p>
        </w:tc>
        <w:tc>
          <w:tcPr>
            <w:tcW w:type="dxa" w:w="4212"/>
            <w:tcMar>
              <w:top w:type="dxa" w:w="50"/>
              <w:left w:type="dxa" w:w="80"/>
              <w:bottom w:type="dxa" w:w="50"/>
              <w:right w:type="dxa" w:w="80"/>
            </w:tcMar>
          </w:tcPr>
          <w:p>
            <w:r>
              <w:rPr>
                <w:rFonts w:ascii="Arial" w:cs="Arial" w:eastAsia="Arial" w:hAnsi="Arial"/>
                <w:sz w:val="15"/>
                <w:szCs w:val="15"/>
              </w:rPr>
              <w:t xml:space="preserve">Determines whether S2 is recoverable; falls below tolerance once treated</w:t>
            </w:r>
          </w:p>
        </w:tc>
        <w:tc>
          <w:tcPr>
            <w:tcW w:type="dxa" w:w="2809"/>
            <w:tcMar>
              <w:top w:type="dxa" w:w="50"/>
              <w:left w:type="dxa" w:w="80"/>
              <w:bottom w:type="dxa" w:w="50"/>
              <w:right w:type="dxa" w:w="80"/>
            </w:tcMar>
          </w:tcPr>
          <w:p>
            <w:r>
              <w:rPr>
                <w:rFonts w:ascii="Arial" w:cs="Arial" w:eastAsia="Arial" w:hAnsi="Arial"/>
                <w:sz w:val="15"/>
                <w:szCs w:val="15"/>
              </w:rPr>
              <w:t xml:space="preserve">Immediate backup isolation and restore test</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6</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Unpatched systems</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High estimated risk; frequent real-world vector; good cost-effectiveness (11.8)</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Vulnerability programme with SLAs</w:t>
            </w:r>
          </w:p>
        </w:tc>
      </w:tr>
      <w:tr>
        <w:tc>
          <w:tcPr>
            <w:tcW w:type="dxa" w:w="374"/>
            <w:tcMar>
              <w:top w:type="dxa" w:w="50"/>
              <w:left w:type="dxa" w:w="80"/>
              <w:bottom w:type="dxa" w:w="50"/>
              <w:right w:type="dxa" w:w="80"/>
            </w:tcMar>
          </w:tcPr>
          <w:p>
            <w:r>
              <w:rPr>
                <w:rFonts w:ascii="Arial" w:cs="Arial" w:eastAsia="Arial" w:hAnsi="Arial"/>
                <w:sz w:val="15"/>
                <w:szCs w:val="15"/>
              </w:rPr>
              <w:t xml:space="preserve">7</w:t>
            </w:r>
          </w:p>
        </w:tc>
        <w:tc>
          <w:tcPr>
            <w:tcW w:type="dxa" w:w="468"/>
            <w:tcMar>
              <w:top w:type="dxa" w:w="50"/>
              <w:left w:type="dxa" w:w="80"/>
              <w:bottom w:type="dxa" w:w="50"/>
              <w:right w:type="dxa" w:w="80"/>
            </w:tcMar>
          </w:tcPr>
          <w:p>
            <w:r>
              <w:rPr>
                <w:rFonts w:ascii="Arial" w:cs="Arial" w:eastAsia="Arial" w:hAnsi="Arial"/>
                <w:sz w:val="15"/>
                <w:szCs w:val="15"/>
              </w:rPr>
              <w:t xml:space="preserve">S9</w:t>
            </w:r>
          </w:p>
        </w:tc>
        <w:tc>
          <w:tcPr>
            <w:tcW w:type="dxa" w:w="1497"/>
            <w:tcMar>
              <w:top w:type="dxa" w:w="50"/>
              <w:left w:type="dxa" w:w="80"/>
              <w:bottom w:type="dxa" w:w="50"/>
              <w:right w:type="dxa" w:w="80"/>
            </w:tcMar>
          </w:tcPr>
          <w:p>
            <w:r>
              <w:rPr>
                <w:rFonts w:ascii="Arial" w:cs="Arial" w:eastAsia="Arial" w:hAnsi="Arial"/>
                <w:sz w:val="15"/>
                <w:szCs w:val="15"/>
              </w:rPr>
              <w:t xml:space="preserve">Vendor compromise</w:t>
            </w:r>
          </w:p>
        </w:tc>
        <w:tc>
          <w:tcPr>
            <w:tcW w:type="dxa" w:w="4212"/>
            <w:tcMar>
              <w:top w:type="dxa" w:w="50"/>
              <w:left w:type="dxa" w:w="80"/>
              <w:bottom w:type="dxa" w:w="50"/>
              <w:right w:type="dxa" w:w="80"/>
            </w:tcMar>
          </w:tcPr>
          <w:p>
            <w:r>
              <w:rPr>
                <w:rFonts w:ascii="Arial" w:cs="Arial" w:eastAsia="Arial" w:hAnsi="Arial"/>
                <w:sz w:val="15"/>
                <w:szCs w:val="15"/>
              </w:rPr>
              <w:t xml:space="preserve">Highest residual ratio (1.54); largely outside MediBec's control</w:t>
            </w:r>
          </w:p>
        </w:tc>
        <w:tc>
          <w:tcPr>
            <w:tcW w:type="dxa" w:w="2809"/>
            <w:tcMar>
              <w:top w:type="dxa" w:w="50"/>
              <w:left w:type="dxa" w:w="80"/>
              <w:bottom w:type="dxa" w:w="50"/>
              <w:right w:type="dxa" w:w="80"/>
            </w:tcMar>
          </w:tcPr>
          <w:p>
            <w:r>
              <w:rPr>
                <w:rFonts w:ascii="Arial" w:cs="Arial" w:eastAsia="Arial" w:hAnsi="Arial"/>
                <w:sz w:val="15"/>
                <w:szCs w:val="15"/>
              </w:rPr>
              <w:t xml:space="preserve">Contract clauses, brokered vendor access, transfer</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8</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S5</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Insider / privileged misuse</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Above tolerance; high regulatory significance</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Access governance and EHR monitoring</w:t>
            </w:r>
          </w:p>
        </w:tc>
      </w:tr>
      <w:tr>
        <w:tc>
          <w:tcPr>
            <w:tcW w:type="dxa" w:w="374"/>
            <w:tcMar>
              <w:top w:type="dxa" w:w="50"/>
              <w:left w:type="dxa" w:w="80"/>
              <w:bottom w:type="dxa" w:w="50"/>
              <w:right w:type="dxa" w:w="80"/>
            </w:tcMar>
          </w:tcPr>
          <w:p>
            <w:r>
              <w:rPr>
                <w:rFonts w:ascii="Arial" w:cs="Arial" w:eastAsia="Arial" w:hAnsi="Arial"/>
                <w:sz w:val="15"/>
                <w:szCs w:val="15"/>
              </w:rPr>
              <w:t xml:space="preserve">9</w:t>
            </w:r>
          </w:p>
        </w:tc>
        <w:tc>
          <w:tcPr>
            <w:tcW w:type="dxa" w:w="468"/>
            <w:tcMar>
              <w:top w:type="dxa" w:w="50"/>
              <w:left w:type="dxa" w:w="80"/>
              <w:bottom w:type="dxa" w:w="50"/>
              <w:right w:type="dxa" w:w="80"/>
            </w:tcMar>
          </w:tcPr>
          <w:p>
            <w:r>
              <w:rPr>
                <w:rFonts w:ascii="Arial" w:cs="Arial" w:eastAsia="Arial" w:hAnsi="Arial"/>
                <w:sz w:val="15"/>
                <w:szCs w:val="15"/>
              </w:rPr>
              <w:t xml:space="preserve">S10</w:t>
            </w:r>
          </w:p>
        </w:tc>
        <w:tc>
          <w:tcPr>
            <w:tcW w:type="dxa" w:w="1497"/>
            <w:tcMar>
              <w:top w:type="dxa" w:w="50"/>
              <w:left w:type="dxa" w:w="80"/>
              <w:bottom w:type="dxa" w:w="50"/>
              <w:right w:type="dxa" w:w="80"/>
            </w:tcMar>
          </w:tcPr>
          <w:p>
            <w:r>
              <w:rPr>
                <w:rFonts w:ascii="Arial" w:cs="Arial" w:eastAsia="Arial" w:hAnsi="Arial"/>
                <w:sz w:val="15"/>
                <w:szCs w:val="15"/>
              </w:rPr>
              <w:t xml:space="preserve">Record integrity</w:t>
            </w:r>
          </w:p>
        </w:tc>
        <w:tc>
          <w:tcPr>
            <w:tcW w:type="dxa" w:w="4212"/>
            <w:tcMar>
              <w:top w:type="dxa" w:w="50"/>
              <w:left w:type="dxa" w:w="80"/>
              <w:bottom w:type="dxa" w:w="50"/>
              <w:right w:type="dxa" w:w="80"/>
            </w:tcMar>
          </w:tcPr>
          <w:p>
            <w:r>
              <w:rPr>
                <w:rFonts w:ascii="Arial" w:cs="Arial" w:eastAsia="Arial" w:hAnsi="Arial"/>
                <w:sz w:val="15"/>
                <w:szCs w:val="15"/>
              </w:rPr>
              <w:t xml:space="preserve">Lowest likelihood but patient-safety consequence; above tolerance</w:t>
            </w:r>
          </w:p>
        </w:tc>
        <w:tc>
          <w:tcPr>
            <w:tcW w:type="dxa" w:w="2809"/>
            <w:tcMar>
              <w:top w:type="dxa" w:w="50"/>
              <w:left w:type="dxa" w:w="80"/>
              <w:bottom w:type="dxa" w:w="50"/>
              <w:right w:type="dxa" w:w="80"/>
            </w:tcMar>
          </w:tcPr>
          <w:p>
            <w:r>
              <w:rPr>
                <w:rFonts w:ascii="Arial" w:cs="Arial" w:eastAsia="Arial" w:hAnsi="Arial"/>
                <w:sz w:val="15"/>
                <w:szCs w:val="15"/>
              </w:rPr>
              <w:t xml:space="preserve">Integrity controls; clinical sign-off</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10</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Cloud image storage</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 cheap, fast fix</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Block public access now</w:t>
            </w:r>
          </w:p>
        </w:tc>
      </w:tr>
    </w:tbl>
    <w:p>
      <w:pPr>
        <w:pStyle w:val="Heading2"/>
      </w:pPr>
      <w:r>
        <w:rPr>
          <w:rFonts w:ascii="Arial" w:cs="Arial" w:eastAsia="Arial" w:hAnsi="Arial"/>
        </w:rPr>
        <w:t xml:space="preserve">10.2 Recommended investment portfolio</w:t>
      </w:r>
    </w:p>
    <w:p>
      <w:pPr>
        <w:spacing w:after="120"/>
      </w:pPr>
      <w:r>
        <w:rPr>
          <w:rFonts w:ascii="Arial" w:cs="Arial" w:eastAsia="Arial" w:hAnsi="Arial"/>
        </w:rPr>
        <w:t xml:space="preserve">Costs are </w:t>
      </w:r>
      <w:r>
        <w:rPr>
          <w:rFonts w:ascii="Arial" w:cs="Arial" w:eastAsia="Arial" w:hAnsi="Arial"/>
          <w:b/>
          <w:bCs/>
        </w:rPr>
        <w:t xml:space="preserve">indicative analytical estimates in CAD</w:t>
      </w:r>
      <w:r>
        <w:rPr>
          <w:rFonts w:ascii="Arial" w:cs="Arial" w:eastAsia="Arial" w:hAnsi="Arial"/>
        </w:rPr>
        <w:t xml:space="preserve">, not quotations or approved budgets. Basis: </w:t>
      </w:r>
      <w:r>
        <w:rPr>
          <w:rFonts w:ascii="Arial" w:cs="Arial" w:eastAsia="Arial" w:hAnsi="Arial"/>
          <w:b/>
          <w:bCs/>
        </w:rPr>
        <w:t xml:space="preserve">initial</w:t>
      </w:r>
      <w:r>
        <w:rPr>
          <w:rFonts w:ascii="Arial" w:cs="Arial" w:eastAsia="Arial" w:hAnsi="Arial"/>
        </w:rPr>
        <w:t xml:space="preserve"> = one-time implementation; </w:t>
      </w:r>
      <w:r>
        <w:rPr>
          <w:rFonts w:ascii="Arial" w:cs="Arial" w:eastAsia="Arial" w:hAnsi="Arial"/>
          <w:b/>
          <w:bCs/>
        </w:rPr>
        <w:t xml:space="preserve">recurring</w:t>
      </w:r>
      <w:r>
        <w:rPr>
          <w:rFonts w:ascii="Arial" w:cs="Arial" w:eastAsia="Arial" w:hAnsi="Arial"/>
        </w:rPr>
        <w:t xml:space="preserve"> = annual operating cost; </w:t>
      </w:r>
      <w:r>
        <w:rPr>
          <w:rFonts w:ascii="Arial" w:cs="Arial" w:eastAsia="Arial" w:hAnsi="Arial"/>
          <w:b/>
          <w:bCs/>
        </w:rPr>
        <w:t xml:space="preserve">Year 1</w:t>
      </w:r>
      <w:r>
        <w:rPr>
          <w:rFonts w:ascii="Arial" w:cs="Arial" w:eastAsia="Arial" w:hAnsi="Arial"/>
        </w:rPr>
        <w:t xml:space="preserve"> = initial + first-year recurring. Cyber-insurance premiums are excluded (</w:t>
      </w:r>
      <w:r>
        <w:rPr>
          <w:rFonts w:ascii="Arial" w:cs="Arial" w:eastAsia="Arial" w:hAnsi="Arial"/>
          <w:b/>
          <w:bCs/>
        </w:rPr>
        <w:t xml:space="preserve">Information gap — organizational validation required</w:t>
      </w:r>
      <w:r>
        <w:rPr>
          <w:rFonts w:ascii="Arial" w:cs="Arial" w:eastAsia="Arial" w:hAnsi="Arial"/>
        </w:rPr>
        <w:t xml:space="preserve"> - broker quotation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842"/>
        <w:gridCol w:w="1029"/>
        <w:gridCol w:w="748"/>
        <w:gridCol w:w="655"/>
        <w:gridCol w:w="748"/>
        <w:gridCol w:w="842"/>
        <w:gridCol w:w="1314"/>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Initiative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Priority</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Initial</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Recurring / yr</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Start - end</w:t>
            </w:r>
          </w:p>
        </w:tc>
        <w:tc>
          <w:tcPr>
            <w:tcW w:type="dxa" w:w="131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Success indicator</w:t>
            </w:r>
          </w:p>
        </w:tc>
      </w:tr>
      <w:tr>
        <w:tc>
          <w:tcPr>
            <w:tcW w:type="dxa" w:w="374"/>
            <w:tcMar>
              <w:top w:type="dxa" w:w="50"/>
              <w:left w:type="dxa" w:w="80"/>
              <w:bottom w:type="dxa" w:w="50"/>
              <w:right w:type="dxa" w:w="80"/>
            </w:tcMar>
          </w:tcPr>
          <w:p>
            <w:r>
              <w:rPr>
                <w:rFonts w:ascii="Arial" w:cs="Arial" w:eastAsia="Arial" w:hAnsi="Arial"/>
                <w:sz w:val="13"/>
                <w:szCs w:val="13"/>
              </w:rPr>
              <w:t xml:space="preserve">I01</w:t>
            </w:r>
          </w:p>
        </w:tc>
        <w:tc>
          <w:tcPr>
            <w:tcW w:type="dxa" w:w="2808"/>
            <w:tcMar>
              <w:top w:type="dxa" w:w="50"/>
              <w:left w:type="dxa" w:w="80"/>
              <w:bottom w:type="dxa" w:w="50"/>
              <w:right w:type="dxa" w:w="80"/>
            </w:tcMar>
          </w:tcPr>
          <w:p>
            <w:r>
              <w:rPr>
                <w:rFonts w:ascii="Arial" w:cs="Arial" w:eastAsia="Arial" w:hAnsi="Arial"/>
                <w:sz w:val="13"/>
                <w:szCs w:val="13"/>
              </w:rPr>
              <w:t xml:space="preserve">Phishing-resistant MFA and conditional access</w:t>
            </w:r>
          </w:p>
          <w:p>
            <w:r>
              <w:rPr>
                <w:rFonts w:ascii="Arial" w:cs="Arial" w:eastAsia="Arial" w:hAnsi="Arial"/>
                <w:sz w:val="13"/>
                <w:szCs w:val="13"/>
              </w:rPr>
              <w:t xml:space="preserve">FIDO2/passkeys for privileged, remote-access and EHR administrator accounts; number-matching MFA for all other users; conditional access (geo, device health); block internet-sourced Office macros.</w:t>
            </w:r>
          </w:p>
        </w:tc>
        <w:tc>
          <w:tcPr>
            <w:tcW w:type="dxa" w:w="842"/>
            <w:tcMar>
              <w:top w:type="dxa" w:w="50"/>
              <w:left w:type="dxa" w:w="80"/>
              <w:bottom w:type="dxa" w:w="50"/>
              <w:right w:type="dxa" w:w="80"/>
            </w:tcMar>
          </w:tcPr>
          <w:p>
            <w:r>
              <w:rPr>
                <w:rFonts w:ascii="Arial" w:cs="Arial" w:eastAsia="Arial" w:hAnsi="Arial"/>
                <w:sz w:val="13"/>
                <w:szCs w:val="13"/>
              </w:rPr>
              <w:t xml:space="preserve">S1, S8, S9, S10</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314"/>
            <w:tcMar>
              <w:top w:type="dxa" w:w="50"/>
              <w:left w:type="dxa" w:w="80"/>
              <w:bottom w:type="dxa" w:w="50"/>
              <w:right w:type="dxa" w:w="80"/>
            </w:tcMar>
          </w:tcPr>
          <w:p>
            <w:r>
              <w:rPr>
                <w:rFonts w:ascii="Arial" w:cs="Arial" w:eastAsia="Arial" w:hAnsi="Arial"/>
                <w:sz w:val="13"/>
                <w:szCs w:val="13"/>
              </w:rPr>
              <w:t xml:space="preserve">100% privileged and remote-access accounts on phishing-resistant MFA</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Privileged access and service-account management (PAM)</w:t>
            </w:r>
          </w:p>
          <w:p>
            <w:r>
              <w:rPr>
                <w:rFonts w:ascii="Arial" w:cs="Arial" w:eastAsia="Arial" w:hAnsi="Arial"/>
                <w:sz w:val="13"/>
                <w:szCs w:val="13"/>
              </w:rPr>
              <w:t xml:space="preserve">Tiered administration, credential vault, just-in-time elevation, rotation and least privilege for service accounts (incl. ehr-sync-svc), vendor sessions brokered and recorded.</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S1, S2, S3, S5, S9, S10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$250k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$80k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0 standing domain-admin accounts; 100% service accounts vaulted</w:t>
            </w:r>
          </w:p>
        </w:tc>
      </w:tr>
      <w:tr>
        <w:tc>
          <w:tcPr>
            <w:tcW w:type="dxa" w:w="374"/>
            <w:tcMar>
              <w:top w:type="dxa" w:w="50"/>
              <w:left w:type="dxa" w:w="80"/>
              <w:bottom w:type="dxa" w:w="50"/>
              <w:right w:type="dxa" w:w="80"/>
            </w:tcMar>
          </w:tcPr>
          <w:p>
            <w:r>
              <w:rPr>
                <w:rFonts w:ascii="Arial" w:cs="Arial" w:eastAsia="Arial" w:hAnsi="Arial"/>
                <w:sz w:val="13"/>
                <w:szCs w:val="13"/>
              </w:rPr>
              <w:t xml:space="preserve">I03</w:t>
            </w:r>
          </w:p>
        </w:tc>
        <w:tc>
          <w:tcPr>
            <w:tcW w:type="dxa" w:w="2808"/>
            <w:tcMar>
              <w:top w:type="dxa" w:w="50"/>
              <w:left w:type="dxa" w:w="80"/>
              <w:bottom w:type="dxa" w:w="50"/>
              <w:right w:type="dxa" w:w="80"/>
            </w:tcMar>
          </w:tcPr>
          <w:p>
            <w:r>
              <w:rPr>
                <w:rFonts w:ascii="Arial" w:cs="Arial" w:eastAsia="Arial" w:hAnsi="Arial"/>
                <w:sz w:val="13"/>
                <w:szCs w:val="13"/>
              </w:rPr>
              <w:t xml:space="preserve">24/7 managed detection and response with centralized logging</w:t>
            </w:r>
          </w:p>
          <w:p>
            <w:r>
              <w:rPr>
                <w:rFonts w:ascii="Arial" w:cs="Arial" w:eastAsia="Arial" w:hAnsi="Arial"/>
                <w:sz w:val="13"/>
                <w:szCs w:val="13"/>
              </w:rPr>
              <w:t xml:space="preserve">MDR provider on full EDR coverage; SIEM ingesting identity, remote access, EHR audit, cloud, backup and firewall logs; defined escalation criteria; 12-month log retention.</w:t>
            </w:r>
          </w:p>
        </w:tc>
        <w:tc>
          <w:tcPr>
            <w:tcW w:type="dxa" w:w="842"/>
            <w:tcMar>
              <w:top w:type="dxa" w:w="50"/>
              <w:left w:type="dxa" w:w="80"/>
              <w:bottom w:type="dxa" w:w="50"/>
              <w:right w:type="dxa" w:w="80"/>
            </w:tcMar>
          </w:tcPr>
          <w:p>
            <w:r>
              <w:rPr>
                <w:rFonts w:ascii="Arial" w:cs="Arial" w:eastAsia="Arial" w:hAnsi="Arial"/>
                <w:sz w:val="13"/>
                <w:szCs w:val="13"/>
              </w:rPr>
              <w:t xml:space="preserve">S1, S2, S3, S4, S5, S6, S8, S9, S10</w:t>
            </w:r>
          </w:p>
        </w:tc>
        <w:tc>
          <w:tcPr>
            <w:tcW w:type="dxa" w:w="1029"/>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$420k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314"/>
            <w:tcMar>
              <w:top w:type="dxa" w:w="50"/>
              <w:left w:type="dxa" w:w="80"/>
              <w:bottom w:type="dxa" w:w="50"/>
              <w:right w:type="dxa" w:w="80"/>
            </w:tcMar>
          </w:tcPr>
          <w:p>
            <w:r>
              <w:rPr>
                <w:rFonts w:ascii="Arial" w:cs="Arial" w:eastAsia="Arial" w:hAnsi="Arial"/>
                <w:sz w:val="13"/>
                <w:szCs w:val="13"/>
              </w:rPr>
              <w:t xml:space="preserve">MTTD &lt; 1 h, MTTC &lt; 4 h for high-severity alerts; &gt;95% critical log sources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Immutable and isolated backup with tested recovery</w:t>
            </w:r>
          </w:p>
          <w:p>
            <w:r>
              <w:rPr>
                <w:rFonts w:ascii="Arial" w:cs="Arial" w:eastAsia="Arial" w:hAnsi="Arial"/>
                <w:sz w:val="13"/>
                <w:szCs w:val="13"/>
              </w:rPr>
              <w:t xml:space="preserve">Immutable/offline copies, separate backup identity domain with MFA, backup network isolation, quarterly restore tests incl. clinic storage, documented RTO/RPO per crown jewel.</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S2, S3, S10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9</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100% crown-jewel restore tests pass within RTO</w:t>
            </w:r>
          </w:p>
        </w:tc>
      </w:tr>
      <w:tr>
        <w:tc>
          <w:tcPr>
            <w:tcW w:type="dxa" w:w="374"/>
            <w:tcMar>
              <w:top w:type="dxa" w:w="50"/>
              <w:left w:type="dxa" w:w="80"/>
              <w:bottom w:type="dxa" w:w="50"/>
              <w:right w:type="dxa" w:w="80"/>
            </w:tcMar>
          </w:tcPr>
          <w:p>
            <w:r>
              <w:rPr>
                <w:rFonts w:ascii="Arial" w:cs="Arial" w:eastAsia="Arial" w:hAnsi="Arial"/>
                <w:sz w:val="13"/>
                <w:szCs w:val="13"/>
              </w:rPr>
              <w:t xml:space="preserve">I05</w:t>
            </w:r>
          </w:p>
        </w:tc>
        <w:tc>
          <w:tcPr>
            <w:tcW w:type="dxa" w:w="2808"/>
            <w:tcMar>
              <w:top w:type="dxa" w:w="50"/>
              <w:left w:type="dxa" w:w="80"/>
              <w:bottom w:type="dxa" w:w="50"/>
              <w:right w:type="dxa" w:w="80"/>
            </w:tcMar>
          </w:tcPr>
          <w:p>
            <w:r>
              <w:rPr>
                <w:rFonts w:ascii="Arial" w:cs="Arial" w:eastAsia="Arial" w:hAnsi="Arial"/>
                <w:sz w:val="13"/>
                <w:szCs w:val="13"/>
              </w:rPr>
              <w:t xml:space="preserve">Risk-based vulnerability and patch management</w:t>
            </w:r>
          </w:p>
          <w:p>
            <w:r>
              <w:rPr>
                <w:rFonts w:ascii="Arial" w:cs="Arial" w:eastAsia="Arial" w:hAnsi="Arial"/>
                <w:sz w:val="13"/>
                <w:szCs w:val="13"/>
              </w:rPr>
              <w:t xml:space="preserve">Complete asset inventory, authenticated scanning, external attack-surface monitoring, SLAs (known-exploited: 72 h internet-facing / 14 days internal), exception governance, retirement of end-of-life systems; 1 dedicated FTE.</w:t>
            </w:r>
          </w:p>
        </w:tc>
        <w:tc>
          <w:tcPr>
            <w:tcW w:type="dxa" w:w="842"/>
            <w:tcMar>
              <w:top w:type="dxa" w:w="50"/>
              <w:left w:type="dxa" w:w="80"/>
              <w:bottom w:type="dxa" w:w="50"/>
              <w:right w:type="dxa" w:w="80"/>
            </w:tcMar>
          </w:tcPr>
          <w:p>
            <w:r>
              <w:rPr>
                <w:rFonts w:ascii="Arial" w:cs="Arial" w:eastAsia="Arial" w:hAnsi="Arial"/>
                <w:sz w:val="13"/>
                <w:szCs w:val="13"/>
              </w:rPr>
              <w:t xml:space="preserve">S2, S6, S7</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$150k</w:t>
            </w:r>
          </w:p>
        </w:tc>
        <w:tc>
          <w:tcPr>
            <w:tcW w:type="dxa" w:w="748"/>
            <w:tcMar>
              <w:top w:type="dxa" w:w="50"/>
              <w:left w:type="dxa" w:w="80"/>
              <w:bottom w:type="dxa" w:w="50"/>
              <w:right w:type="dxa" w:w="80"/>
            </w:tcMar>
          </w:tcPr>
          <w:p>
            <w:r>
              <w:rPr>
                <w:rFonts w:ascii="Arial" w:cs="Arial" w:eastAsia="Arial" w:hAnsi="Arial"/>
                <w:sz w:val="13"/>
                <w:szCs w:val="13"/>
              </w:rPr>
              <w:t xml:space="preserve">$216k</w:t>
            </w:r>
          </w:p>
        </w:tc>
        <w:tc>
          <w:tcPr>
            <w:tcW w:type="dxa" w:w="842"/>
            <w:tcMar>
              <w:top w:type="dxa" w:w="50"/>
              <w:left w:type="dxa" w:w="80"/>
              <w:bottom w:type="dxa" w:w="50"/>
              <w:right w:type="dxa" w:w="80"/>
            </w:tcMar>
          </w:tcPr>
          <w:p>
            <w:r>
              <w:rPr>
                <w:rFonts w:ascii="Arial" w:cs="Arial" w:eastAsia="Arial" w:hAnsi="Arial"/>
                <w:sz w:val="13"/>
                <w:szCs w:val="13"/>
              </w:rPr>
              <w:t xml:space="preserve">Month 1 - Month 9</w:t>
            </w:r>
          </w:p>
        </w:tc>
        <w:tc>
          <w:tcPr>
            <w:tcW w:type="dxa" w:w="1314"/>
            <w:tcMar>
              <w:top w:type="dxa" w:w="50"/>
              <w:left w:type="dxa" w:w="80"/>
              <w:bottom w:type="dxa" w:w="50"/>
              <w:right w:type="dxa" w:w="80"/>
            </w:tcMar>
          </w:tcPr>
          <w:p>
            <w:r>
              <w:rPr>
                <w:rFonts w:ascii="Arial" w:cs="Arial" w:eastAsia="Arial" w:hAnsi="Arial"/>
                <w:sz w:val="13"/>
                <w:szCs w:val="13"/>
              </w:rPr>
              <w:t xml:space="preserve">&gt;95% critical vulns remediated within SLA; 0 unsupported internet-facing systems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segmentation and network access control</w:t>
            </w:r>
          </w:p>
          <w:p>
            <w:r>
              <w:rPr>
                <w:rFonts w:ascii="Arial" w:cs="Arial" w:eastAsia="Arial" w:hAnsi="Arial"/>
                <w:sz w:val="13"/>
                <w:szCs w:val="13"/>
              </w:rPr>
              <w:t xml:space="preserve">Zones for clinical systems, medical devices, administration, guest Wi-Fi (WPA3), backups and servers; NAC at clinics; east-west firewall rules.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S2, S3, S6, S7</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$450k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24</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100% medical devices and guest Wi-Fi in isolated segments</w:t>
            </w:r>
          </w:p>
        </w:tc>
      </w:tr>
      <w:tr>
        <w:tc>
          <w:tcPr>
            <w:tcW w:type="dxa" w:w="374"/>
            <w:tcMar>
              <w:top w:type="dxa" w:w="50"/>
              <w:left w:type="dxa" w:w="80"/>
              <w:bottom w:type="dxa" w:w="50"/>
              <w:right w:type="dxa" w:w="80"/>
            </w:tcMar>
          </w:tcPr>
          <w:p>
            <w:r>
              <w:rPr>
                <w:rFonts w:ascii="Arial" w:cs="Arial" w:eastAsia="Arial" w:hAnsi="Arial"/>
                <w:sz w:val="13"/>
                <w:szCs w:val="13"/>
              </w:rPr>
              <w:t xml:space="preserve">I07</w:t>
            </w:r>
          </w:p>
        </w:tc>
        <w:tc>
          <w:tcPr>
            <w:tcW w:type="dxa" w:w="2808"/>
            <w:tcMar>
              <w:top w:type="dxa" w:w="50"/>
              <w:left w:type="dxa" w:w="80"/>
              <w:bottom w:type="dxa" w:w="50"/>
              <w:right w:type="dxa" w:w="80"/>
            </w:tcMar>
          </w:tcPr>
          <w:p>
            <w:r>
              <w:rPr>
                <w:rFonts w:ascii="Arial" w:cs="Arial" w:eastAsia="Arial" w:hAnsi="Arial"/>
                <w:sz w:val="13"/>
                <w:szCs w:val="13"/>
              </w:rPr>
              <w:t xml:space="preserve">Medical device security programme</w:t>
            </w:r>
          </w:p>
          <w:p>
            <w:r>
              <w:rPr>
                <w:rFonts w:ascii="Arial" w:cs="Arial" w:eastAsia="Arial" w:hAnsi="Arial"/>
                <w:sz w:val="13"/>
                <w:szCs w:val="13"/>
              </w:rPr>
              <w:t xml:space="preserve">Device inventory and criticality, manufacturer MDS2 collection, passive IoMT network monitoring, compensating controls where patching is restricted, procurement security clauses.</w:t>
            </w:r>
          </w:p>
        </w:tc>
        <w:tc>
          <w:tcPr>
            <w:tcW w:type="dxa" w:w="842"/>
            <w:tcMar>
              <w:top w:type="dxa" w:w="50"/>
              <w:left w:type="dxa" w:w="80"/>
              <w:bottom w:type="dxa" w:w="50"/>
              <w:right w:type="dxa" w:w="80"/>
            </w:tcMar>
          </w:tcPr>
          <w:p>
            <w:r>
              <w:rPr>
                <w:rFonts w:ascii="Arial" w:cs="Arial" w:eastAsia="Arial" w:hAnsi="Arial"/>
                <w:sz w:val="13"/>
                <w:szCs w:val="13"/>
              </w:rPr>
              <w:t xml:space="preserve">S7</w:t>
            </w:r>
          </w:p>
        </w:tc>
        <w:tc>
          <w:tcPr>
            <w:tcW w:type="dxa" w:w="1029"/>
            <w:tcMar>
              <w:top w:type="dxa" w:w="50"/>
              <w:left w:type="dxa" w:w="80"/>
              <w:bottom w:type="dxa" w:w="50"/>
              <w:right w:type="dxa" w:w="80"/>
            </w:tcMar>
          </w:tcPr>
          <w:p>
            <w:r>
              <w:rPr>
                <w:rFonts w:ascii="Arial" w:cs="Arial" w:eastAsia="Arial" w:hAnsi="Arial"/>
                <w:sz w:val="13"/>
                <w:szCs w:val="13"/>
              </w:rPr>
              <w:t xml:space="preserve">Biomedical engineering / Clinical Ops</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314"/>
            <w:tcMar>
              <w:top w:type="dxa" w:w="50"/>
              <w:left w:type="dxa" w:w="80"/>
              <w:bottom w:type="dxa" w:w="50"/>
              <w:right w:type="dxa" w:w="80"/>
            </w:tcMar>
          </w:tcPr>
          <w:p>
            <w:r>
              <w:rPr>
                <w:rFonts w:ascii="Arial" w:cs="Arial" w:eastAsia="Arial" w:hAnsi="Arial"/>
                <w:sz w:val="13"/>
                <w:szCs w:val="13"/>
              </w:rPr>
              <w:t xml:space="preserve">100% networked devices inventoried and risk-rated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Cloud security posture and secure image transfer</w:t>
            </w:r>
          </w:p>
          <w:p>
            <w:r>
              <w:rPr>
                <w:rFonts w:ascii="Arial" w:cs="Arial" w:eastAsia="Arial" w:hAnsi="Arial"/>
                <w:sz w:val="13"/>
                <w:szCs w:val="13"/>
              </w:rPr>
              <w:t xml:space="preserve">Cloud posture management, organization-wide block on public access, expiring authenticated sharing links, object-access logging to SIEM, encryption with customer-managed keys.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 Radiology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0 publicly accessible storage objects; 100% object access logged</w:t>
            </w:r>
          </w:p>
        </w:tc>
      </w:tr>
      <w:tr>
        <w:tc>
          <w:tcPr>
            <w:tcW w:type="dxa" w:w="374"/>
            <w:tcMar>
              <w:top w:type="dxa" w:w="50"/>
              <w:left w:type="dxa" w:w="80"/>
              <w:bottom w:type="dxa" w:w="50"/>
              <w:right w:type="dxa" w:w="80"/>
            </w:tcMar>
          </w:tcPr>
          <w:p>
            <w:r>
              <w:rPr>
                <w:rFonts w:ascii="Arial" w:cs="Arial" w:eastAsia="Arial" w:hAnsi="Arial"/>
                <w:sz w:val="13"/>
                <w:szCs w:val="13"/>
              </w:rPr>
              <w:t xml:space="preserve">I09</w:t>
            </w:r>
          </w:p>
        </w:tc>
        <w:tc>
          <w:tcPr>
            <w:tcW w:type="dxa" w:w="2808"/>
            <w:tcMar>
              <w:top w:type="dxa" w:w="50"/>
              <w:left w:type="dxa" w:w="80"/>
              <w:bottom w:type="dxa" w:w="50"/>
              <w:right w:type="dxa" w:w="80"/>
            </w:tcMar>
          </w:tcPr>
          <w:p>
            <w:r>
              <w:rPr>
                <w:rFonts w:ascii="Arial" w:cs="Arial" w:eastAsia="Arial" w:hAnsi="Arial"/>
                <w:sz w:val="13"/>
                <w:szCs w:val="13"/>
              </w:rPr>
              <w:t xml:space="preserve">Data access governance and EHR privacy monitoring</w:t>
            </w:r>
          </w:p>
          <w:p>
            <w:r>
              <w:rPr>
                <w:rFonts w:ascii="Arial" w:cs="Arial" w:eastAsia="Arial" w:hAnsi="Arial"/>
                <w:sz w:val="13"/>
                <w:szCs w:val="13"/>
              </w:rPr>
              <w:t xml:space="preserve">Role-based access redesign, quarterly access recertification, EHR access analytics (break-the-glass, VIP, bulk queries), endpoint/cloud DLP for health data.</w:t>
            </w:r>
          </w:p>
        </w:tc>
        <w:tc>
          <w:tcPr>
            <w:tcW w:type="dxa" w:w="842"/>
            <w:tcMar>
              <w:top w:type="dxa" w:w="50"/>
              <w:left w:type="dxa" w:w="80"/>
              <w:bottom w:type="dxa" w:w="50"/>
              <w:right w:type="dxa" w:w="80"/>
            </w:tcMar>
          </w:tcPr>
          <w:p>
            <w:r>
              <w:rPr>
                <w:rFonts w:ascii="Arial" w:cs="Arial" w:eastAsia="Arial" w:hAnsi="Arial"/>
                <w:sz w:val="13"/>
                <w:szCs w:val="13"/>
              </w:rPr>
              <w:t xml:space="preserve">S4, S5, S10</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314"/>
            <w:tcMar>
              <w:top w:type="dxa" w:w="50"/>
              <w:left w:type="dxa" w:w="80"/>
              <w:bottom w:type="dxa" w:w="50"/>
              <w:right w:type="dxa" w:w="80"/>
            </w:tcMar>
          </w:tcPr>
          <w:p>
            <w:r>
              <w:rPr>
                <w:rFonts w:ascii="Arial" w:cs="Arial" w:eastAsia="Arial" w:hAnsi="Arial"/>
                <w:sz w:val="13"/>
                <w:szCs w:val="13"/>
              </w:rPr>
              <w:t xml:space="preserve">100% EHR roles recertified quarterly; bulk-access alerts reviewed within 24 h</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Third-party cyber risk management</w:t>
            </w:r>
          </w:p>
          <w:p>
            <w:r>
              <w:rPr>
                <w:rFonts w:ascii="Arial" w:cs="Arial" w:eastAsia="Arial" w:hAnsi="Arial"/>
                <w:sz w:val="13"/>
                <w:szCs w:val="13"/>
              </w:rPr>
              <w:t xml:space="preserve">Vendor tiering, security assessments of critical vendors, contract clauses (24-72 h incident notification, right to audit, MFA), vendor remote access only via PAM gateway.</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Procurement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100% critical vendors assessed and under revised clauses</w:t>
            </w:r>
          </w:p>
        </w:tc>
      </w:tr>
      <w:tr>
        <w:tc>
          <w:tcPr>
            <w:tcW w:type="dxa" w:w="374"/>
            <w:tcMar>
              <w:top w:type="dxa" w:w="50"/>
              <w:left w:type="dxa" w:w="80"/>
              <w:bottom w:type="dxa" w:w="50"/>
              <w:right w:type="dxa" w:w="80"/>
            </w:tcMar>
          </w:tcPr>
          <w:p>
            <w:r>
              <w:rPr>
                <w:rFonts w:ascii="Arial" w:cs="Arial" w:eastAsia="Arial" w:hAnsi="Arial"/>
                <w:sz w:val="13"/>
                <w:szCs w:val="13"/>
              </w:rPr>
              <w:t xml:space="preserve">I11</w:t>
            </w:r>
          </w:p>
        </w:tc>
        <w:tc>
          <w:tcPr>
            <w:tcW w:type="dxa" w:w="2808"/>
            <w:tcMar>
              <w:top w:type="dxa" w:w="50"/>
              <w:left w:type="dxa" w:w="80"/>
              <w:bottom w:type="dxa" w:w="50"/>
              <w:right w:type="dxa" w:w="80"/>
            </w:tcMar>
          </w:tcPr>
          <w:p>
            <w:r>
              <w:rPr>
                <w:rFonts w:ascii="Arial" w:cs="Arial" w:eastAsia="Arial" w:hAnsi="Arial"/>
                <w:sz w:val="13"/>
                <w:szCs w:val="13"/>
              </w:rPr>
              <w:t xml:space="preserve">Incident response and clinical continuity readiness</w:t>
            </w:r>
          </w:p>
          <w:p>
            <w:r>
              <w:rPr>
                <w:rFonts w:ascii="Arial" w:cs="Arial" w:eastAsia="Arial" w:hAnsi="Arial"/>
                <w:sz w:val="13"/>
                <w:szCs w:val="13"/>
              </w:rPr>
              <w:t xml:space="preserve">Updated IR plan and playbooks (ransomware, privacy breach, device), IR/forensics retainer, semi-annual tabletop including clinics, clinical downtime procedures.</w:t>
            </w:r>
          </w:p>
        </w:tc>
        <w:tc>
          <w:tcPr>
            <w:tcW w:type="dxa" w:w="842"/>
            <w:tcMar>
              <w:top w:type="dxa" w:w="50"/>
              <w:left w:type="dxa" w:w="80"/>
              <w:bottom w:type="dxa" w:w="50"/>
              <w:right w:type="dxa" w:w="80"/>
            </w:tcMar>
          </w:tcPr>
          <w:p>
            <w:r>
              <w:rPr>
                <w:rFonts w:ascii="Arial" w:cs="Arial" w:eastAsia="Arial" w:hAnsi="Arial"/>
                <w:sz w:val="13"/>
                <w:szCs w:val="13"/>
              </w:rPr>
              <w:t xml:space="preserve">S2, S3, S8, S9, S10</w:t>
            </w:r>
          </w:p>
        </w:tc>
        <w:tc>
          <w:tcPr>
            <w:tcW w:type="dxa" w:w="1029"/>
            <w:tcMar>
              <w:top w:type="dxa" w:w="50"/>
              <w:left w:type="dxa" w:w="80"/>
              <w:bottom w:type="dxa" w:w="50"/>
              <w:right w:type="dxa" w:w="80"/>
            </w:tcMar>
          </w:tcPr>
          <w:p>
            <w:r>
              <w:rPr>
                <w:rFonts w:ascii="Arial" w:cs="Arial" w:eastAsia="Arial" w:hAnsi="Arial"/>
                <w:sz w:val="13"/>
                <w:szCs w:val="13"/>
              </w:rPr>
              <w:t xml:space="preserve">Cybersecurity lead / Clinical Ops</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$80k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314"/>
            <w:tcMar>
              <w:top w:type="dxa" w:w="50"/>
              <w:left w:type="dxa" w:w="80"/>
              <w:bottom w:type="dxa" w:w="50"/>
              <w:right w:type="dxa" w:w="80"/>
            </w:tcMar>
          </w:tcPr>
          <w:p>
            <w:r>
              <w:rPr>
                <w:rFonts w:ascii="Arial" w:cs="Arial" w:eastAsia="Arial" w:hAnsi="Arial"/>
                <w:sz w:val="13"/>
                <w:szCs w:val="13"/>
              </w:rPr>
              <w:t xml:space="preserve">2 tabletops/year; all 10 clinics with tested downtime procedures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Governance, awareness and risk reporting</w:t>
            </w:r>
          </w:p>
          <w:p>
            <w:r>
              <w:rPr>
                <w:rFonts w:ascii="Arial" w:cs="Arial" w:eastAsia="Arial" w:hAnsi="Arial"/>
                <w:sz w:val="13"/>
                <w:szCs w:val="13"/>
              </w:rPr>
              <w:t xml:space="preserve">Role-based awareness and phishing simulation, quarterly KRI dashboard to Steering Committee, risk register and acceptance workflow, cyber-insurance coverage review.</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S1, S2, S5, S8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 / Executive sponsor</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Quarterly KRI report delivered; phishing report rate &gt; 70%</w:t>
            </w:r>
          </w:p>
        </w:tc>
      </w:tr>
      <w:tr>
        <w:tc>
          <w:tcPr>
            <w:tcW w:type="dxa" w:w="374"/>
            <w:tcMar>
              <w:top w:type="dxa" w:w="50"/>
              <w:left w:type="dxa" w:w="80"/>
              <w:bottom w:type="dxa" w:w="50"/>
              <w:right w:type="dxa" w:w="80"/>
            </w:tcMar>
          </w:tcPr>
          <w:p>
            <w:r>
              <w:rPr>
                <w:rFonts w:ascii="Arial" w:cs="Arial" w:eastAsia="Arial" w:hAnsi="Arial"/>
                <w:sz w:val="13"/>
                <w:szCs w:val="13"/>
              </w:rPr>
              <w:t xml:space="preserve">I13</w:t>
            </w:r>
          </w:p>
        </w:tc>
        <w:tc>
          <w:tcPr>
            <w:tcW w:type="dxa" w:w="2808"/>
            <w:tcMar>
              <w:top w:type="dxa" w:w="50"/>
              <w:left w:type="dxa" w:w="80"/>
              <w:bottom w:type="dxa" w:w="50"/>
              <w:right w:type="dxa" w:w="80"/>
            </w:tcMar>
          </w:tcPr>
          <w:p>
            <w:r>
              <w:rPr>
                <w:rFonts w:ascii="Arial" w:cs="Arial" w:eastAsia="Arial" w:hAnsi="Arial"/>
                <w:sz w:val="13"/>
                <w:szCs w:val="13"/>
              </w:rPr>
              <w:t xml:space="preserve">Clinical data integrity controls</w:t>
            </w:r>
          </w:p>
          <w:p>
            <w:r>
              <w:rPr>
                <w:rFonts w:ascii="Arial" w:cs="Arial" w:eastAsia="Arial" w:hAnsi="Arial"/>
                <w:sz w:val="13"/>
                <w:szCs w:val="13"/>
              </w:rPr>
              <w:t xml:space="preserve">Audit trails and alerting on changes to medication, allergy, lab and billing records; automated reconciliation; integrity verification after restore.</w:t>
            </w:r>
          </w:p>
        </w:tc>
        <w:tc>
          <w:tcPr>
            <w:tcW w:type="dxa" w:w="842"/>
            <w:tcMar>
              <w:top w:type="dxa" w:w="50"/>
              <w:left w:type="dxa" w:w="80"/>
              <w:bottom w:type="dxa" w:w="50"/>
              <w:right w:type="dxa" w:w="80"/>
            </w:tcMar>
          </w:tcPr>
          <w:p>
            <w:r>
              <w:rPr>
                <w:rFonts w:ascii="Arial" w:cs="Arial" w:eastAsia="Arial" w:hAnsi="Arial"/>
                <w:sz w:val="13"/>
                <w:szCs w:val="13"/>
              </w:rPr>
              <w:t xml:space="preserve">S10</w:t>
            </w:r>
          </w:p>
        </w:tc>
        <w:tc>
          <w:tcPr>
            <w:tcW w:type="dxa" w:w="1029"/>
            <w:tcMar>
              <w:top w:type="dxa" w:w="50"/>
              <w:left w:type="dxa" w:w="80"/>
              <w:bottom w:type="dxa" w:w="50"/>
              <w:right w:type="dxa" w:w="80"/>
            </w:tcMar>
          </w:tcPr>
          <w:p>
            <w:r>
              <w:rPr>
                <w:rFonts w:ascii="Arial" w:cs="Arial" w:eastAsia="Arial" w:hAnsi="Arial"/>
                <w:sz w:val="13"/>
                <w:szCs w:val="13"/>
              </w:rPr>
              <w:t xml:space="preserve">CIO / Clinical Ops / Pharmacy lead</w:t>
            </w:r>
          </w:p>
        </w:tc>
        <w:tc>
          <w:tcPr>
            <w:tcW w:type="dxa" w:w="748"/>
            <w:tcMar>
              <w:top w:type="dxa" w:w="50"/>
              <w:left w:type="dxa" w:w="80"/>
              <w:bottom w:type="dxa" w:w="50"/>
              <w:right w:type="dxa" w:w="80"/>
            </w:tcMar>
          </w:tcPr>
          <w:p>
            <w:r>
              <w:rPr>
                <w:rFonts w:ascii="Arial" w:cs="Arial" w:eastAsia="Arial" w:hAnsi="Arial"/>
                <w:sz w:val="13"/>
                <w:szCs w:val="13"/>
              </w:rPr>
              <w:t xml:space="preserve">Planned</w:t>
            </w:r>
          </w:p>
        </w:tc>
        <w:tc>
          <w:tcPr>
            <w:tcW w:type="dxa" w:w="655"/>
            <w:tcMar>
              <w:top w:type="dxa" w:w="50"/>
              <w:left w:type="dxa" w:w="80"/>
              <w:bottom w:type="dxa" w:w="50"/>
              <w:right w:type="dxa" w:w="80"/>
            </w:tcMar>
          </w:tcPr>
          <w:p>
            <w:r>
              <w:rPr>
                <w:rFonts w:ascii="Arial" w:cs="Arial" w:eastAsia="Arial" w:hAnsi="Arial"/>
                <w:sz w:val="13"/>
                <w:szCs w:val="13"/>
              </w:rPr>
              <w:t xml:space="preserve">$100k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6 - Month 15</w:t>
            </w:r>
          </w:p>
        </w:tc>
        <w:tc>
          <w:tcPr>
            <w:tcW w:type="dxa" w:w="1314"/>
            <w:tcMar>
              <w:top w:type="dxa" w:w="50"/>
              <w:left w:type="dxa" w:w="80"/>
              <w:bottom w:type="dxa" w:w="50"/>
              <w:right w:type="dxa" w:w="80"/>
            </w:tcMar>
          </w:tcPr>
          <w:p>
            <w:r>
              <w:rPr>
                <w:rFonts w:ascii="Arial" w:cs="Arial" w:eastAsia="Arial" w:hAnsi="Arial"/>
                <w:sz w:val="13"/>
                <w:szCs w:val="13"/>
              </w:rPr>
              <w:t xml:space="preserve">100% critical record changes attributable and reconciled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Portfolio total</w:t>
            </w:r>
          </w:p>
        </w:tc>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Amount</w:t>
            </w:r>
          </w:p>
        </w:tc>
      </w:tr>
      <w:tr>
        <w:tc>
          <w:tcPr>
            <w:tcW w:type="dxa" w:w="5616"/>
            <w:tcMar>
              <w:top w:type="dxa" w:w="50"/>
              <w:left w:type="dxa" w:w="80"/>
              <w:bottom w:type="dxa" w:w="50"/>
              <w:right w:type="dxa" w:w="80"/>
            </w:tcMar>
          </w:tcPr>
          <w:p>
            <w:r>
              <w:rPr>
                <w:rFonts w:ascii="Arial" w:cs="Arial" w:eastAsia="Arial" w:hAnsi="Arial"/>
                <w:sz w:val="16"/>
                <w:szCs w:val="16"/>
              </w:rPr>
              <w:t xml:space="preserve">Initial implementation</w:t>
            </w:r>
          </w:p>
        </w:tc>
        <w:tc>
          <w:tcPr>
            <w:tcW w:type="dxa" w:w="3744"/>
            <w:tcMar>
              <w:top w:type="dxa" w:w="50"/>
              <w:left w:type="dxa" w:w="80"/>
              <w:bottom w:type="dxa" w:w="50"/>
              <w:right w:type="dxa" w:w="80"/>
            </w:tcMar>
          </w:tcPr>
          <w:p>
            <w:r>
              <w:rPr>
                <w:rFonts w:ascii="Arial" w:cs="Arial" w:eastAsia="Arial" w:hAnsi="Arial"/>
                <w:sz w:val="16"/>
                <w:szCs w:val="16"/>
              </w:rPr>
              <w:t xml:space="preserve">$2,410,000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Annual recurring</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$1,456,000</w:t>
            </w:r>
          </w:p>
        </w:tc>
      </w:tr>
      <w:tr>
        <w:tc>
          <w:tcPr>
            <w:tcW w:type="dxa" w:w="5616"/>
            <w:tcMar>
              <w:top w:type="dxa" w:w="50"/>
              <w:left w:type="dxa" w:w="80"/>
              <w:bottom w:type="dxa" w:w="50"/>
              <w:right w:type="dxa" w:w="80"/>
            </w:tcMar>
          </w:tcPr>
          <w:p>
            <w:r>
              <w:rPr>
                <w:rFonts w:ascii="Arial" w:cs="Arial" w:eastAsia="Arial" w:hAnsi="Arial"/>
                <w:sz w:val="16"/>
                <w:szCs w:val="16"/>
              </w:rPr>
              <w:t xml:space="preserve">Year-1 cost</w:t>
            </w:r>
          </w:p>
        </w:tc>
        <w:tc>
          <w:tcPr>
            <w:tcW w:type="dxa" w:w="3744"/>
            <w:tcMar>
              <w:top w:type="dxa" w:w="50"/>
              <w:left w:type="dxa" w:w="80"/>
              <w:bottom w:type="dxa" w:w="50"/>
              <w:right w:type="dxa" w:w="80"/>
            </w:tcMar>
          </w:tcPr>
          <w:p>
            <w:r>
              <w:rPr>
                <w:rFonts w:ascii="Arial" w:cs="Arial" w:eastAsia="Arial" w:hAnsi="Arial"/>
                <w:sz w:val="16"/>
                <w:szCs w:val="16"/>
              </w:rPr>
              <w:t xml:space="preserve">$3,866,000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Indicative 3-year total cost of ownership</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$6,778,000</w:t>
            </w:r>
          </w:p>
        </w:tc>
      </w:tr>
      <w:tr>
        <w:tc>
          <w:tcPr>
            <w:tcW w:type="dxa" w:w="5616"/>
            <w:tcMar>
              <w:top w:type="dxa" w:w="50"/>
              <w:left w:type="dxa" w:w="80"/>
              <w:bottom w:type="dxa" w:w="50"/>
              <w:right w:type="dxa" w:w="80"/>
            </w:tcMar>
          </w:tcPr>
          <w:p>
            <w:r>
              <w:rPr>
                <w:rFonts w:ascii="Arial" w:cs="Arial" w:eastAsia="Arial" w:hAnsi="Arial"/>
                <w:sz w:val="16"/>
                <w:szCs w:val="16"/>
              </w:rPr>
              <w:t xml:space="preserve">Aggregate risk reduction</w:t>
            </w:r>
          </w:p>
        </w:tc>
        <w:tc>
          <w:tcPr>
            <w:tcW w:type="dxa" w:w="3744"/>
            <w:tcMar>
              <w:top w:type="dxa" w:w="50"/>
              <w:left w:type="dxa" w:w="80"/>
              <w:bottom w:type="dxa" w:w="50"/>
              <w:right w:type="dxa" w:w="80"/>
            </w:tcMar>
          </w:tcPr>
          <w:p>
            <w:r>
              <w:rPr>
                <w:rFonts w:ascii="Arial" w:cs="Arial" w:eastAsia="Arial" w:hAnsi="Arial"/>
                <w:sz w:val="16"/>
                <w:szCs w:val="16"/>
              </w:rPr>
              <w:t xml:space="preserve">50,306 -&gt; 22,722 risk units (55%)</w:t>
            </w:r>
          </w:p>
        </w:tc>
      </w:tr>
    </w:tbl>
    <w:p>
      <w:pPr>
        <w:spacing w:after="80"/>
      </w:pPr>
    </w:p>
    <w:p>
      <w:pPr>
        <w:spacing w:after="120"/>
      </w:pPr>
      <w:r>
        <w:rPr>
          <w:rFonts w:ascii="Arial" w:cs="Arial" w:eastAsia="Arial" w:hAnsi="Arial"/>
        </w:rPr>
        <w:t xml:space="preserve">Dependencies and capacity: the two-person team cannot deliver this portfolio alone. MDR (I03) offloads monitoring; the vulnerability FTE in I05 is costed at the workbook convention of 1,950 h x $80; implementation partners are assumed within initial costs. Change windows must be agreed with clinical operations.</w:t>
      </w:r>
    </w:p>
    <w:p>
      <w:pPr>
        <w:pStyle w:val="Heading1"/>
        <w:pageBreakBefore/>
      </w:pPr>
      <w:r>
        <w:rPr>
          <w:rFonts w:ascii="Arial" w:cs="Arial" w:eastAsia="Arial" w:hAnsi="Arial"/>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6364"/>
        <w:gridCol w:w="1499"/>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Horizon</w:t>
            </w:r>
          </w:p>
        </w:tc>
        <w:tc>
          <w:tcPr>
            <w:tcW w:type="dxa" w:w="636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Actions</w:t>
            </w:r>
          </w:p>
        </w:tc>
        <w:tc>
          <w:tcPr>
            <w:tcW w:type="dxa" w:w="149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Scenarios</w:t>
            </w:r>
          </w:p>
        </w:tc>
      </w:tr>
      <w:tr>
        <w:tc>
          <w:tcPr>
            <w:tcW w:type="dxa" w:w="1497"/>
            <w:tcMar>
              <w:top w:type="dxa" w:w="50"/>
              <w:left w:type="dxa" w:w="80"/>
              <w:bottom w:type="dxa" w:w="50"/>
              <w:right w:type="dxa" w:w="80"/>
            </w:tcMar>
          </w:tcPr>
          <w:p>
            <w:r>
              <w:rPr>
                <w:rFonts w:ascii="Arial" w:cs="Arial" w:eastAsia="Arial" w:hAnsi="Arial"/>
                <w:sz w:val="15"/>
                <w:szCs w:val="15"/>
              </w:rPr>
              <w:t xml:space="preserve">0-90 days</w:t>
            </w:r>
          </w:p>
          <w:p>
            <w:r>
              <w:rPr>
                <w:rFonts w:ascii="Arial" w:cs="Arial" w:eastAsia="Arial" w:hAnsi="Arial"/>
                <w:sz w:val="15"/>
                <w:szCs w:val="15"/>
              </w:rPr>
              <w:t xml:space="preserve">Urgent / quick wins</w:t>
            </w:r>
          </w:p>
        </w:tc>
        <w:tc>
          <w:tcPr>
            <w:tcW w:type="dxa" w:w="6364"/>
            <w:tcMar>
              <w:top w:type="dxa" w:w="50"/>
              <w:left w:type="dxa" w:w="80"/>
              <w:bottom w:type="dxa" w:w="50"/>
              <w:right w:type="dxa" w:w="80"/>
            </w:tcMar>
          </w:tcPr>
          <w:p>
            <w:r>
              <w:rPr>
                <w:rFonts w:ascii="Arial" w:cs="Arial" w:eastAsia="Arial" w:hAnsi="Arial"/>
                <w:sz w:val="15"/>
                <w:szCs w:val="15"/>
              </w:rPr>
              <w:t xml:space="preserve">I01 phase 1: FIDO2 for privileged, remote-access and EHR admin accounts; number matching for all; block internet macros</w:t>
            </w:r>
          </w:p>
          <w:p>
            <w:r>
              <w:rPr>
                <w:rFonts w:ascii="Arial" w:cs="Arial" w:eastAsia="Arial" w:hAnsi="Arial"/>
                <w:sz w:val="15"/>
                <w:szCs w:val="15"/>
              </w:rPr>
              <w:t xml:space="preserve">I03: onboard MDR, full EDR coverage, connect identity, remote access, EHR audit, cloud and backup logs</w:t>
            </w:r>
          </w:p>
          <w:p>
            <w:r>
              <w:rPr>
                <w:rFonts w:ascii="Arial" w:cs="Arial" w:eastAsia="Arial" w:hAnsi="Arial"/>
                <w:sz w:val="15"/>
                <w:szCs w:val="15"/>
              </w:rPr>
              <w:t xml:space="preserve">I04 phase 1: separate backup admin credentials, offline copy, first crown-jewel restore test</w:t>
            </w:r>
          </w:p>
          <w:p>
            <w:r>
              <w:rPr>
                <w:rFonts w:ascii="Arial" w:cs="Arial" w:eastAsia="Arial" w:hAnsi="Arial"/>
                <w:sz w:val="15"/>
                <w:szCs w:val="15"/>
              </w:rPr>
              <w:t xml:space="preserve">I08: block public access on all cloud storage; review existing shares and links</w:t>
            </w:r>
          </w:p>
          <w:p>
            <w:r>
              <w:rPr>
                <w:rFonts w:ascii="Arial" w:cs="Arial" w:eastAsia="Arial" w:hAnsi="Arial"/>
                <w:sz w:val="15"/>
                <w:szCs w:val="15"/>
              </w:rPr>
              <w:t xml:space="preserve">I02 quick win: rotate and restrict ehr-sync-svc; inventory privileged accounts</w:t>
            </w:r>
          </w:p>
          <w:p>
            <w:r>
              <w:rPr>
                <w:rFonts w:ascii="Arial" w:cs="Arial" w:eastAsia="Arial" w:hAnsi="Arial"/>
                <w:sz w:val="15"/>
                <w:szCs w:val="15"/>
              </w:rPr>
              <w:t xml:space="preserve">I11: update IR plan, engage IR/forensic retainer, first executive-and-clinic tabletop</w:t>
            </w:r>
          </w:p>
          <w:p>
            <w:r>
              <w:rPr>
                <w:rFonts w:ascii="Arial" w:cs="Arial" w:eastAsia="Arial" w:hAnsi="Arial"/>
                <w:sz w:val="15"/>
                <w:szCs w:val="15"/>
              </w:rPr>
              <w:t xml:space="preserve">I12: approve appetite, launch KRI dashboard and risk register</w:t>
            </w:r>
          </w:p>
          <w:p>
            <w:r>
              <w:rPr>
                <w:rFonts w:ascii="Arial" w:cs="Arial" w:eastAsia="Arial" w:hAnsi="Arial"/>
                <w:sz w:val="15"/>
                <w:szCs w:val="15"/>
              </w:rPr>
              <w:t xml:space="preserve">If any indicator in the case appendices reflects real activity: commission a compromise assessment immediately</w:t>
            </w:r>
          </w:p>
        </w:tc>
        <w:tc>
          <w:tcPr>
            <w:tcW w:type="dxa" w:w="1499"/>
            <w:tcMar>
              <w:top w:type="dxa" w:w="50"/>
              <w:left w:type="dxa" w:w="80"/>
              <w:bottom w:type="dxa" w:w="50"/>
              <w:right w:type="dxa" w:w="80"/>
            </w:tcMar>
          </w:tcPr>
          <w:p>
            <w:r>
              <w:rPr>
                <w:rFonts w:ascii="Arial" w:cs="Arial" w:eastAsia="Arial" w:hAnsi="Arial"/>
                <w:sz w:val="15"/>
                <w:szCs w:val="15"/>
              </w:rPr>
              <w:t xml:space="preserve">S1, S2, S3, S4, S5, S8</w:t>
            </w:r>
          </w:p>
        </w:tc>
      </w:tr>
      <w:tr>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3-6 months</w:t>
            </w:r>
          </w:p>
          <w:p>
            <w:r>
              <w:rPr>
                <w:rFonts w:ascii="Arial" w:cs="Arial" w:eastAsia="Arial" w:hAnsi="Arial"/>
                <w:sz w:val="15"/>
                <w:szCs w:val="15"/>
              </w:rPr>
              <w:t xml:space="preserve">Foundations</w:t>
            </w:r>
          </w:p>
        </w:tc>
        <w:tc>
          <w:tcPr>
            <w:tcW w:type="dxa" w:w="6364"/>
            <w:shd w:fill="F2F2F2" w:color="auto" w:val="clear"/>
            <w:tcMar>
              <w:top w:type="dxa" w:w="50"/>
              <w:left w:type="dxa" w:w="80"/>
              <w:bottom w:type="dxa" w:w="50"/>
              <w:right w:type="dxa" w:w="80"/>
            </w:tcMar>
          </w:tcPr>
          <w:p>
            <w:r>
              <w:rPr>
                <w:rFonts w:ascii="Arial" w:cs="Arial" w:eastAsia="Arial" w:hAnsi="Arial"/>
                <w:sz w:val="15"/>
                <w:szCs w:val="15"/>
              </w:rPr>
              <w:t xml:space="preserve">I02: PAM vault, tiered administration, just-in-time elevation</w:t>
            </w:r>
          </w:p>
          <w:p>
            <w:r>
              <w:rPr>
                <w:rFonts w:ascii="Arial" w:cs="Arial" w:eastAsia="Arial" w:hAnsi="Arial"/>
                <w:sz w:val="15"/>
                <w:szCs w:val="15"/>
              </w:rPr>
              <w:t xml:space="preserve">I05: asset inventory, authenticated scanning, SLAs, exception process</w:t>
            </w:r>
          </w:p>
          <w:p>
            <w:r>
              <w:rPr>
                <w:rFonts w:ascii="Arial" w:cs="Arial" w:eastAsia="Arial" w:hAnsi="Arial"/>
                <w:sz w:val="15"/>
                <w:szCs w:val="15"/>
              </w:rPr>
              <w:t xml:space="preserve">I09: EHR role redesign, first access recertification, EHR access analytics</w:t>
            </w:r>
          </w:p>
          <w:p>
            <w:r>
              <w:rPr>
                <w:rFonts w:ascii="Arial" w:cs="Arial" w:eastAsia="Arial" w:hAnsi="Arial"/>
                <w:sz w:val="15"/>
                <w:szCs w:val="15"/>
              </w:rPr>
              <w:t xml:space="preserve">I10: vendor tiering; contract clauses for critical vendors</w:t>
            </w:r>
          </w:p>
          <w:p>
            <w:r>
              <w:rPr>
                <w:rFonts w:ascii="Arial" w:cs="Arial" w:eastAsia="Arial" w:hAnsi="Arial"/>
                <w:sz w:val="15"/>
                <w:szCs w:val="15"/>
              </w:rPr>
              <w:t xml:space="preserve">I01: complete rollout and conditional access</w:t>
            </w:r>
          </w:p>
        </w:tc>
        <w:tc>
          <w:tcPr>
            <w:tcW w:type="dxa" w:w="1499"/>
            <w:shd w:fill="F2F2F2" w:color="auto" w:val="clear"/>
            <w:tcMar>
              <w:top w:type="dxa" w:w="50"/>
              <w:left w:type="dxa" w:w="80"/>
              <w:bottom w:type="dxa" w:w="50"/>
              <w:right w:type="dxa" w:w="80"/>
            </w:tcMar>
          </w:tcPr>
          <w:p>
            <w:r>
              <w:rPr>
                <w:rFonts w:ascii="Arial" w:cs="Arial" w:eastAsia="Arial" w:hAnsi="Arial"/>
                <w:sz w:val="15"/>
                <w:szCs w:val="15"/>
              </w:rPr>
              <w:t xml:space="preserve">S1, S5, S6, S9, S10</w:t>
            </w:r>
          </w:p>
        </w:tc>
      </w:tr>
      <w:tr>
        <w:tc>
          <w:tcPr>
            <w:tcW w:type="dxa" w:w="1497"/>
            <w:tcMar>
              <w:top w:type="dxa" w:w="50"/>
              <w:left w:type="dxa" w:w="80"/>
              <w:bottom w:type="dxa" w:w="50"/>
              <w:right w:type="dxa" w:w="80"/>
            </w:tcMar>
          </w:tcPr>
          <w:p>
            <w:r>
              <w:rPr>
                <w:rFonts w:ascii="Arial" w:cs="Arial" w:eastAsia="Arial" w:hAnsi="Arial"/>
                <w:sz w:val="15"/>
                <w:szCs w:val="15"/>
              </w:rPr>
              <w:t xml:space="preserve">6-12 months</w:t>
            </w:r>
          </w:p>
          <w:p>
            <w:r>
              <w:rPr>
                <w:rFonts w:ascii="Arial" w:cs="Arial" w:eastAsia="Arial" w:hAnsi="Arial"/>
                <w:sz w:val="15"/>
                <w:szCs w:val="15"/>
              </w:rPr>
              <w:t xml:space="preserve">Major capabilities</w:t>
            </w:r>
          </w:p>
        </w:tc>
        <w:tc>
          <w:tcPr>
            <w:tcW w:type="dxa" w:w="6364"/>
            <w:tcMar>
              <w:top w:type="dxa" w:w="50"/>
              <w:left w:type="dxa" w:w="80"/>
              <w:bottom w:type="dxa" w:w="50"/>
              <w:right w:type="dxa" w:w="80"/>
            </w:tcMar>
          </w:tcPr>
          <w:p>
            <w:r>
              <w:rPr>
                <w:rFonts w:ascii="Arial" w:cs="Arial" w:eastAsia="Arial" w:hAnsi="Arial"/>
                <w:sz w:val="15"/>
                <w:szCs w:val="15"/>
              </w:rPr>
              <w:t xml:space="preserve">I04: immutable backup and isolated backup network complete; quarterly restore tests</w:t>
            </w:r>
          </w:p>
          <w:p>
            <w:r>
              <w:rPr>
                <w:rFonts w:ascii="Arial" w:cs="Arial" w:eastAsia="Arial" w:hAnsi="Arial"/>
                <w:sz w:val="15"/>
                <w:szCs w:val="15"/>
              </w:rPr>
              <w:t xml:space="preserve">I06 phase 1: segment medical devices, guest Wi-Fi (WPA3), backup and server zones</w:t>
            </w:r>
          </w:p>
          <w:p>
            <w:r>
              <w:rPr>
                <w:rFonts w:ascii="Arial" w:cs="Arial" w:eastAsia="Arial" w:hAnsi="Arial"/>
                <w:sz w:val="15"/>
                <w:szCs w:val="15"/>
              </w:rPr>
              <w:t xml:space="preserve">I07: medical device inventory, MDS2, passive IoMT monitoring</w:t>
            </w:r>
          </w:p>
          <w:p>
            <w:r>
              <w:rPr>
                <w:rFonts w:ascii="Arial" w:cs="Arial" w:eastAsia="Arial" w:hAnsi="Arial"/>
                <w:sz w:val="15"/>
                <w:szCs w:val="15"/>
              </w:rPr>
              <w:t xml:space="preserve">I13: integrity monitoring and reconciliation for medication, allergy, lab, billing</w:t>
            </w:r>
          </w:p>
          <w:p>
            <w:r>
              <w:rPr>
                <w:rFonts w:ascii="Arial" w:cs="Arial" w:eastAsia="Arial" w:hAnsi="Arial"/>
                <w:sz w:val="15"/>
                <w:szCs w:val="15"/>
              </w:rPr>
              <w:t xml:space="preserve">I09: DLP for health data</w:t>
            </w:r>
          </w:p>
        </w:tc>
        <w:tc>
          <w:tcPr>
            <w:tcW w:type="dxa" w:w="1499"/>
            <w:tcMar>
              <w:top w:type="dxa" w:w="50"/>
              <w:left w:type="dxa" w:w="80"/>
              <w:bottom w:type="dxa" w:w="50"/>
              <w:right w:type="dxa" w:w="80"/>
            </w:tcMar>
          </w:tcPr>
          <w:p>
            <w:r>
              <w:rPr>
                <w:rFonts w:ascii="Arial" w:cs="Arial" w:eastAsia="Arial" w:hAnsi="Arial"/>
                <w:sz w:val="15"/>
                <w:szCs w:val="15"/>
              </w:rPr>
              <w:t xml:space="preserve">S2, S3, S7, S10</w:t>
            </w:r>
          </w:p>
        </w:tc>
      </w:tr>
      <w:tr>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12-24 months</w:t>
            </w:r>
          </w:p>
          <w:p>
            <w:r>
              <w:rPr>
                <w:rFonts w:ascii="Arial" w:cs="Arial" w:eastAsia="Arial" w:hAnsi="Arial"/>
                <w:sz w:val="15"/>
                <w:szCs w:val="15"/>
              </w:rPr>
              <w:t xml:space="preserve">Strategic maturity</w:t>
            </w:r>
          </w:p>
        </w:tc>
        <w:tc>
          <w:tcPr>
            <w:tcW w:type="dxa" w:w="6364"/>
            <w:shd w:fill="F2F2F2" w:color="auto" w:val="clear"/>
            <w:tcMar>
              <w:top w:type="dxa" w:w="50"/>
              <w:left w:type="dxa" w:w="80"/>
              <w:bottom w:type="dxa" w:w="50"/>
              <w:right w:type="dxa" w:w="80"/>
            </w:tcMar>
          </w:tcPr>
          <w:p>
            <w:r>
              <w:rPr>
                <w:rFonts w:ascii="Arial" w:cs="Arial" w:eastAsia="Arial" w:hAnsi="Arial"/>
                <w:sz w:val="15"/>
                <w:szCs w:val="15"/>
              </w:rPr>
              <w:t xml:space="preserve">I06 complete: NAC in all clinics, east-west enforcement</w:t>
            </w:r>
          </w:p>
          <w:p>
            <w:r>
              <w:rPr>
                <w:rFonts w:ascii="Arial" w:cs="Arial" w:eastAsia="Arial" w:hAnsi="Arial"/>
                <w:sz w:val="15"/>
                <w:szCs w:val="15"/>
              </w:rPr>
              <w:t xml:space="preserve">Zero-trust remote access replacing network-level VPN</w:t>
            </w:r>
          </w:p>
          <w:p>
            <w:r>
              <w:rPr>
                <w:rFonts w:ascii="Arial" w:cs="Arial" w:eastAsia="Arial" w:hAnsi="Arial"/>
                <w:sz w:val="15"/>
                <w:szCs w:val="15"/>
              </w:rPr>
              <w:t xml:space="preserve">Full disaster-recovery exercise including clinical downtime</w:t>
            </w:r>
          </w:p>
          <w:p>
            <w:r>
              <w:rPr>
                <w:rFonts w:ascii="Arial" w:cs="Arial" w:eastAsia="Arial" w:hAnsi="Arial"/>
                <w:sz w:val="15"/>
                <w:szCs w:val="15"/>
              </w:rPr>
              <w:t xml:space="preserve">Independent reassessment against this baseline; audit of remediation; insurance renewal</w:t>
            </w:r>
          </w:p>
        </w:tc>
        <w:tc>
          <w:tcPr>
            <w:tcW w:type="dxa" w:w="1499"/>
            <w:shd w:fill="F2F2F2" w:color="auto" w:val="clear"/>
            <w:tcMar>
              <w:top w:type="dxa" w:w="50"/>
              <w:left w:type="dxa" w:w="80"/>
              <w:bottom w:type="dxa" w:w="50"/>
              <w:right w:type="dxa" w:w="80"/>
            </w:tcMar>
          </w:tcPr>
          <w:p>
            <w:r>
              <w:rPr>
                <w:rFonts w:ascii="Arial" w:cs="Arial" w:eastAsia="Arial" w:hAnsi="Arial"/>
                <w:sz w:val="15"/>
                <w:szCs w:val="15"/>
              </w:rPr>
              <w:t xml:space="preserve">S2, S6, S7, S9</w:t>
            </w:r>
          </w:p>
        </w:tc>
      </w:tr>
    </w:tbl>
    <w:p>
      <w:pPr>
        <w:pStyle w:val="Heading1"/>
        <w:pageBreakBefore/>
      </w:pPr>
      <w:r>
        <w:rPr>
          <w:rFonts w:ascii="Arial" w:cs="Arial" w:eastAsia="Arial" w:hAnsi="Arial"/>
        </w:rPr>
        <w:t xml:space="preserve">12. Key risk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655"/>
        <w:gridCol w:w="1310"/>
        <w:gridCol w:w="1029"/>
        <w:gridCol w:w="936"/>
        <w:gridCol w:w="748"/>
        <w:gridCol w:w="748"/>
        <w:gridCol w:w="748"/>
        <w:gridCol w:w="941"/>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KRI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Measurement</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Data source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Frequency</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Target</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Warning</w:t>
            </w:r>
          </w:p>
        </w:tc>
        <w:tc>
          <w:tcPr>
            <w:tcW w:type="dxa" w:w="94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Critical</w:t>
            </w:r>
          </w:p>
        </w:tc>
      </w:tr>
      <w:tr>
        <w:tc>
          <w:tcPr>
            <w:tcW w:type="dxa" w:w="561"/>
            <w:tcMar>
              <w:top w:type="dxa" w:w="50"/>
              <w:left w:type="dxa" w:w="80"/>
              <w:bottom w:type="dxa" w:w="50"/>
              <w:right w:type="dxa" w:w="80"/>
            </w:tcMar>
          </w:tcPr>
          <w:p>
            <w:r>
              <w:rPr>
                <w:rFonts w:ascii="Arial" w:cs="Arial" w:eastAsia="Arial" w:hAnsi="Arial"/>
                <w:sz w:val="13"/>
                <w:szCs w:val="13"/>
              </w:rPr>
              <w:t xml:space="preserve">KRI-01</w:t>
            </w:r>
          </w:p>
        </w:tc>
        <w:tc>
          <w:tcPr>
            <w:tcW w:type="dxa" w:w="1684"/>
            <w:tcMar>
              <w:top w:type="dxa" w:w="50"/>
              <w:left w:type="dxa" w:w="80"/>
              <w:bottom w:type="dxa" w:w="50"/>
              <w:right w:type="dxa" w:w="80"/>
            </w:tcMar>
          </w:tcPr>
          <w:p>
            <w:r>
              <w:rPr>
                <w:rFonts w:ascii="Arial" w:cs="Arial" w:eastAsia="Arial" w:hAnsi="Arial"/>
                <w:sz w:val="13"/>
                <w:szCs w:val="13"/>
              </w:rPr>
              <w:t xml:space="preserve">% privileged and remote-access accounts on phishing-resistant MFA</w:t>
            </w:r>
          </w:p>
        </w:tc>
        <w:tc>
          <w:tcPr>
            <w:tcW w:type="dxa" w:w="655"/>
            <w:tcMar>
              <w:top w:type="dxa" w:w="50"/>
              <w:left w:type="dxa" w:w="80"/>
              <w:bottom w:type="dxa" w:w="50"/>
              <w:right w:type="dxa" w:w="80"/>
            </w:tcMar>
          </w:tcPr>
          <w:p>
            <w:r>
              <w:rPr>
                <w:rFonts w:ascii="Arial" w:cs="Arial" w:eastAsia="Arial" w:hAnsi="Arial"/>
                <w:sz w:val="13"/>
                <w:szCs w:val="13"/>
              </w:rPr>
              <w:t xml:space="preserve">S1, S8, S9</w:t>
            </w:r>
          </w:p>
        </w:tc>
        <w:tc>
          <w:tcPr>
            <w:tcW w:type="dxa" w:w="1310"/>
            <w:tcMar>
              <w:top w:type="dxa" w:w="50"/>
              <w:left w:type="dxa" w:w="80"/>
              <w:bottom w:type="dxa" w:w="50"/>
              <w:right w:type="dxa" w:w="80"/>
            </w:tcMar>
          </w:tcPr>
          <w:p>
            <w:r>
              <w:rPr>
                <w:rFonts w:ascii="Arial" w:cs="Arial" w:eastAsia="Arial" w:hAnsi="Arial"/>
                <w:sz w:val="13"/>
                <w:szCs w:val="13"/>
              </w:rPr>
              <w:t xml:space="preserve">Accounts with FIDO2 / total in-scope accounts</w:t>
            </w:r>
          </w:p>
        </w:tc>
        <w:tc>
          <w:tcPr>
            <w:tcW w:type="dxa" w:w="1029"/>
            <w:tcMar>
              <w:top w:type="dxa" w:w="50"/>
              <w:left w:type="dxa" w:w="80"/>
              <w:bottom w:type="dxa" w:w="50"/>
              <w:right w:type="dxa" w:w="80"/>
            </w:tcMar>
          </w:tcPr>
          <w:p>
            <w:r>
              <w:rPr>
                <w:rFonts w:ascii="Arial" w:cs="Arial" w:eastAsia="Arial" w:hAnsi="Arial"/>
                <w:sz w:val="13"/>
                <w:szCs w:val="13"/>
              </w:rPr>
              <w:t xml:space="preserve">IdP / directory report</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Phishing simulation report rate / click rate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 S2</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Reported vs clicked in simulations</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Awareness platform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70% / &lt; 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50% / &gt;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30% / &gt; 15%</w:t>
            </w:r>
          </w:p>
        </w:tc>
      </w:tr>
      <w:tr>
        <w:tc>
          <w:tcPr>
            <w:tcW w:type="dxa" w:w="561"/>
            <w:tcMar>
              <w:top w:type="dxa" w:w="50"/>
              <w:left w:type="dxa" w:w="80"/>
              <w:bottom w:type="dxa" w:w="50"/>
              <w:right w:type="dxa" w:w="80"/>
            </w:tcMar>
          </w:tcPr>
          <w:p>
            <w:r>
              <w:rPr>
                <w:rFonts w:ascii="Arial" w:cs="Arial" w:eastAsia="Arial" w:hAnsi="Arial"/>
                <w:sz w:val="13"/>
                <w:szCs w:val="13"/>
              </w:rPr>
              <w:t xml:space="preserve">KRI-03</w:t>
            </w:r>
          </w:p>
        </w:tc>
        <w:tc>
          <w:tcPr>
            <w:tcW w:type="dxa" w:w="1684"/>
            <w:tcMar>
              <w:top w:type="dxa" w:w="50"/>
              <w:left w:type="dxa" w:w="80"/>
              <w:bottom w:type="dxa" w:w="50"/>
              <w:right w:type="dxa" w:w="80"/>
            </w:tcMar>
          </w:tcPr>
          <w:p>
            <w:r>
              <w:rPr>
                <w:rFonts w:ascii="Arial" w:cs="Arial" w:eastAsia="Arial" w:hAnsi="Arial"/>
                <w:sz w:val="13"/>
                <w:szCs w:val="13"/>
              </w:rPr>
              <w:t xml:space="preserve">% critical/known-exploited vulnerabilities remediated within SLA</w:t>
            </w:r>
          </w:p>
        </w:tc>
        <w:tc>
          <w:tcPr>
            <w:tcW w:type="dxa" w:w="655"/>
            <w:tcMar>
              <w:top w:type="dxa" w:w="50"/>
              <w:left w:type="dxa" w:w="80"/>
              <w:bottom w:type="dxa" w:w="50"/>
              <w:right w:type="dxa" w:w="80"/>
            </w:tcMar>
          </w:tcPr>
          <w:p>
            <w:r>
              <w:rPr>
                <w:rFonts w:ascii="Arial" w:cs="Arial" w:eastAsia="Arial" w:hAnsi="Arial"/>
                <w:sz w:val="13"/>
                <w:szCs w:val="13"/>
              </w:rPr>
              <w:t xml:space="preserve">S6, S2</w:t>
            </w:r>
          </w:p>
        </w:tc>
        <w:tc>
          <w:tcPr>
            <w:tcW w:type="dxa" w:w="1310"/>
            <w:tcMar>
              <w:top w:type="dxa" w:w="50"/>
              <w:left w:type="dxa" w:w="80"/>
              <w:bottom w:type="dxa" w:w="50"/>
              <w:right w:type="dxa" w:w="80"/>
            </w:tcMar>
          </w:tcPr>
          <w:p>
            <w:r>
              <w:rPr>
                <w:rFonts w:ascii="Arial" w:cs="Arial" w:eastAsia="Arial" w:hAnsi="Arial"/>
                <w:sz w:val="13"/>
                <w:szCs w:val="13"/>
              </w:rPr>
              <w:t xml:space="preserve">Closed within SLA / total</w:t>
            </w:r>
          </w:p>
        </w:tc>
        <w:tc>
          <w:tcPr>
            <w:tcW w:type="dxa" w:w="1029"/>
            <w:tcMar>
              <w:top w:type="dxa" w:w="50"/>
              <w:left w:type="dxa" w:w="80"/>
              <w:bottom w:type="dxa" w:w="50"/>
              <w:right w:type="dxa" w:w="80"/>
            </w:tcMar>
          </w:tcPr>
          <w:p>
            <w:r>
              <w:rPr>
                <w:rFonts w:ascii="Arial" w:cs="Arial" w:eastAsia="Arial" w:hAnsi="Arial"/>
                <w:sz w:val="13"/>
                <w:szCs w:val="13"/>
              </w:rPr>
              <w:t xml:space="preserve">Vulnerability scanner</w:t>
            </w:r>
          </w:p>
        </w:tc>
        <w:tc>
          <w:tcPr>
            <w:tcW w:type="dxa" w:w="936"/>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&gt; 95%</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Number of unsupported (end-of-life) systems on patient-data or internet-facing networks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S6, 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CMDB / scanner</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5</w:t>
            </w:r>
          </w:p>
        </w:tc>
      </w:tr>
      <w:tr>
        <w:tc>
          <w:tcPr>
            <w:tcW w:type="dxa" w:w="561"/>
            <w:tcMar>
              <w:top w:type="dxa" w:w="50"/>
              <w:left w:type="dxa" w:w="80"/>
              <w:bottom w:type="dxa" w:w="50"/>
              <w:right w:type="dxa" w:w="80"/>
            </w:tcMar>
          </w:tcPr>
          <w:p>
            <w:r>
              <w:rPr>
                <w:rFonts w:ascii="Arial" w:cs="Arial" w:eastAsia="Arial" w:hAnsi="Arial"/>
                <w:sz w:val="13"/>
                <w:szCs w:val="13"/>
              </w:rPr>
              <w:t xml:space="preserve">KRI-05</w:t>
            </w:r>
          </w:p>
        </w:tc>
        <w:tc>
          <w:tcPr>
            <w:tcW w:type="dxa" w:w="1684"/>
            <w:tcMar>
              <w:top w:type="dxa" w:w="50"/>
              <w:left w:type="dxa" w:w="80"/>
              <w:bottom w:type="dxa" w:w="50"/>
              <w:right w:type="dxa" w:w="80"/>
            </w:tcMar>
          </w:tcPr>
          <w:p>
            <w:r>
              <w:rPr>
                <w:rFonts w:ascii="Arial" w:cs="Arial" w:eastAsia="Arial" w:hAnsi="Arial"/>
                <w:sz w:val="13"/>
                <w:szCs w:val="13"/>
              </w:rPr>
              <w:t xml:space="preserve">Crown-jewel backup restore-test success rate within RTO</w:t>
            </w:r>
          </w:p>
        </w:tc>
        <w:tc>
          <w:tcPr>
            <w:tcW w:type="dxa" w:w="655"/>
            <w:tcMar>
              <w:top w:type="dxa" w:w="50"/>
              <w:left w:type="dxa" w:w="80"/>
              <w:bottom w:type="dxa" w:w="50"/>
              <w:right w:type="dxa" w:w="80"/>
            </w:tcMar>
          </w:tcPr>
          <w:p>
            <w:r>
              <w:rPr>
                <w:rFonts w:ascii="Arial" w:cs="Arial" w:eastAsia="Arial" w:hAnsi="Arial"/>
                <w:sz w:val="13"/>
                <w:szCs w:val="13"/>
              </w:rPr>
              <w:t xml:space="preserve">S2, S3, S10</w:t>
            </w:r>
          </w:p>
        </w:tc>
        <w:tc>
          <w:tcPr>
            <w:tcW w:type="dxa" w:w="1310"/>
            <w:tcMar>
              <w:top w:type="dxa" w:w="50"/>
              <w:left w:type="dxa" w:w="80"/>
              <w:bottom w:type="dxa" w:w="50"/>
              <w:right w:type="dxa" w:w="80"/>
            </w:tcMar>
          </w:tcPr>
          <w:p>
            <w:r>
              <w:rPr>
                <w:rFonts w:ascii="Arial" w:cs="Arial" w:eastAsia="Arial" w:hAnsi="Arial"/>
                <w:sz w:val="13"/>
                <w:szCs w:val="13"/>
              </w:rPr>
              <w:t xml:space="preserve">Successful tests / tests run</w:t>
            </w:r>
          </w:p>
        </w:tc>
        <w:tc>
          <w:tcPr>
            <w:tcW w:type="dxa" w:w="1029"/>
            <w:tcMar>
              <w:top w:type="dxa" w:w="50"/>
              <w:left w:type="dxa" w:w="80"/>
              <w:bottom w:type="dxa" w:w="50"/>
              <w:right w:type="dxa" w:w="80"/>
            </w:tcMar>
          </w:tcPr>
          <w:p>
            <w:r>
              <w:rPr>
                <w:rFonts w:ascii="Arial" w:cs="Arial" w:eastAsia="Arial" w:hAnsi="Arial"/>
                <w:sz w:val="13"/>
                <w:szCs w:val="13"/>
              </w:rPr>
              <w:t xml:space="preserve">Backup platform, DR test records</w:t>
            </w:r>
          </w:p>
        </w:tc>
        <w:tc>
          <w:tcPr>
            <w:tcW w:type="dxa" w:w="936"/>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EDR and log coverage of critical assets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Assets reporting /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EDR console, SIEM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98%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95%</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KRI-07</w:t>
            </w:r>
          </w:p>
        </w:tc>
        <w:tc>
          <w:tcPr>
            <w:tcW w:type="dxa" w:w="1684"/>
            <w:tcMar>
              <w:top w:type="dxa" w:w="50"/>
              <w:left w:type="dxa" w:w="80"/>
              <w:bottom w:type="dxa" w:w="50"/>
              <w:right w:type="dxa" w:w="80"/>
            </w:tcMar>
          </w:tcPr>
          <w:p>
            <w:r>
              <w:rPr>
                <w:rFonts w:ascii="Arial" w:cs="Arial" w:eastAsia="Arial" w:hAnsi="Arial"/>
                <w:sz w:val="13"/>
                <w:szCs w:val="13"/>
              </w:rPr>
              <w:t xml:space="preserve">Mean time to detect / contain high-severity incidents</w:t>
            </w:r>
          </w:p>
        </w:tc>
        <w:tc>
          <w:tcPr>
            <w:tcW w:type="dxa" w:w="655"/>
            <w:tcMar>
              <w:top w:type="dxa" w:w="50"/>
              <w:left w:type="dxa" w:w="80"/>
              <w:bottom w:type="dxa" w:w="50"/>
              <w:right w:type="dxa" w:w="80"/>
            </w:tcMar>
          </w:tcPr>
          <w:p>
            <w:r>
              <w:rPr>
                <w:rFonts w:ascii="Arial" w:cs="Arial" w:eastAsia="Arial" w:hAnsi="Arial"/>
                <w:sz w:val="13"/>
                <w:szCs w:val="13"/>
              </w:rPr>
              <w:t xml:space="preserve">S8, S2</w:t>
            </w:r>
          </w:p>
        </w:tc>
        <w:tc>
          <w:tcPr>
            <w:tcW w:type="dxa" w:w="1310"/>
            <w:tcMar>
              <w:top w:type="dxa" w:w="50"/>
              <w:left w:type="dxa" w:w="80"/>
              <w:bottom w:type="dxa" w:w="50"/>
              <w:right w:type="dxa" w:w="80"/>
            </w:tcMar>
          </w:tcPr>
          <w:p>
            <w:r>
              <w:rPr>
                <w:rFonts w:ascii="Arial" w:cs="Arial" w:eastAsia="Arial" w:hAnsi="Arial"/>
                <w:sz w:val="13"/>
                <w:szCs w:val="13"/>
              </w:rPr>
              <w:t xml:space="preserve">Median hours from first signal to detection / containment</w:t>
            </w:r>
          </w:p>
        </w:tc>
        <w:tc>
          <w:tcPr>
            <w:tcW w:type="dxa" w:w="1029"/>
            <w:tcMar>
              <w:top w:type="dxa" w:w="50"/>
              <w:left w:type="dxa" w:w="80"/>
              <w:bottom w:type="dxa" w:w="50"/>
              <w:right w:type="dxa" w:w="80"/>
            </w:tcMar>
          </w:tcPr>
          <w:p>
            <w:r>
              <w:rPr>
                <w:rFonts w:ascii="Arial" w:cs="Arial" w:eastAsia="Arial" w:hAnsi="Arial"/>
                <w:sz w:val="13"/>
                <w:szCs w:val="13"/>
              </w:rPr>
              <w:t xml:space="preserve">MDR reports</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&lt; 1 h / &lt; 4 h</w:t>
            </w:r>
          </w:p>
        </w:tc>
        <w:tc>
          <w:tcPr>
            <w:tcW w:type="dxa" w:w="748"/>
            <w:tcMar>
              <w:top w:type="dxa" w:w="50"/>
              <w:left w:type="dxa" w:w="80"/>
              <w:bottom w:type="dxa" w:w="50"/>
              <w:right w:type="dxa" w:w="80"/>
            </w:tcMar>
          </w:tcPr>
          <w:p>
            <w:r>
              <w:rPr>
                <w:rFonts w:ascii="Arial" w:cs="Arial" w:eastAsia="Arial" w:hAnsi="Arial"/>
                <w:sz w:val="13"/>
                <w:szCs w:val="13"/>
              </w:rPr>
              <w:t xml:space="preserve">&gt; 4 h / &gt; 24 h</w:t>
            </w:r>
          </w:p>
        </w:tc>
        <w:tc>
          <w:tcPr>
            <w:tcW w:type="dxa" w:w="941"/>
            <w:tcMar>
              <w:top w:type="dxa" w:w="50"/>
              <w:left w:type="dxa" w:w="80"/>
              <w:bottom w:type="dxa" w:w="50"/>
              <w:right w:type="dxa" w:w="80"/>
            </w:tcMar>
          </w:tcPr>
          <w:p>
            <w:r>
              <w:rPr>
                <w:rFonts w:ascii="Arial" w:cs="Arial" w:eastAsia="Arial" w:hAnsi="Arial"/>
                <w:sz w:val="13"/>
                <w:szCs w:val="13"/>
              </w:rPr>
              <w:t xml:space="preserve">&gt; 24 h / &gt; 72 h</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Publicly accessible cloud storage objects containing health data</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CSPM</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CSPM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 PHI</w:t>
            </w:r>
          </w:p>
        </w:tc>
      </w:tr>
      <w:tr>
        <w:tc>
          <w:tcPr>
            <w:tcW w:type="dxa" w:w="561"/>
            <w:tcMar>
              <w:top w:type="dxa" w:w="50"/>
              <w:left w:type="dxa" w:w="80"/>
              <w:bottom w:type="dxa" w:w="50"/>
              <w:right w:type="dxa" w:w="80"/>
            </w:tcMar>
          </w:tcPr>
          <w:p>
            <w:r>
              <w:rPr>
                <w:rFonts w:ascii="Arial" w:cs="Arial" w:eastAsia="Arial" w:hAnsi="Arial"/>
                <w:sz w:val="13"/>
                <w:szCs w:val="13"/>
              </w:rPr>
              <w:t xml:space="preserve">KRI-09</w:t>
            </w:r>
          </w:p>
        </w:tc>
        <w:tc>
          <w:tcPr>
            <w:tcW w:type="dxa" w:w="1684"/>
            <w:tcMar>
              <w:top w:type="dxa" w:w="50"/>
              <w:left w:type="dxa" w:w="80"/>
              <w:bottom w:type="dxa" w:w="50"/>
              <w:right w:type="dxa" w:w="80"/>
            </w:tcMar>
          </w:tcPr>
          <w:p>
            <w:r>
              <w:rPr>
                <w:rFonts w:ascii="Arial" w:cs="Arial" w:eastAsia="Arial" w:hAnsi="Arial"/>
                <w:sz w:val="13"/>
                <w:szCs w:val="13"/>
              </w:rPr>
              <w:t xml:space="preserve">% EHR roles recertified and bulk-access alerts reviewed within 24 h</w:t>
            </w:r>
          </w:p>
        </w:tc>
        <w:tc>
          <w:tcPr>
            <w:tcW w:type="dxa" w:w="655"/>
            <w:tcMar>
              <w:top w:type="dxa" w:w="50"/>
              <w:left w:type="dxa" w:w="80"/>
              <w:bottom w:type="dxa" w:w="50"/>
              <w:right w:type="dxa" w:w="80"/>
            </w:tcMar>
          </w:tcPr>
          <w:p>
            <w:r>
              <w:rPr>
                <w:rFonts w:ascii="Arial" w:cs="Arial" w:eastAsia="Arial" w:hAnsi="Arial"/>
                <w:sz w:val="13"/>
                <w:szCs w:val="13"/>
              </w:rPr>
              <w:t xml:space="preserve">S5, S10</w:t>
            </w:r>
          </w:p>
        </w:tc>
        <w:tc>
          <w:tcPr>
            <w:tcW w:type="dxa" w:w="1310"/>
            <w:tcMar>
              <w:top w:type="dxa" w:w="50"/>
              <w:left w:type="dxa" w:w="80"/>
              <w:bottom w:type="dxa" w:w="50"/>
              <w:right w:type="dxa" w:w="80"/>
            </w:tcMar>
          </w:tcPr>
          <w:p>
            <w:r>
              <w:rPr>
                <w:rFonts w:ascii="Arial" w:cs="Arial" w:eastAsia="Arial" w:hAnsi="Arial"/>
                <w:sz w:val="13"/>
                <w:szCs w:val="13"/>
              </w:rPr>
              <w:t xml:space="preserve">Recertified / total; reviewed / raised</w:t>
            </w:r>
          </w:p>
        </w:tc>
        <w:tc>
          <w:tcPr>
            <w:tcW w:type="dxa" w:w="1029"/>
            <w:tcMar>
              <w:top w:type="dxa" w:w="50"/>
              <w:left w:type="dxa" w:w="80"/>
              <w:bottom w:type="dxa" w:w="50"/>
              <w:right w:type="dxa" w:w="80"/>
            </w:tcMar>
          </w:tcPr>
          <w:p>
            <w:r>
              <w:rPr>
                <w:rFonts w:ascii="Arial" w:cs="Arial" w:eastAsia="Arial" w:hAnsi="Arial"/>
                <w:sz w:val="13"/>
                <w:szCs w:val="13"/>
              </w:rPr>
              <w:t xml:space="preserve">EHR access analytics, IAM</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networked medical devices inventoried and in isolated segments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Segmented devices / inventoried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IoMT monitoring, NAC</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Biomedical engineering</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70%</w:t>
            </w:r>
          </w:p>
        </w:tc>
      </w:tr>
      <w:tr>
        <w:tc>
          <w:tcPr>
            <w:tcW w:type="dxa" w:w="561"/>
            <w:tcMar>
              <w:top w:type="dxa" w:w="50"/>
              <w:left w:type="dxa" w:w="80"/>
              <w:bottom w:type="dxa" w:w="50"/>
              <w:right w:type="dxa" w:w="80"/>
            </w:tcMar>
          </w:tcPr>
          <w:p>
            <w:r>
              <w:rPr>
                <w:rFonts w:ascii="Arial" w:cs="Arial" w:eastAsia="Arial" w:hAnsi="Arial"/>
                <w:sz w:val="13"/>
                <w:szCs w:val="13"/>
              </w:rPr>
              <w:t xml:space="preserve">KRI-11</w:t>
            </w:r>
          </w:p>
        </w:tc>
        <w:tc>
          <w:tcPr>
            <w:tcW w:type="dxa" w:w="1684"/>
            <w:tcMar>
              <w:top w:type="dxa" w:w="50"/>
              <w:left w:type="dxa" w:w="80"/>
              <w:bottom w:type="dxa" w:w="50"/>
              <w:right w:type="dxa" w:w="80"/>
            </w:tcMar>
          </w:tcPr>
          <w:p>
            <w:r>
              <w:rPr>
                <w:rFonts w:ascii="Arial" w:cs="Arial" w:eastAsia="Arial" w:hAnsi="Arial"/>
                <w:sz w:val="13"/>
                <w:szCs w:val="13"/>
              </w:rPr>
              <w:t xml:space="preserve">% critical vendors assessed with current notification clauses</w:t>
            </w:r>
          </w:p>
        </w:tc>
        <w:tc>
          <w:tcPr>
            <w:tcW w:type="dxa" w:w="655"/>
            <w:tcMar>
              <w:top w:type="dxa" w:w="50"/>
              <w:left w:type="dxa" w:w="80"/>
              <w:bottom w:type="dxa" w:w="50"/>
              <w:right w:type="dxa" w:w="80"/>
            </w:tcMar>
          </w:tcPr>
          <w:p>
            <w:r>
              <w:rPr>
                <w:rFonts w:ascii="Arial" w:cs="Arial" w:eastAsia="Arial" w:hAnsi="Arial"/>
                <w:sz w:val="13"/>
                <w:szCs w:val="13"/>
              </w:rPr>
              <w:t xml:space="preserve">S9</w:t>
            </w:r>
          </w:p>
        </w:tc>
        <w:tc>
          <w:tcPr>
            <w:tcW w:type="dxa" w:w="1310"/>
            <w:tcMar>
              <w:top w:type="dxa" w:w="50"/>
              <w:left w:type="dxa" w:w="80"/>
              <w:bottom w:type="dxa" w:w="50"/>
              <w:right w:type="dxa" w:w="80"/>
            </w:tcMar>
          </w:tcPr>
          <w:p>
            <w:r>
              <w:rPr>
                <w:rFonts w:ascii="Arial" w:cs="Arial" w:eastAsia="Arial" w:hAnsi="Arial"/>
                <w:sz w:val="13"/>
                <w:szCs w:val="13"/>
              </w:rPr>
              <w:t xml:space="preserve">Assessed / critical vendors</w:t>
            </w:r>
          </w:p>
        </w:tc>
        <w:tc>
          <w:tcPr>
            <w:tcW w:type="dxa" w:w="1029"/>
            <w:tcMar>
              <w:top w:type="dxa" w:w="50"/>
              <w:left w:type="dxa" w:w="80"/>
              <w:bottom w:type="dxa" w:w="50"/>
              <w:right w:type="dxa" w:w="80"/>
            </w:tcMar>
          </w:tcPr>
          <w:p>
            <w:r>
              <w:rPr>
                <w:rFonts w:ascii="Arial" w:cs="Arial" w:eastAsia="Arial" w:hAnsi="Arial"/>
                <w:sz w:val="13"/>
                <w:szCs w:val="13"/>
              </w:rPr>
              <w:t xml:space="preserve">TPRM register</w:t>
            </w:r>
          </w:p>
        </w:tc>
        <w:tc>
          <w:tcPr>
            <w:tcW w:type="dxa" w:w="936"/>
            <w:tcMar>
              <w:top w:type="dxa" w:w="50"/>
              <w:left w:type="dxa" w:w="80"/>
              <w:bottom w:type="dxa" w:w="50"/>
              <w:right w:type="dxa" w:w="80"/>
            </w:tcMar>
          </w:tcPr>
          <w:p>
            <w:r>
              <w:rPr>
                <w:rFonts w:ascii="Arial" w:cs="Arial" w:eastAsia="Arial" w:hAnsi="Arial"/>
                <w:sz w:val="13"/>
                <w:szCs w:val="13"/>
              </w:rPr>
              <w:t xml:space="preserve">Procurement</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Clinics with tested downtime procedures (last 12 months)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tested / 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Tabletop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Semi-annual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w:t>
            </w:r>
          </w:p>
        </w:tc>
      </w:tr>
    </w:tbl>
    <w:p>
      <w:pPr>
        <w:spacing w:after="80"/>
      </w:pPr>
    </w:p>
    <w:p>
      <w:pPr>
        <w:spacing w:after="120"/>
      </w:pPr>
      <w:r>
        <w:rPr>
          <w:rFonts w:ascii="Arial" w:cs="Arial" w:eastAsia="Arial" w:hAnsi="Arial"/>
        </w:rPr>
        <w:t xml:space="preserve">Report quarterly to the Steering Committee; any KRI at critical threshold escalates to executive leadership within one week.</w:t>
      </w:r>
    </w:p>
    <w:p>
      <w:pPr>
        <w:pStyle w:val="Heading1"/>
        <w:pageBreakBefore/>
      </w:pPr>
      <w:r>
        <w:rPr>
          <w:rFonts w:ascii="Arial" w:cs="Arial" w:eastAsia="Arial" w:hAnsi="Arial"/>
        </w:rPr>
        <w:t xml:space="preserve">13. Cross-check with the case escalation method</w:t>
      </w:r>
    </w:p>
    <w:p>
      <w:pPr>
        <w:spacing w:after="120"/>
      </w:pPr>
      <w:r>
        <w:rPr>
          <w:rFonts w:ascii="Arial" w:cs="Arial" w:eastAsia="Arial" w:hAnsi="Arial"/>
        </w:rPr>
        <w:t xml:space="preserve">The case (s.8) defines a simpler normalized score (T x E x I, adjusted for control maturity) with escalation thresholds: executive review above 0.25, Board acceptance above 0.40. Mapping T = Pb(A), E = Pb(psi,A), I = (de + dm)/2 and control maturity C = theta (an analyst mapping - validate)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97"/>
        <w:gridCol w:w="1310"/>
        <w:gridCol w:w="1684"/>
        <w:gridCol w:w="1310"/>
        <w:gridCol w:w="2811"/>
      </w:tblGrid>
      <w:tr>
        <w:trPr>
          <w:tblHeader/>
        </w:trPr>
        <w:tc>
          <w:tcPr>
            <w:tcW w:type="dxa" w:w="74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Current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Level</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Post-treatment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Level</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CRG status (appetite 0.30)</w:t>
            </w:r>
          </w:p>
        </w:tc>
      </w:tr>
      <w:tr>
        <w:tc>
          <w:tcPr>
            <w:tcW w:type="dxa" w:w="748"/>
            <w:tcMar>
              <w:top w:type="dxa" w:w="50"/>
              <w:left w:type="dxa" w:w="80"/>
              <w:bottom w:type="dxa" w:w="50"/>
              <w:right w:type="dxa" w:w="80"/>
            </w:tcMar>
          </w:tcPr>
          <w:p>
            <w:r>
              <w:rPr>
                <w:rFonts w:ascii="Arial" w:cs="Arial" w:eastAsia="Arial" w:hAnsi="Arial"/>
                <w:sz w:val="15"/>
                <w:szCs w:val="15"/>
              </w:rPr>
              <w:t xml:space="preserve">S1</w:t>
            </w:r>
          </w:p>
        </w:tc>
        <w:tc>
          <w:tcPr>
            <w:tcW w:type="dxa" w:w="1497"/>
            <w:tcMar>
              <w:top w:type="dxa" w:w="50"/>
              <w:left w:type="dxa" w:w="80"/>
              <w:bottom w:type="dxa" w:w="50"/>
              <w:right w:type="dxa" w:w="80"/>
            </w:tcMar>
          </w:tcPr>
          <w:p>
            <w:r>
              <w:rPr>
                <w:rFonts w:ascii="Arial" w:cs="Arial" w:eastAsia="Arial" w:hAnsi="Arial"/>
                <w:sz w:val="15"/>
                <w:szCs w:val="15"/>
              </w:rPr>
              <w:t xml:space="preserve">0.196</w:t>
            </w:r>
          </w:p>
        </w:tc>
        <w:tc>
          <w:tcPr>
            <w:tcW w:type="dxa" w:w="1310"/>
            <w:tcMar>
              <w:top w:type="dxa" w:w="50"/>
              <w:left w:type="dxa" w:w="80"/>
              <w:bottom w:type="dxa" w:w="50"/>
              <w:right w:type="dxa" w:w="80"/>
            </w:tcMar>
          </w:tcPr>
          <w:p>
            <w:r>
              <w:rPr>
                <w:rFonts w:ascii="Arial" w:cs="Arial" w:eastAsia="Arial" w:hAnsi="Arial"/>
                <w:sz w:val="15"/>
                <w:szCs w:val="15"/>
              </w:rPr>
              <w:t xml:space="preserve">High</w:t>
            </w:r>
          </w:p>
        </w:tc>
        <w:tc>
          <w:tcPr>
            <w:tcW w:type="dxa" w:w="1684"/>
            <w:tcMar>
              <w:top w:type="dxa" w:w="50"/>
              <w:left w:type="dxa" w:w="80"/>
              <w:bottom w:type="dxa" w:w="50"/>
              <w:right w:type="dxa" w:w="80"/>
            </w:tcMar>
          </w:tcPr>
          <w:p>
            <w:r>
              <w:rPr>
                <w:rFonts w:ascii="Arial" w:cs="Arial" w:eastAsia="Arial" w:hAnsi="Arial"/>
                <w:sz w:val="15"/>
                <w:szCs w:val="15"/>
              </w:rPr>
              <w:t xml:space="preserve">0.079</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2811"/>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S2</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0.201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0.088</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tcMar>
              <w:top w:type="dxa" w:w="50"/>
              <w:left w:type="dxa" w:w="80"/>
              <w:bottom w:type="dxa" w:w="50"/>
              <w:right w:type="dxa" w:w="80"/>
            </w:tcMar>
          </w:tcPr>
          <w:p>
            <w:r>
              <w:rPr>
                <w:rFonts w:ascii="Arial" w:cs="Arial" w:eastAsia="Arial" w:hAnsi="Arial"/>
                <w:sz w:val="15"/>
                <w:szCs w:val="15"/>
              </w:rPr>
              <w:t xml:space="preserve">S3</w:t>
            </w:r>
          </w:p>
        </w:tc>
        <w:tc>
          <w:tcPr>
            <w:tcW w:type="dxa" w:w="1497"/>
            <w:tcMar>
              <w:top w:type="dxa" w:w="50"/>
              <w:left w:type="dxa" w:w="80"/>
              <w:bottom w:type="dxa" w:w="50"/>
              <w:right w:type="dxa" w:w="80"/>
            </w:tcMar>
          </w:tcPr>
          <w:p>
            <w:r>
              <w:rPr>
                <w:rFonts w:ascii="Arial" w:cs="Arial" w:eastAsia="Arial" w:hAnsi="Arial"/>
                <w:sz w:val="15"/>
                <w:szCs w:val="15"/>
              </w:rPr>
              <w:t xml:space="preserve">0.134</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0.043</w:t>
            </w:r>
          </w:p>
        </w:tc>
        <w:tc>
          <w:tcPr>
            <w:tcW w:type="dxa" w:w="1310"/>
            <w:tcMar>
              <w:top w:type="dxa" w:w="50"/>
              <w:left w:type="dxa" w:w="80"/>
              <w:bottom w:type="dxa" w:w="50"/>
              <w:right w:type="dxa" w:w="80"/>
            </w:tcMar>
          </w:tcPr>
          <w:p>
            <w:r>
              <w:rPr>
                <w:rFonts w:ascii="Arial" w:cs="Arial" w:eastAsia="Arial" w:hAnsi="Arial"/>
                <w:sz w:val="15"/>
                <w:szCs w:val="15"/>
              </w:rPr>
              <w:t xml:space="preserve">Low</w:t>
            </w:r>
          </w:p>
        </w:tc>
        <w:tc>
          <w:tcPr>
            <w:tcW w:type="dxa" w:w="2811"/>
            <w:tcMar>
              <w:top w:type="dxa" w:w="50"/>
              <w:left w:type="dxa" w:w="80"/>
              <w:bottom w:type="dxa" w:w="50"/>
              <w:right w:type="dxa" w:w="80"/>
            </w:tcMar>
          </w:tcPr>
          <w:p>
            <w:r>
              <w:rPr>
                <w:rFonts w:ascii="Arial" w:cs="Arial" w:eastAsia="Arial" w:hAnsi="Arial"/>
                <w:sz w:val="15"/>
                <w:szCs w:val="15"/>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0.109</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0.044</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5"/>
                <w:szCs w:val="15"/>
              </w:rPr>
              <w:t xml:space="preserve">S5</w:t>
            </w:r>
          </w:p>
        </w:tc>
        <w:tc>
          <w:tcPr>
            <w:tcW w:type="dxa" w:w="1497"/>
            <w:tcMar>
              <w:top w:type="dxa" w:w="50"/>
              <w:left w:type="dxa" w:w="80"/>
              <w:bottom w:type="dxa" w:w="50"/>
              <w:right w:type="dxa" w:w="80"/>
            </w:tcMar>
          </w:tcPr>
          <w:p>
            <w:r>
              <w:rPr>
                <w:rFonts w:ascii="Arial" w:cs="Arial" w:eastAsia="Arial" w:hAnsi="Arial"/>
                <w:sz w:val="15"/>
                <w:szCs w:val="15"/>
              </w:rPr>
              <w:t xml:space="preserve">0.119</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0.072</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2811"/>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0.180</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0.073</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5"/>
                <w:szCs w:val="15"/>
              </w:rPr>
              <w:t xml:space="preserve">S7</w:t>
            </w:r>
          </w:p>
        </w:tc>
        <w:tc>
          <w:tcPr>
            <w:tcW w:type="dxa" w:w="1497"/>
            <w:tcMar>
              <w:top w:type="dxa" w:w="50"/>
              <w:left w:type="dxa" w:w="80"/>
              <w:bottom w:type="dxa" w:w="50"/>
              <w:right w:type="dxa" w:w="80"/>
            </w:tcMar>
          </w:tcPr>
          <w:p>
            <w:r>
              <w:rPr>
                <w:rFonts w:ascii="Arial" w:cs="Arial" w:eastAsia="Arial" w:hAnsi="Arial"/>
                <w:sz w:val="15"/>
                <w:szCs w:val="15"/>
              </w:rPr>
              <w:t xml:space="preserve">0.110</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0.064</w:t>
            </w:r>
          </w:p>
        </w:tc>
        <w:tc>
          <w:tcPr>
            <w:tcW w:type="dxa" w:w="1310"/>
            <w:tcMar>
              <w:top w:type="dxa" w:w="50"/>
              <w:left w:type="dxa" w:w="80"/>
              <w:bottom w:type="dxa" w:w="50"/>
              <w:right w:type="dxa" w:w="80"/>
            </w:tcMar>
          </w:tcPr>
          <w:p>
            <w:r>
              <w:rPr>
                <w:rFonts w:ascii="Arial" w:cs="Arial" w:eastAsia="Arial" w:hAnsi="Arial"/>
                <w:sz w:val="15"/>
                <w:szCs w:val="15"/>
              </w:rPr>
              <w:t xml:space="preserve">Low</w:t>
            </w:r>
          </w:p>
        </w:tc>
        <w:tc>
          <w:tcPr>
            <w:tcW w:type="dxa" w:w="2811"/>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0.252</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Critical</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0.111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5"/>
                <w:szCs w:val="15"/>
              </w:rPr>
              <w:t xml:space="preserve">S9</w:t>
            </w:r>
          </w:p>
        </w:tc>
        <w:tc>
          <w:tcPr>
            <w:tcW w:type="dxa" w:w="1497"/>
            <w:tcMar>
              <w:top w:type="dxa" w:w="50"/>
              <w:left w:type="dxa" w:w="80"/>
              <w:bottom w:type="dxa" w:w="50"/>
              <w:right w:type="dxa" w:w="80"/>
            </w:tcMar>
          </w:tcPr>
          <w:p>
            <w:r>
              <w:rPr>
                <w:rFonts w:ascii="Arial" w:cs="Arial" w:eastAsia="Arial" w:hAnsi="Arial"/>
                <w:sz w:val="15"/>
                <w:szCs w:val="15"/>
              </w:rPr>
              <w:t xml:space="preserve">0.121</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0.074</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2811"/>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S10</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0.054</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0.026</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Above tolerance</w:t>
            </w:r>
          </w:p>
        </w:tc>
      </w:tr>
    </w:tbl>
    <w:p>
      <w:pPr>
        <w:spacing w:after="80"/>
      </w:pPr>
    </w:p>
    <w:p>
      <w:pPr>
        <w:spacing w:after="120"/>
      </w:pPr>
      <w:r>
        <w:rPr>
          <w:rFonts w:ascii="Arial" w:cs="Arial" w:eastAsia="Arial" w:hAnsi="Arial"/>
          <w:b/>
          <w:bCs/>
        </w:rPr>
        <w:t xml:space="preserve">Reading.</w:t>
      </w:r>
      <w:r>
        <w:rPr>
          <w:rFonts w:ascii="Arial" w:cs="Arial" w:eastAsia="Arial" w:hAnsi="Arial"/>
        </w:rPr>
        <w:t xml:space="preserve"> Under the case method, S8 is Critical today and S1, S2, S6 are High; after treatment all fall to Moderate or Low and within CIO acceptance authority. The CyberRiskGuardian ratio is more demanding because it compares damage directly with appetite. The two lenses should be reconciled before they are used for governance. In any case, the patient-safety clause of the appetite statement means S7 and S10 require clinical-leadership acceptance whatever their score.</w:t>
      </w:r>
    </w:p>
    <w:p>
      <w:pPr>
        <w:pStyle w:val="Heading1"/>
        <w:pageBreakBefore/>
      </w:pPr>
      <w:r>
        <w:rPr>
          <w:rFonts w:ascii="Arial" w:cs="Arial" w:eastAsia="Arial" w:hAnsi="Arial"/>
        </w:rPr>
        <w:t xml:space="preserve">14. Assumptions, limitations and methodological notes</w:t>
      </w:r>
    </w:p>
    <w:p>
      <w:pPr>
        <w:pStyle w:val="Heading2"/>
      </w:pPr>
      <w:r>
        <w:rPr>
          <w:rFonts w:ascii="Arial" w:cs="Arial" w:eastAsia="Arial" w:hAnsi="Arial"/>
        </w:rPr>
        <w:t xml:space="preserve">14.1 Key assumptions</w:t>
      </w:r>
    </w:p>
    <w:p>
      <w:pPr>
        <w:pStyle w:val="ListParagraph"/>
        <w:numPr>
          <w:ilvl w:val="0"/>
          <w:numId w:val="2"/>
        </w:numPr>
        <w:spacing w:after="60"/>
      </w:pPr>
      <w:r>
        <w:rPr>
          <w:rFonts w:ascii="Arial" w:cs="Arial" w:eastAsia="Arial" w:hAnsi="Arial"/>
        </w:rPr>
        <w:t xml:space="preserve">Exercise evidence (phishing lure, closed PowerShell alert, MFA push approval, cloud download, service-account queries, backup failures) is treated as indicative of control weaknesses, not as a confirmed incident.</w:t>
      </w:r>
    </w:p>
    <w:p>
      <w:pPr>
        <w:pStyle w:val="ListParagraph"/>
        <w:numPr>
          <w:ilvl w:val="0"/>
          <w:numId w:val="2"/>
        </w:numPr>
        <w:spacing w:after="60"/>
      </w:pPr>
      <w:r>
        <w:rPr>
          <w:rFonts w:ascii="Arial" w:cs="Arial" w:eastAsia="Arial" w:hAnsi="Arial"/>
        </w:rPr>
        <w:t xml:space="preserve">Controls not mentioned in the case (SIEM, PAM, segmentation, immutable backup, DLP, vendor programme, DDoS protection) are assumed absent or immature.</w:t>
      </w:r>
    </w:p>
    <w:p>
      <w:pPr>
        <w:pStyle w:val="ListParagraph"/>
        <w:numPr>
          <w:ilvl w:val="0"/>
          <w:numId w:val="2"/>
        </w:numPr>
        <w:spacing w:after="60"/>
      </w:pPr>
      <w:r>
        <w:rPr>
          <w:rFonts w:ascii="Arial" w:cs="Arial" w:eastAsia="Arial" w:hAnsi="Arial"/>
        </w:rPr>
        <w:t xml:space="preserve">Push-based MFA is assumed to protect remote access; coverage of EHR, cloud and privileged accounts is unknown.</w:t>
      </w:r>
    </w:p>
    <w:p>
      <w:pPr>
        <w:pStyle w:val="ListParagraph"/>
        <w:numPr>
          <w:ilvl w:val="0"/>
          <w:numId w:val="2"/>
        </w:numPr>
        <w:spacing w:after="60"/>
      </w:pPr>
      <w:r>
        <w:rPr>
          <w:rFonts w:ascii="Arial" w:cs="Arial" w:eastAsia="Arial" w:hAnsi="Arial"/>
        </w:rPr>
        <w:t xml:space="preserve">Costs are Canadian mid-market indicative estimates for an organization of this size; no quotations were obtained.</w:t>
      </w:r>
    </w:p>
    <w:p>
      <w:pPr>
        <w:pStyle w:val="ListParagraph"/>
        <w:numPr>
          <w:ilvl w:val="0"/>
          <w:numId w:val="2"/>
        </w:numPr>
        <w:spacing w:after="60"/>
      </w:pPr>
      <w:r>
        <w:rPr>
          <w:rFonts w:ascii="Arial" w:cs="Arial" w:eastAsia="Arial" w:hAnsi="Arial"/>
        </w:rPr>
        <w:t xml:space="preserve">Treatment effectiveness assumes full, well-configured implementation and adequate operating staff.</w:t>
      </w:r>
    </w:p>
    <w:p>
      <w:pPr>
        <w:pStyle w:val="ListParagraph"/>
        <w:numPr>
          <w:ilvl w:val="0"/>
          <w:numId w:val="2"/>
        </w:numPr>
        <w:spacing w:after="60"/>
      </w:pPr>
      <w:r>
        <w:rPr>
          <w:rFonts w:ascii="Arial" w:cs="Arial" w:eastAsia="Arial" w:hAnsi="Arial"/>
        </w:rPr>
        <w:t xml:space="preserve">Equal split of shared-initiative costs across scenarios is a convention for cost-effectiveness only; it does not change portfolio totals.</w:t>
      </w:r>
    </w:p>
    <w:p>
      <w:pPr>
        <w:pStyle w:val="Heading2"/>
      </w:pPr>
      <w:r>
        <w:rPr>
          <w:rFonts w:ascii="Arial" w:cs="Arial" w:eastAsia="Arial" w:hAnsi="Arial"/>
        </w:rPr>
        <w:t xml:space="preserve">14.2 Information gaps - organizational input required</w:t>
      </w:r>
    </w:p>
    <w:p>
      <w:pPr>
        <w:pStyle w:val="ListParagraph"/>
        <w:numPr>
          <w:ilvl w:val="0"/>
          <w:numId w:val="2"/>
        </w:numPr>
        <w:spacing w:after="60"/>
      </w:pPr>
      <w:r>
        <w:rPr>
          <w:rFonts w:ascii="Arial" w:cs="Arial" w:eastAsia="Arial" w:hAnsi="Arial"/>
        </w:rPr>
        <w:t xml:space="preserve">Asset and medical-device inventories; network diagrams and segmentation; internet-facing services.</w:t>
      </w:r>
    </w:p>
    <w:p>
      <w:pPr>
        <w:pStyle w:val="ListParagraph"/>
        <w:numPr>
          <w:ilvl w:val="0"/>
          <w:numId w:val="2"/>
        </w:numPr>
        <w:spacing w:after="60"/>
      </w:pPr>
      <w:r>
        <w:rPr>
          <w:rFonts w:ascii="Arial" w:cs="Arial" w:eastAsia="Arial" w:hAnsi="Arial"/>
        </w:rPr>
        <w:t xml:space="preserve">Identity architecture: MFA coverage and method, privileged and service accounts, conditional access.</w:t>
      </w:r>
    </w:p>
    <w:p>
      <w:pPr>
        <w:pStyle w:val="ListParagraph"/>
        <w:numPr>
          <w:ilvl w:val="0"/>
          <w:numId w:val="2"/>
        </w:numPr>
        <w:spacing w:after="60"/>
      </w:pPr>
      <w:r>
        <w:rPr>
          <w:rFonts w:ascii="Arial" w:cs="Arial" w:eastAsia="Arial" w:hAnsi="Arial"/>
        </w:rPr>
        <w:t xml:space="preserve">Backup architecture, retention, immutability, RTO/RPO and restore-test results.</w:t>
      </w:r>
    </w:p>
    <w:p>
      <w:pPr>
        <w:pStyle w:val="ListParagraph"/>
        <w:numPr>
          <w:ilvl w:val="0"/>
          <w:numId w:val="2"/>
        </w:numPr>
        <w:spacing w:after="60"/>
      </w:pPr>
      <w:r>
        <w:rPr>
          <w:rFonts w:ascii="Arial" w:cs="Arial" w:eastAsia="Arial" w:hAnsi="Arial"/>
        </w:rPr>
        <w:t xml:space="preserve">Cloud tenant configuration, sharing practices and logging.</w:t>
      </w:r>
    </w:p>
    <w:p>
      <w:pPr>
        <w:pStyle w:val="ListParagraph"/>
        <w:numPr>
          <w:ilvl w:val="0"/>
          <w:numId w:val="2"/>
        </w:numPr>
        <w:spacing w:after="60"/>
      </w:pPr>
      <w:r>
        <w:rPr>
          <w:rFonts w:ascii="Arial" w:cs="Arial" w:eastAsia="Arial" w:hAnsi="Arial"/>
        </w:rPr>
        <w:t xml:space="preserve">Vulnerability scan results, patch SLAs and end-of-life systems.</w:t>
      </w:r>
    </w:p>
    <w:p>
      <w:pPr>
        <w:pStyle w:val="ListParagraph"/>
        <w:numPr>
          <w:ilvl w:val="0"/>
          <w:numId w:val="2"/>
        </w:numPr>
        <w:spacing w:after="60"/>
      </w:pPr>
      <w:r>
        <w:rPr>
          <w:rFonts w:ascii="Arial" w:cs="Arial" w:eastAsia="Arial" w:hAnsi="Arial"/>
        </w:rPr>
        <w:t xml:space="preserve">Critical vendor list, contracts, remote-access methods and assurance reports.</w:t>
      </w:r>
    </w:p>
    <w:p>
      <w:pPr>
        <w:pStyle w:val="ListParagraph"/>
        <w:numPr>
          <w:ilvl w:val="0"/>
          <w:numId w:val="2"/>
        </w:numPr>
        <w:spacing w:after="60"/>
      </w:pPr>
      <w:r>
        <w:rPr>
          <w:rFonts w:ascii="Arial" w:cs="Arial" w:eastAsia="Arial" w:hAnsi="Arial"/>
        </w:rPr>
        <w:t xml:space="preserve">Incident history since 2020 and how attempts were detected; log retention.</w:t>
      </w:r>
    </w:p>
    <w:p>
      <w:pPr>
        <w:pStyle w:val="ListParagraph"/>
        <w:numPr>
          <w:ilvl w:val="0"/>
          <w:numId w:val="2"/>
        </w:numPr>
        <w:spacing w:after="60"/>
      </w:pPr>
      <w:r>
        <w:rPr>
          <w:rFonts w:ascii="Arial" w:cs="Arial" w:eastAsia="Arial" w:hAnsi="Arial"/>
        </w:rPr>
        <w:t xml:space="preserve">Cybersecurity budget (the stated CAD 100M IT budget appears inconsistent with a 15-person IT team) and cyber-insurance coverage.</w:t>
      </w:r>
    </w:p>
    <w:p>
      <w:pPr>
        <w:pStyle w:val="ListParagraph"/>
        <w:numPr>
          <w:ilvl w:val="0"/>
          <w:numId w:val="2"/>
        </w:numPr>
        <w:spacing w:after="60"/>
      </w:pPr>
      <w:r>
        <w:rPr>
          <w:rFonts w:ascii="Arial" w:cs="Arial" w:eastAsia="Arial" w:hAnsi="Arial"/>
        </w:rPr>
        <w:t xml:space="preserve">Applicable privacy regime and notification obligations (legal counsel).</w:t>
      </w:r>
    </w:p>
    <w:p>
      <w:pPr>
        <w:pStyle w:val="Heading2"/>
      </w:pPr>
      <w:r>
        <w:rPr>
          <w:rFonts w:ascii="Arial" w:cs="Arial" w:eastAsia="Arial" w:hAnsi="Arial"/>
        </w:rPr>
        <w:t xml:space="preserve">14.3 Methodological observations</w:t>
      </w:r>
    </w:p>
    <w:p>
      <w:pPr>
        <w:pStyle w:val="ListParagraph"/>
        <w:numPr>
          <w:ilvl w:val="0"/>
          <w:numId w:val="2"/>
        </w:numPr>
        <w:spacing w:after="60"/>
      </w:pPr>
      <w:r>
        <w:rPr>
          <w:rFonts w:ascii="Arial" w:cs="Arial" w:eastAsia="Arial" w:hAnsi="Arial"/>
          <w:b/>
          <w:bCs/>
        </w:rPr>
        <w:t xml:space="preserve">The tolerance test depends only on damage, treatment and appetite.</w:t>
      </w:r>
      <w:r>
        <w:rPr>
          <w:rFonts w:ascii="Arial" w:cs="Arial" w:eastAsia="Arial" w:hAnsi="Arial"/>
        </w:rPr>
        <w:t xml:space="preserve"> Residual / Tolerated simplifies to ((de + dm)/2) x (1 - P x Q) / Appetite: probabilities, CVSS, resilience and criticality cancel out. They drive the magnitude used for ranking, but a rare scenario and a frequent one with the same damage and treatment receive the same tolerance verdict. Read the ratio together with estimated risk.</w:t>
      </w:r>
    </w:p>
    <w:p>
      <w:pPr>
        <w:pStyle w:val="ListParagraph"/>
        <w:numPr>
          <w:ilvl w:val="0"/>
          <w:numId w:val="2"/>
        </w:numPr>
        <w:spacing w:after="60"/>
      </w:pPr>
      <w:r>
        <w:rPr>
          <w:rFonts w:ascii="Arial" w:cs="Arial" w:eastAsia="Arial" w:hAnsi="Arial"/>
          <w:b/>
          <w:bCs/>
        </w:rPr>
        <w:t xml:space="preserve">CVSS is a required multiplier even where it does not fit.</w:t>
      </w:r>
      <w:r>
        <w:rPr>
          <w:rFonts w:ascii="Arial" w:cs="Arial" w:eastAsia="Arial" w:hAnsi="Arial"/>
        </w:rPr>
        <w:t xml:space="preserve"> For S5, S8 and S9 a representative weakness was scored so the workbook produces a value; these scores are flagged as limited applicability and must not be read as the severity of insider, detection or supplier risk.</w:t>
      </w:r>
    </w:p>
    <w:p>
      <w:pPr>
        <w:pStyle w:val="ListParagraph"/>
        <w:numPr>
          <w:ilvl w:val="0"/>
          <w:numId w:val="2"/>
        </w:numPr>
        <w:spacing w:after="60"/>
      </w:pPr>
      <w:r>
        <w:rPr>
          <w:rFonts w:ascii="Arial" w:cs="Arial" w:eastAsia="Arial" w:hAnsi="Arial"/>
          <w:b/>
          <w:bCs/>
        </w:rPr>
        <w:t xml:space="preserve">Mitigation is multiplicative.</w:t>
      </w:r>
      <w:r>
        <w:rPr>
          <w:rFonts w:ascii="Arial" w:cs="Arial" w:eastAsia="Arial" w:hAnsi="Arial"/>
        </w:rPr>
        <w:t xml:space="preserve"> Mitigated = Estimated x P x Q, so 80% probability and 80% impact reduction remove 64% of risk - a conservative convention that makes 'below tolerance' hard to reach for high-damage scenarios.</w:t>
      </w:r>
    </w:p>
    <w:p>
      <w:pPr>
        <w:pStyle w:val="ListParagraph"/>
        <w:numPr>
          <w:ilvl w:val="0"/>
          <w:numId w:val="2"/>
        </w:numPr>
        <w:spacing w:after="60"/>
      </w:pPr>
      <w:r>
        <w:rPr>
          <w:rFonts w:ascii="Arial" w:cs="Arial" w:eastAsia="Arial" w:hAnsi="Arial"/>
          <w:b/>
          <w:bCs/>
        </w:rPr>
        <w:t xml:space="preserve">Two scoring lenses disagree</w:t>
      </w:r>
      <w:r>
        <w:rPr>
          <w:rFonts w:ascii="Arial" w:cs="Arial" w:eastAsia="Arial" w:hAnsi="Arial"/>
        </w:rPr>
        <w:t xml:space="preserve"> (Section 13). Governance thresholds should be tied to one method.</w:t>
      </w:r>
    </w:p>
    <w:p>
      <w:pPr>
        <w:pStyle w:val="ListParagraph"/>
        <w:numPr>
          <w:ilvl w:val="0"/>
          <w:numId w:val="2"/>
        </w:numPr>
        <w:spacing w:after="60"/>
      </w:pPr>
      <w:r>
        <w:rPr>
          <w:rFonts w:ascii="Arial" w:cs="Arial" w:eastAsia="Arial" w:hAnsi="Arial"/>
          <w:b/>
          <w:bCs/>
        </w:rPr>
        <w:t xml:space="preserve">Limitations.</w:t>
      </w:r>
      <w:r>
        <w:rPr>
          <w:rFonts w:ascii="Arial" w:cs="Arial" w:eastAsia="Arial" w:hAnsi="Arial"/>
        </w:rPr>
        <w:t xml:space="preserve"> Desk-based assessment of a fictional case; no interviews, testing or technical data; AI-assisted estimates. Results are initial analytical hypotheses to be validated with IT, cybersecurity, privacy, clinical leadership and vendors.</w:t>
      </w:r>
    </w:p>
    <w:p>
      <w:pPr>
        <w:pStyle w:val="Heading1"/>
        <w:pageBreakBefore/>
      </w:pPr>
      <w:r>
        <w:rPr>
          <w:rFonts w:ascii="Arial" w:cs="Arial" w:eastAsia="Arial" w:hAnsi="Arial"/>
        </w:rPr>
        <w:t xml:space="preserve">15. Management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872"/>
        <w:gridCol w:w="1872"/>
        <w:gridCol w:w="3369"/>
        <w:gridCol w:w="1873"/>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Decision</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Options</w:t>
            </w:r>
          </w:p>
        </w:tc>
        <w:tc>
          <w:tcPr>
            <w:tcW w:type="dxa" w:w="336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Recommended</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Authority</w:t>
            </w:r>
          </w:p>
        </w:tc>
      </w:tr>
      <w:tr>
        <w:tc>
          <w:tcPr>
            <w:tcW w:type="dxa" w:w="374"/>
            <w:tcMar>
              <w:top w:type="dxa" w:w="50"/>
              <w:left w:type="dxa" w:w="80"/>
              <w:bottom w:type="dxa" w:w="50"/>
              <w:right w:type="dxa" w:w="80"/>
            </w:tcMar>
          </w:tcPr>
          <w:p>
            <w:r>
              <w:rPr>
                <w:rFonts w:ascii="Arial" w:cs="Arial" w:eastAsia="Arial" w:hAnsi="Arial"/>
                <w:sz w:val="15"/>
                <w:szCs w:val="15"/>
              </w:rPr>
              <w:t xml:space="preserve">D1</w:t>
            </w:r>
          </w:p>
        </w:tc>
        <w:tc>
          <w:tcPr>
            <w:tcW w:type="dxa" w:w="1872"/>
            <w:tcMar>
              <w:top w:type="dxa" w:w="50"/>
              <w:left w:type="dxa" w:w="80"/>
              <w:bottom w:type="dxa" w:w="50"/>
              <w:right w:type="dxa" w:w="80"/>
            </w:tcMar>
          </w:tcPr>
          <w:p>
            <w:r>
              <w:rPr>
                <w:rFonts w:ascii="Arial" w:cs="Arial" w:eastAsia="Arial" w:hAnsi="Arial"/>
                <w:sz w:val="15"/>
                <w:szCs w:val="15"/>
              </w:rPr>
              <w:t xml:space="preserve">Confirm cybersecurity risk appetite</w:t>
            </w:r>
          </w:p>
        </w:tc>
        <w:tc>
          <w:tcPr>
            <w:tcW w:type="dxa" w:w="1872"/>
            <w:tcMar>
              <w:top w:type="dxa" w:w="50"/>
              <w:left w:type="dxa" w:w="80"/>
              <w:bottom w:type="dxa" w:w="50"/>
              <w:right w:type="dxa" w:w="80"/>
            </w:tcMar>
          </w:tcPr>
          <w:p>
            <w:r>
              <w:rPr>
                <w:rFonts w:ascii="Arial" w:cs="Arial" w:eastAsia="Arial" w:hAnsi="Arial"/>
                <w:sz w:val="15"/>
                <w:szCs w:val="15"/>
              </w:rPr>
              <w:t xml:space="preserve">0.30 (analyst) / 0.40 (case) / other</w:t>
            </w:r>
          </w:p>
        </w:tc>
        <w:tc>
          <w:tcPr>
            <w:tcW w:type="dxa" w:w="3369"/>
            <w:tcMar>
              <w:top w:type="dxa" w:w="50"/>
              <w:left w:type="dxa" w:w="80"/>
              <w:bottom w:type="dxa" w:w="50"/>
              <w:right w:type="dxa" w:w="80"/>
            </w:tcMar>
          </w:tcPr>
          <w:p>
            <w:r>
              <w:rPr>
                <w:rFonts w:ascii="Arial" w:cs="Arial" w:eastAsia="Arial" w:hAnsi="Arial"/>
                <w:sz w:val="15"/>
                <w:szCs w:val="15"/>
              </w:rPr>
              <w:t xml:space="preserve">Adopt 0.30 for patient-safety and health-data risks; document separately any higher appetite for innovation</w:t>
            </w:r>
          </w:p>
        </w:tc>
        <w:tc>
          <w:tcPr>
            <w:tcW w:type="dxa" w:w="1873"/>
            <w:tcMar>
              <w:top w:type="dxa" w:w="50"/>
              <w:left w:type="dxa" w:w="80"/>
              <w:bottom w:type="dxa" w:w="50"/>
              <w:right w:type="dxa" w:w="80"/>
            </w:tcMar>
          </w:tcPr>
          <w:p>
            <w:r>
              <w:rPr>
                <w:rFonts w:ascii="Arial" w:cs="Arial" w:eastAsia="Arial" w:hAnsi="Arial"/>
                <w:sz w:val="15"/>
                <w:szCs w:val="15"/>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D2</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Approve treatment portfolio</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Full ($3,866,000 Y1) / phased / partial</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Approve 0-90-day actions immediately; release remaining funding by phase against KRIs</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Executive leadership, Board</w:t>
            </w:r>
          </w:p>
        </w:tc>
      </w:tr>
      <w:tr>
        <w:tc>
          <w:tcPr>
            <w:tcW w:type="dxa" w:w="374"/>
            <w:tcMar>
              <w:top w:type="dxa" w:w="50"/>
              <w:left w:type="dxa" w:w="80"/>
              <w:bottom w:type="dxa" w:w="50"/>
              <w:right w:type="dxa" w:w="80"/>
            </w:tcMar>
          </w:tcPr>
          <w:p>
            <w:r>
              <w:rPr>
                <w:rFonts w:ascii="Arial" w:cs="Arial" w:eastAsia="Arial" w:hAnsi="Arial"/>
                <w:sz w:val="15"/>
                <w:szCs w:val="15"/>
              </w:rPr>
              <w:t xml:space="preserve">D3</w:t>
            </w:r>
          </w:p>
        </w:tc>
        <w:tc>
          <w:tcPr>
            <w:tcW w:type="dxa" w:w="1872"/>
            <w:tcMar>
              <w:top w:type="dxa" w:w="50"/>
              <w:left w:type="dxa" w:w="80"/>
              <w:bottom w:type="dxa" w:w="50"/>
              <w:right w:type="dxa" w:w="80"/>
            </w:tcMar>
          </w:tcPr>
          <w:p>
            <w:r>
              <w:rPr>
                <w:rFonts w:ascii="Arial" w:cs="Arial" w:eastAsia="Arial" w:hAnsi="Arial"/>
                <w:sz w:val="15"/>
                <w:szCs w:val="15"/>
              </w:rPr>
              <w:t xml:space="preserve">Residual risk above tolerance (S2, S5, S7, S9, S10)</w:t>
            </w:r>
          </w:p>
        </w:tc>
        <w:tc>
          <w:tcPr>
            <w:tcW w:type="dxa" w:w="1872"/>
            <w:tcMar>
              <w:top w:type="dxa" w:w="50"/>
              <w:left w:type="dxa" w:w="80"/>
              <w:bottom w:type="dxa" w:w="50"/>
              <w:right w:type="dxa" w:w="80"/>
            </w:tcMar>
          </w:tcPr>
          <w:p>
            <w:r>
              <w:rPr>
                <w:rFonts w:ascii="Arial" w:cs="Arial" w:eastAsia="Arial" w:hAnsi="Arial"/>
                <w:sz w:val="15"/>
                <w:szCs w:val="15"/>
              </w:rPr>
              <w:t xml:space="preserve">Accept / further mitigate / transfer / avoid</w:t>
            </w:r>
          </w:p>
        </w:tc>
        <w:tc>
          <w:tcPr>
            <w:tcW w:type="dxa" w:w="3369"/>
            <w:tcMar>
              <w:top w:type="dxa" w:w="50"/>
              <w:left w:type="dxa" w:w="80"/>
              <w:bottom w:type="dxa" w:w="50"/>
              <w:right w:type="dxa" w:w="80"/>
            </w:tcMar>
          </w:tcPr>
          <w:p>
            <w:r>
              <w:rPr>
                <w:rFonts w:ascii="Arial" w:cs="Arial" w:eastAsia="Arial" w:hAnsi="Arial"/>
                <w:sz w:val="15"/>
                <w:szCs w:val="15"/>
              </w:rPr>
              <w:t xml:space="preserve">Formal acceptance with review in 6 months; transfer part of S2 and S9 via insurance and contracts</w:t>
            </w:r>
          </w:p>
        </w:tc>
        <w:tc>
          <w:tcPr>
            <w:tcW w:type="dxa" w:w="1873"/>
            <w:tcMar>
              <w:top w:type="dxa" w:w="50"/>
              <w:left w:type="dxa" w:w="80"/>
              <w:bottom w:type="dxa" w:w="50"/>
              <w:right w:type="dxa" w:w="80"/>
            </w:tcMar>
          </w:tcPr>
          <w:p>
            <w:r>
              <w:rPr>
                <w:rFonts w:ascii="Arial" w:cs="Arial" w:eastAsia="Arial" w:hAnsi="Arial"/>
                <w:sz w:val="15"/>
                <w:szCs w:val="15"/>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D4</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Patient-safety residual (S7, S10)</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Accept with compensating controls / restrict device connectivity</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CMO sign-off on compensating controls and clinical downtime procedures</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Clinical leadership + Executive</w:t>
            </w:r>
          </w:p>
        </w:tc>
      </w:tr>
      <w:tr>
        <w:tc>
          <w:tcPr>
            <w:tcW w:type="dxa" w:w="374"/>
            <w:tcMar>
              <w:top w:type="dxa" w:w="50"/>
              <w:left w:type="dxa" w:w="80"/>
              <w:bottom w:type="dxa" w:w="50"/>
              <w:right w:type="dxa" w:w="80"/>
            </w:tcMar>
          </w:tcPr>
          <w:p>
            <w:r>
              <w:rPr>
                <w:rFonts w:ascii="Arial" w:cs="Arial" w:eastAsia="Arial" w:hAnsi="Arial"/>
                <w:sz w:val="15"/>
                <w:szCs w:val="15"/>
              </w:rPr>
              <w:t xml:space="preserve">D5</w:t>
            </w:r>
          </w:p>
        </w:tc>
        <w:tc>
          <w:tcPr>
            <w:tcW w:type="dxa" w:w="1872"/>
            <w:tcMar>
              <w:top w:type="dxa" w:w="50"/>
              <w:left w:type="dxa" w:w="80"/>
              <w:bottom w:type="dxa" w:w="50"/>
              <w:right w:type="dxa" w:w="80"/>
            </w:tcMar>
          </w:tcPr>
          <w:p>
            <w:r>
              <w:rPr>
                <w:rFonts w:ascii="Arial" w:cs="Arial" w:eastAsia="Arial" w:hAnsi="Arial"/>
                <w:sz w:val="15"/>
                <w:szCs w:val="15"/>
              </w:rPr>
              <w:t xml:space="preserve">Staffing</w:t>
            </w:r>
          </w:p>
        </w:tc>
        <w:tc>
          <w:tcPr>
            <w:tcW w:type="dxa" w:w="1872"/>
            <w:tcMar>
              <w:top w:type="dxa" w:w="50"/>
              <w:left w:type="dxa" w:w="80"/>
              <w:bottom w:type="dxa" w:w="50"/>
              <w:right w:type="dxa" w:w="80"/>
            </w:tcMar>
          </w:tcPr>
          <w:p>
            <w:r>
              <w:rPr>
                <w:rFonts w:ascii="Arial" w:cs="Arial" w:eastAsia="Arial" w:hAnsi="Arial"/>
                <w:sz w:val="15"/>
                <w:szCs w:val="15"/>
              </w:rPr>
              <w:t xml:space="preserve">Status quo / +1 FTE / +2 FTE / managed services</w:t>
            </w:r>
          </w:p>
        </w:tc>
        <w:tc>
          <w:tcPr>
            <w:tcW w:type="dxa" w:w="3369"/>
            <w:tcMar>
              <w:top w:type="dxa" w:w="50"/>
              <w:left w:type="dxa" w:w="80"/>
              <w:bottom w:type="dxa" w:w="50"/>
              <w:right w:type="dxa" w:w="80"/>
            </w:tcMar>
          </w:tcPr>
          <w:p>
            <w:r>
              <w:rPr>
                <w:rFonts w:ascii="Arial" w:cs="Arial" w:eastAsia="Arial" w:hAnsi="Arial"/>
                <w:sz w:val="15"/>
                <w:szCs w:val="15"/>
              </w:rPr>
              <w:t xml:space="preserve">+1 vulnerability FTE (costed) and MDR; assess IAM/PAM engineer</w:t>
            </w:r>
          </w:p>
        </w:tc>
        <w:tc>
          <w:tcPr>
            <w:tcW w:type="dxa" w:w="1873"/>
            <w:tcMar>
              <w:top w:type="dxa" w:w="50"/>
              <w:left w:type="dxa" w:w="80"/>
              <w:bottom w:type="dxa" w:w="50"/>
              <w:right w:type="dxa" w:w="80"/>
            </w:tcMar>
          </w:tcPr>
          <w:p>
            <w:r>
              <w:rPr>
                <w:rFonts w:ascii="Arial" w:cs="Arial" w:eastAsia="Arial" w:hAnsi="Arial"/>
                <w:sz w:val="15"/>
                <w:szCs w:val="15"/>
              </w:rPr>
              <w:t xml:space="preserve">CIO, Executive</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D6</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Cyber-insurance review</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Maintain / increase / obtain</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Obtain broker review aligned with S2 and S9 residuals</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CFO</w:t>
            </w:r>
          </w:p>
        </w:tc>
      </w:tr>
      <w:tr>
        <w:tc>
          <w:tcPr>
            <w:tcW w:type="dxa" w:w="374"/>
            <w:tcMar>
              <w:top w:type="dxa" w:w="50"/>
              <w:left w:type="dxa" w:w="80"/>
              <w:bottom w:type="dxa" w:w="50"/>
              <w:right w:type="dxa" w:w="80"/>
            </w:tcMar>
          </w:tcPr>
          <w:p>
            <w:r>
              <w:rPr>
                <w:rFonts w:ascii="Arial" w:cs="Arial" w:eastAsia="Arial" w:hAnsi="Arial"/>
                <w:sz w:val="15"/>
                <w:szCs w:val="15"/>
              </w:rPr>
              <w:t xml:space="preserve">D7</w:t>
            </w:r>
          </w:p>
        </w:tc>
        <w:tc>
          <w:tcPr>
            <w:tcW w:type="dxa" w:w="1872"/>
            <w:tcMar>
              <w:top w:type="dxa" w:w="50"/>
              <w:left w:type="dxa" w:w="80"/>
              <w:bottom w:type="dxa" w:w="50"/>
              <w:right w:type="dxa" w:w="80"/>
            </w:tcMar>
          </w:tcPr>
          <w:p>
            <w:r>
              <w:rPr>
                <w:rFonts w:ascii="Arial" w:cs="Arial" w:eastAsia="Arial" w:hAnsi="Arial"/>
                <w:sz w:val="15"/>
                <w:szCs w:val="15"/>
              </w:rPr>
              <w:t xml:space="preserve">Validate estimates and close information gaps</w:t>
            </w:r>
          </w:p>
        </w:tc>
        <w:tc>
          <w:tcPr>
            <w:tcW w:type="dxa" w:w="1872"/>
            <w:tcMar>
              <w:top w:type="dxa" w:w="50"/>
              <w:left w:type="dxa" w:w="80"/>
              <w:bottom w:type="dxa" w:w="50"/>
              <w:right w:type="dxa" w:w="80"/>
            </w:tcMar>
          </w:tcPr>
          <w:p>
            <w:r>
              <w:rPr>
                <w:rFonts w:ascii="Arial" w:cs="Arial" w:eastAsia="Arial" w:hAnsi="Arial"/>
                <w:sz w:val="15"/>
                <w:szCs w:val="15"/>
              </w:rPr>
              <w:t xml:space="preserve">-</w:t>
            </w:r>
          </w:p>
        </w:tc>
        <w:tc>
          <w:tcPr>
            <w:tcW w:type="dxa" w:w="3369"/>
            <w:tcMar>
              <w:top w:type="dxa" w:w="50"/>
              <w:left w:type="dxa" w:w="80"/>
              <w:bottom w:type="dxa" w:w="50"/>
              <w:right w:type="dxa" w:w="80"/>
            </w:tcMar>
          </w:tcPr>
          <w:p>
            <w:r>
              <w:rPr>
                <w:rFonts w:ascii="Arial" w:cs="Arial" w:eastAsia="Arial" w:hAnsi="Arial"/>
                <w:sz w:val="15"/>
                <w:szCs w:val="15"/>
              </w:rPr>
              <w:t xml:space="preserve">SME workshop within 60 days; re-run workbook</w:t>
            </w:r>
          </w:p>
        </w:tc>
        <w:tc>
          <w:tcPr>
            <w:tcW w:type="dxa" w:w="1873"/>
            <w:tcMar>
              <w:top w:type="dxa" w:w="50"/>
              <w:left w:type="dxa" w:w="80"/>
              <w:bottom w:type="dxa" w:w="50"/>
              <w:right w:type="dxa" w:w="80"/>
            </w:tcMar>
          </w:tcPr>
          <w:p>
            <w:r>
              <w:rPr>
                <w:rFonts w:ascii="Arial" w:cs="Arial" w:eastAsia="Arial" w:hAnsi="Arial"/>
                <w:sz w:val="15"/>
                <w:szCs w:val="15"/>
              </w:rPr>
              <w:t xml:space="preserve">Cybersecurity lead</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D8</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Assign risk owners</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Confirm owners proposed in Section 7</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Executive leadership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sz w:val="19"/>
                <w:szCs w:val="19"/>
              </w:rPr>
              <w:t xml:space="preserve">CyberRiskGuardian outputs are decision support. Scenarios, probabilities, CVSS scores, costs and effectiveness values are initial analytical hypotheses. Final decisions to accept, mitigate, transfer or avoid risk remain the responsibility of MediBec management and its Board / ownership group.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MediBec - Cybersecurity Risk Assessment - Analyst draft for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MediBec Cybersecurity Risk Assessment</dc:title>
  <dc:creator>CyberRiskGuardian</dc:creator>
  <cp:lastModifiedBy>Un-named</cp:lastModifiedBy>
  <cp:revision>1</cp:revision>
  <dcterms:created xsi:type="dcterms:W3CDTF">2026-10-23T16:09:09.025Z</dcterms:created>
  <dcterms:modified xsi:type="dcterms:W3CDTF">2026-10-23T16:09:09.025Z</dcterms:modified>
</cp:coreProperties>
</file>

<file path=docProps/custom.xml><?xml version="1.0" encoding="utf-8"?>
<Properties xmlns="http://schemas.openxmlformats.org/officeDocument/2006/custom-properties" xmlns:vt="http://schemas.openxmlformats.org/officeDocument/2006/docPropsVTypes"/>
</file>