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Enterprise Information Security Policy</w:t>
      </w:r>
    </w:p>
    <w:p>
      <w:r>
        <w:rPr>
          <w:color w:val="5F6B76"/>
          <w:sz w:val="22"/>
          <w:szCs w:val="22"/>
        </w:rPr>
        <w:t xml:space="preserve">Northstar Digital Services (fictional)  ·  NOR-EISP-001  ·  Policy</w:t>
      </w:r>
    </w:p>
    <w:tbl>
      <w:tblPr>
        <w:tblW w:w="9355" w:type="dxa"/>
        <w:jc w:val="center"/>
      </w:tblPr>
      <w:tblGrid>
        <w:gridCol w:w="9355"/>
      </w:tblGrid>
      <w:tr>
        <w:tc>
          <w:tcPr>
            <w:tcW w:w="9355" w:type="dxa"/>
            <w:shd w:val="clear" w:color="auto" w:fill="FBEAEA"/>
          </w:tcPr>
          <w:p>
            <w:pPr>
              <w:jc w:val="center"/>
              <w:spacing w:before="60" w:after="60"/>
            </w:pPr>
            <w:r>
              <w:rPr>
                <w:b/>
                <w:color w:val="B42318"/>
                <w:sz w:val="26"/>
                <w:szCs w:val="26"/>
              </w:rPr>
              <w:t xml:space="preserve">DRAFT — NOT APPROVED</w:t>
            </w:r>
          </w:p>
        </w:tc>
      </w:tr>
    </w:tbl>
    <w:p>
      <w:r/>
    </w:p>
    <w:p>
      <w:pPr>
        <w:pStyle w:val="Heading2"/>
      </w:pPr>
      <w:r>
        <w:t xml:space="preserve">Document control</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835"/>
        <w:gridCol w:w="6520"/>
      </w:tblGrid>
      <w:tr>
        <w:trPr>
          <w:cantSplit/>
        </w:trPr>
        <w:tc>
          <w:tcPr>
            <w:tcW w:w="2835" w:type="dxa"/>
            <w:shd w:val="clear" w:color="auto" w:fill="E8EEF2"/>
          </w:tcPr>
          <w:p>
            <w:pPr>
              <w:spacing w:after="0"/>
            </w:pPr>
            <w:r>
              <w:rPr>
                <w:b/>
                <w:sz w:val="18"/>
                <w:szCs w:val="18"/>
              </w:rPr>
              <w:t xml:space="preserve">Document number</w:t>
            </w:r>
          </w:p>
        </w:tc>
        <w:tc>
          <w:tcPr>
            <w:tcW w:w="6520" w:type="dxa"/>
          </w:tcPr>
          <w:p>
            <w:pPr>
              <w:spacing w:after="0"/>
            </w:pPr>
            <w:r>
              <w:rPr>
                <w:sz w:val="18"/>
                <w:szCs w:val="18"/>
              </w:rPr>
              <w:t xml:space="preserve">NOR-EISP-001</w:t>
            </w:r>
          </w:p>
        </w:tc>
      </w:tr>
      <w:tr>
        <w:trPr>
          <w:cantSplit/>
        </w:trPr>
        <w:tc>
          <w:tcPr>
            <w:tcW w:w="2835" w:type="dxa"/>
            <w:shd w:val="clear" w:color="auto" w:fill="E8EEF2"/>
          </w:tcPr>
          <w:p>
            <w:pPr>
              <w:spacing w:after="0"/>
            </w:pPr>
            <w:r>
              <w:rPr>
                <w:b/>
                <w:sz w:val="18"/>
                <w:szCs w:val="18"/>
              </w:rPr>
              <w:t xml:space="preserve">ISP record</w:t>
            </w:r>
          </w:p>
        </w:tc>
        <w:tc>
          <w:tcPr>
            <w:tcW w:w="6520" w:type="dxa"/>
          </w:tcPr>
          <w:p>
            <w:pPr>
              <w:spacing w:after="0"/>
            </w:pPr>
            <w:r>
              <w:rPr>
                <w:sz w:val="18"/>
                <w:szCs w:val="18"/>
              </w:rPr>
              <w:t xml:space="preserve">POL-001</w:t>
            </w:r>
          </w:p>
        </w:tc>
      </w:tr>
      <w:tr>
        <w:trPr>
          <w:cantSplit/>
        </w:trPr>
        <w:tc>
          <w:tcPr>
            <w:tcW w:w="2835" w:type="dxa"/>
            <w:shd w:val="clear" w:color="auto" w:fill="E8EEF2"/>
          </w:tcPr>
          <w:p>
            <w:pPr>
              <w:spacing w:after="0"/>
            </w:pPr>
            <w:r>
              <w:rPr>
                <w:b/>
                <w:sz w:val="18"/>
                <w:szCs w:val="18"/>
              </w:rPr>
              <w:t xml:space="preserve">Version</w:t>
            </w:r>
          </w:p>
        </w:tc>
        <w:tc>
          <w:tcPr>
            <w:tcW w:w="6520" w:type="dxa"/>
          </w:tcPr>
          <w:p>
            <w:pPr>
              <w:spacing w:after="0"/>
            </w:pPr>
            <w:r>
              <w:rPr>
                <w:sz w:val="18"/>
                <w:szCs w:val="18"/>
              </w:rPr>
              <w:t xml:space="preserve">0.1</w:t>
            </w:r>
          </w:p>
        </w:tc>
      </w:tr>
      <w:tr>
        <w:trPr>
          <w:cantSplit/>
        </w:trPr>
        <w:tc>
          <w:tcPr>
            <w:tcW w:w="2835" w:type="dxa"/>
            <w:shd w:val="clear" w:color="auto" w:fill="E8EEF2"/>
          </w:tcPr>
          <w:p>
            <w:pPr>
              <w:spacing w:after="0"/>
            </w:pPr>
            <w:r>
              <w:rPr>
                <w:b/>
                <w:sz w:val="18"/>
                <w:szCs w:val="18"/>
              </w:rPr>
              <w:t xml:space="preserve">Status</w:t>
            </w:r>
          </w:p>
        </w:tc>
        <w:tc>
          <w:tcPr>
            <w:tcW w:w="6520" w:type="dxa"/>
          </w:tcPr>
          <w:p>
            <w:pPr>
              <w:spacing w:after="0"/>
            </w:pPr>
            <w:r>
              <w:rPr>
                <w:sz w:val="18"/>
                <w:szCs w:val="18"/>
              </w:rPr>
              <w:t xml:space="preserve">Draft — not approved; not in force</w:t>
            </w:r>
          </w:p>
        </w:tc>
      </w:tr>
      <w:tr>
        <w:trPr>
          <w:cantSplit/>
        </w:trPr>
        <w:tc>
          <w:tcPr>
            <w:tcW w:w="2835" w:type="dxa"/>
            <w:shd w:val="clear" w:color="auto" w:fill="E8EEF2"/>
          </w:tcPr>
          <w:p>
            <w:pPr>
              <w:spacing w:after="0"/>
            </w:pPr>
            <w:r>
              <w:rPr>
                <w:b/>
                <w:sz w:val="18"/>
                <w:szCs w:val="18"/>
              </w:rPr>
              <w:t xml:space="preserve">Classification</w:t>
            </w:r>
          </w:p>
        </w:tc>
        <w:tc>
          <w:tcPr>
            <w:tcW w:w="6520" w:type="dxa"/>
          </w:tcPr>
          <w:p>
            <w:pPr>
              <w:spacing w:after="0"/>
            </w:pPr>
            <w:r>
              <w:rPr>
                <w:sz w:val="18"/>
                <w:szCs w:val="18"/>
              </w:rPr>
              <w:t xml:space="preserve">Internal</w:t>
            </w:r>
          </w:p>
        </w:tc>
      </w:tr>
      <w:tr>
        <w:trPr>
          <w:cantSplit/>
        </w:trPr>
        <w:tc>
          <w:tcPr>
            <w:tcW w:w="2835" w:type="dxa"/>
            <w:shd w:val="clear" w:color="auto" w:fill="E8EEF2"/>
          </w:tcPr>
          <w:p>
            <w:pPr>
              <w:spacing w:after="0"/>
            </w:pPr>
            <w:r>
              <w:rPr>
                <w:b/>
                <w:sz w:val="18"/>
                <w:szCs w:val="18"/>
              </w:rPr>
              <w:t xml:space="preserve">Policy owner</w:t>
            </w:r>
          </w:p>
        </w:tc>
        <w:tc>
          <w:tcPr>
            <w:tcW w:w="6520" w:type="dxa"/>
          </w:tcPr>
          <w:p>
            <w:pPr>
              <w:spacing w:after="0"/>
            </w:pPr>
            <w:r>
              <w:rPr>
                <w:sz w:val="18"/>
                <w:szCs w:val="18"/>
              </w:rPr>
              <w:t xml:space="preserve">The IT Manager</w:t>
            </w:r>
          </w:p>
        </w:tc>
      </w:tr>
      <w:tr>
        <w:trPr>
          <w:cantSplit/>
        </w:trPr>
        <w:tc>
          <w:tcPr>
            <w:tcW w:w="2835" w:type="dxa"/>
            <w:shd w:val="clear" w:color="auto" w:fill="E8EEF2"/>
          </w:tcPr>
          <w:p>
            <w:pPr>
              <w:spacing w:after="0"/>
            </w:pPr>
            <w:r>
              <w:rPr>
                <w:b/>
                <w:sz w:val="18"/>
                <w:szCs w:val="18"/>
              </w:rPr>
              <w:t xml:space="preserve">Approval authority</w:t>
            </w:r>
          </w:p>
        </w:tc>
        <w:tc>
          <w:tcPr>
            <w:tcW w:w="6520" w:type="dxa"/>
          </w:tcPr>
          <w:p>
            <w:pPr>
              <w:spacing w:after="0"/>
            </w:pPr>
            <w:r>
              <w:rPr>
                <w:b/>
                <w:sz w:val="18"/>
                <w:szCs w:val="18"/>
                <w:highlight w:val="yellow"/>
              </w:rPr>
              <w:t xml:space="preserve">[APPROVER: approval authority]</w:t>
            </w:r>
          </w:p>
        </w:tc>
      </w:tr>
      <w:tr>
        <w:trPr>
          <w:cantSplit/>
        </w:trPr>
        <w:tc>
          <w:tcPr>
            <w:tcW w:w="2835" w:type="dxa"/>
            <w:shd w:val="clear" w:color="auto" w:fill="E8EEF2"/>
          </w:tcPr>
          <w:p>
            <w:pPr>
              <w:spacing w:after="0"/>
            </w:pPr>
            <w:r>
              <w:rPr>
                <w:b/>
                <w:sz w:val="18"/>
                <w:szCs w:val="18"/>
              </w:rPr>
              <w:t xml:space="preserve">Review cycle</w:t>
            </w:r>
          </w:p>
        </w:tc>
        <w:tc>
          <w:tcPr>
            <w:tcW w:w="6520" w:type="dxa"/>
          </w:tcPr>
          <w:p>
            <w:pPr>
              <w:spacing w:after="0"/>
            </w:pPr>
            <w:r>
              <w:rPr>
                <w:sz w:val="18"/>
                <w:szCs w:val="18"/>
              </w:rPr>
              <w:t xml:space="preserve">12 months</w:t>
            </w:r>
          </w:p>
        </w:tc>
      </w:tr>
      <w:tr>
        <w:trPr>
          <w:cantSplit/>
        </w:trPr>
        <w:tc>
          <w:tcPr>
            <w:tcW w:w="2835" w:type="dxa"/>
            <w:shd w:val="clear" w:color="auto" w:fill="E8EEF2"/>
          </w:tcPr>
          <w:p>
            <w:pPr>
              <w:spacing w:after="0"/>
            </w:pPr>
            <w:r>
              <w:rPr>
                <w:b/>
                <w:sz w:val="18"/>
                <w:szCs w:val="18"/>
              </w:rPr>
              <w:t xml:space="preserve">Effective date</w:t>
            </w:r>
          </w:p>
        </w:tc>
        <w:tc>
          <w:tcPr>
            <w:tcW w:w="6520" w:type="dxa"/>
          </w:tcPr>
          <w:p>
            <w:pPr>
              <w:spacing w:after="0"/>
            </w:pPr>
            <w:r>
              <w:rPr>
                <w:sz w:val="18"/>
                <w:szCs w:val="18"/>
              </w:rPr>
              <w:t xml:space="preserve">Set on approval and publication</w:t>
            </w:r>
          </w:p>
        </w:tc>
      </w:tr>
      <w:tr>
        <w:trPr>
          <w:cantSplit/>
        </w:trPr>
        <w:tc>
          <w:tcPr>
            <w:tcW w:w="2835" w:type="dxa"/>
            <w:shd w:val="clear" w:color="auto" w:fill="E8EEF2"/>
          </w:tcPr>
          <w:p>
            <w:pPr>
              <w:spacing w:after="0"/>
            </w:pPr>
            <w:r>
              <w:rPr>
                <w:b/>
                <w:sz w:val="18"/>
                <w:szCs w:val="18"/>
              </w:rPr>
              <w:t xml:space="preserve">Next review date</w:t>
            </w:r>
          </w:p>
        </w:tc>
        <w:tc>
          <w:tcPr>
            <w:tcW w:w="6520" w:type="dxa"/>
          </w:tcPr>
          <w:p>
            <w:pPr>
              <w:spacing w:after="0"/>
            </w:pPr>
            <w:r>
              <w:rPr>
                <w:sz w:val="18"/>
                <w:szCs w:val="18"/>
              </w:rPr>
              <w:t xml:space="preserve">Set on approval and publication</w:t>
            </w:r>
          </w:p>
        </w:tc>
      </w:tr>
      <w:tr>
        <w:trPr>
          <w:cantSplit/>
        </w:trPr>
        <w:tc>
          <w:tcPr>
            <w:tcW w:w="2835" w:type="dxa"/>
            <w:shd w:val="clear" w:color="auto" w:fill="E8EEF2"/>
          </w:tcPr>
          <w:p>
            <w:pPr>
              <w:spacing w:after="0"/>
            </w:pPr>
            <w:r>
              <w:rPr>
                <w:b/>
                <w:sz w:val="18"/>
                <w:szCs w:val="18"/>
              </w:rPr>
              <w:t xml:space="preserve">Language</w:t>
            </w:r>
          </w:p>
        </w:tc>
        <w:tc>
          <w:tcPr>
            <w:tcW w:w="6520" w:type="dxa"/>
          </w:tcPr>
          <w:p>
            <w:pPr>
              <w:spacing w:after="0"/>
            </w:pPr>
            <w:r>
              <w:rPr>
                <w:sz w:val="18"/>
                <w:szCs w:val="18"/>
              </w:rPr>
              <w:t xml:space="preserve">English</w:t>
            </w:r>
          </w:p>
        </w:tc>
      </w:tr>
      <w:tr>
        <w:trPr>
          <w:cantSplit/>
        </w:trPr>
        <w:tc>
          <w:tcPr>
            <w:tcW w:w="2835" w:type="dxa"/>
            <w:shd w:val="clear" w:color="auto" w:fill="E8EEF2"/>
          </w:tcPr>
          <w:p>
            <w:pPr>
              <w:spacing w:after="0"/>
            </w:pPr>
            <w:r>
              <w:rPr>
                <w:b/>
                <w:sz w:val="18"/>
                <w:szCs w:val="18"/>
              </w:rPr>
              <w:t xml:space="preserve">Produced with</w:t>
            </w:r>
          </w:p>
        </w:tc>
        <w:tc>
          <w:tcPr>
            <w:tcW w:w="6520" w:type="dxa"/>
          </w:tcPr>
          <w:p>
            <w:pPr>
              <w:spacing w:after="0"/>
            </w:pPr>
            <w:r>
              <w:rPr>
                <w:sz w:val="18"/>
                <w:szCs w:val="18"/>
              </w:rPr>
              <w:t xml:space="preserve">CyberRiskGuardian Security Policy Writer 0.1.0 (beta) — sample</w:t>
            </w:r>
          </w:p>
        </w:tc>
      </w:tr>
      <w:tr>
        <w:trPr>
          <w:cantSplit/>
        </w:trPr>
        <w:tc>
          <w:tcPr>
            <w:tcW w:w="2835" w:type="dxa"/>
            <w:shd w:val="clear" w:color="auto" w:fill="E8EEF2"/>
          </w:tcPr>
          <w:p>
            <w:pPr>
              <w:spacing w:after="0"/>
            </w:pPr>
            <w:r>
              <w:rPr>
                <w:b/>
                <w:sz w:val="18"/>
                <w:szCs w:val="18"/>
              </w:rPr>
              <w:t xml:space="preserve">Exported on</w:t>
            </w:r>
          </w:p>
        </w:tc>
        <w:tc>
          <w:tcPr>
            <w:tcW w:w="6520" w:type="dxa"/>
          </w:tcPr>
          <w:p>
            <w:pPr>
              <w:spacing w:after="0"/>
            </w:pPr>
            <w:r>
              <w:rPr>
                <w:sz w:val="18"/>
                <w:szCs w:val="18"/>
              </w:rPr>
              <w:t xml:space="preserve">2026-10-19</w:t>
            </w:r>
          </w:p>
        </w:tc>
      </w:tr>
    </w:tbl>
    <w:p>
      <w:pPr>
        <w:spacing w:after="40"/>
      </w:pPr>
      <w:r/>
    </w:p>
    <w:p>
      <w:pPr>
        <w:pStyle w:val="Heading2"/>
      </w:pPr>
      <w:r>
        <w:t xml:space="preserve">Approval</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2381"/>
        <w:gridCol w:w="3175"/>
        <w:gridCol w:w="2268"/>
        <w:gridCol w:w="1530"/>
      </w:tblGrid>
      <w:tr>
        <w:trPr>
          <w:tblHeader/>
          <w:cantSplit/>
        </w:trPr>
        <w:tc>
          <w:tcPr>
            <w:tcW w:w="2381" w:type="dxa"/>
            <w:shd w:val="clear" w:color="auto" w:fill="0B4F6C"/>
          </w:tcPr>
          <w:p>
            <w:pPr>
              <w:spacing w:after="0"/>
            </w:pPr>
            <w:r>
              <w:rPr>
                <w:b/>
                <w:color w:val="FFFFFF"/>
                <w:sz w:val="18"/>
                <w:szCs w:val="18"/>
              </w:rPr>
              <w:t xml:space="preserve">Role</w:t>
            </w:r>
          </w:p>
        </w:tc>
        <w:tc>
          <w:tcPr>
            <w:tcW w:w="3175" w:type="dxa"/>
            <w:shd w:val="clear" w:color="auto" w:fill="0B4F6C"/>
          </w:tcPr>
          <w:p>
            <w:pPr>
              <w:spacing w:after="0"/>
            </w:pPr>
            <w:r>
              <w:rPr>
                <w:b/>
                <w:color w:val="FFFFFF"/>
                <w:sz w:val="18"/>
                <w:szCs w:val="18"/>
              </w:rPr>
              <w:t xml:space="preserve">Name</w:t>
            </w:r>
          </w:p>
        </w:tc>
        <w:tc>
          <w:tcPr>
            <w:tcW w:w="2268" w:type="dxa"/>
            <w:shd w:val="clear" w:color="auto" w:fill="0B4F6C"/>
          </w:tcPr>
          <w:p>
            <w:pPr>
              <w:spacing w:after="0"/>
            </w:pPr>
            <w:r>
              <w:rPr>
                <w:b/>
                <w:color w:val="FFFFFF"/>
                <w:sz w:val="18"/>
                <w:szCs w:val="18"/>
              </w:rPr>
              <w:t xml:space="preserve">Signature</w:t>
            </w:r>
          </w:p>
        </w:tc>
        <w:tc>
          <w:tcPr>
            <w:tcW w:w="1530" w:type="dxa"/>
            <w:shd w:val="clear" w:color="auto" w:fill="0B4F6C"/>
          </w:tcPr>
          <w:p>
            <w:pPr>
              <w:spacing w:after="0"/>
            </w:pPr>
            <w:r>
              <w:rPr>
                <w:b/>
                <w:color w:val="FFFFFF"/>
                <w:sz w:val="18"/>
                <w:szCs w:val="18"/>
              </w:rPr>
              <w:t xml:space="preserve">Date</w:t>
            </w:r>
          </w:p>
        </w:tc>
      </w:tr>
      <w:tr>
        <w:trPr>
          <w:cantSplit/>
        </w:trPr>
        <w:tc>
          <w:tcPr>
            <w:tcW w:w="2381" w:type="dxa"/>
          </w:tcPr>
          <w:p>
            <w:pPr>
              <w:spacing w:after="0"/>
            </w:pPr>
            <w:r>
              <w:rPr>
                <w:sz w:val="18"/>
                <w:szCs w:val="18"/>
              </w:rPr>
              <w:t xml:space="preserve">Approval authority</w:t>
            </w:r>
          </w:p>
        </w:tc>
        <w:tc>
          <w:tcPr>
            <w:tcW w:w="3175" w:type="dxa"/>
          </w:tcPr>
          <w:p>
            <w:pPr>
              <w:spacing w:after="0"/>
            </w:pPr>
          </w:p>
        </w:tc>
        <w:tc>
          <w:tcPr>
            <w:tcW w:w="2268" w:type="dxa"/>
          </w:tcPr>
          <w:p>
            <w:pPr>
              <w:spacing w:after="0"/>
            </w:pPr>
          </w:p>
        </w:tc>
        <w:tc>
          <w:tcPr>
            <w:tcW w:w="1530" w:type="dxa"/>
          </w:tcPr>
          <w:p>
            <w:pPr>
              <w:spacing w:after="0"/>
            </w:pPr>
          </w:p>
        </w:tc>
      </w:tr>
      <w:tr>
        <w:trPr>
          <w:cantSplit/>
        </w:trPr>
        <w:tc>
          <w:tcPr>
            <w:tcW w:w="2381" w:type="dxa"/>
          </w:tcPr>
          <w:p>
            <w:pPr>
              <w:spacing w:after="0"/>
            </w:pPr>
            <w:r>
              <w:rPr>
                <w:sz w:val="18"/>
                <w:szCs w:val="18"/>
              </w:rPr>
              <w:t xml:space="preserve">Policy owner</w:t>
            </w:r>
          </w:p>
        </w:tc>
        <w:tc>
          <w:tcPr>
            <w:tcW w:w="3175" w:type="dxa"/>
          </w:tcPr>
          <w:p>
            <w:pPr>
              <w:spacing w:after="0"/>
            </w:pPr>
            <w:r>
              <w:rPr>
                <w:sz w:val="18"/>
                <w:szCs w:val="18"/>
              </w:rPr>
              <w:t xml:space="preserve">The IT Manager</w:t>
            </w:r>
          </w:p>
        </w:tc>
        <w:tc>
          <w:tcPr>
            <w:tcW w:w="2268" w:type="dxa"/>
          </w:tcPr>
          <w:p>
            <w:pPr>
              <w:spacing w:after="0"/>
            </w:pPr>
          </w:p>
        </w:tc>
        <w:tc>
          <w:tcPr>
            <w:tcW w:w="1530" w:type="dxa"/>
          </w:tcPr>
          <w:p>
            <w:pPr>
              <w:spacing w:after="0"/>
            </w:pPr>
          </w:p>
        </w:tc>
      </w:tr>
    </w:tbl>
    <w:p>
      <w:pPr>
        <w:spacing w:after="40"/>
      </w:pPr>
      <w:r/>
    </w:p>
    <w:p>
      <w:r>
        <w:rPr>
          <w:i/>
          <w:color w:val="5F6B76"/>
          <w:sz w:val="17"/>
          <w:szCs w:val="17"/>
        </w:rPr>
        <w:t xml:space="preserve">Draft produced with decision-support software (CyberRiskGuardian Security Policy Writer). It is not legal advice and is not in force until approved and published in ISP management by the authorized persons. Control references indicate the topics addressed; a mapping, a statement or an acknowledgement is never evidence of compliance.</w:t>
      </w:r>
    </w:p>
    <w:p>
      <w:r>
        <w:br w:type="page"/>
      </w:r>
    </w:p>
    <w:p>
      <w:pPr>
        <w:pStyle w:val="Heading2"/>
      </w:pPr>
      <w:r>
        <w:t xml:space="preserve">Contents</w:t>
      </w:r>
    </w:p>
    <w:p>
      <w:r>
        <w:rPr>
          <w:i/>
          <w:color w:val="5F6B76"/>
        </w:rPr>
        <w:fldChar w:fldCharType="begin"/>
      </w:r>
      <w:r>
        <w:rPr>
          <w:i/>
          <w:color w:val="5F6B76"/>
        </w:rPr>
        <w:instrText xml:space="preserve"> TOC \o "1-1" \h \z \u </w:instrText>
      </w:r>
      <w:r>
        <w:rPr>
          <w:i/>
          <w:color w:val="5F6B76"/>
        </w:rPr>
        <w:fldChar w:fldCharType="separate"/>
      </w:r>
      <w:r>
        <w:rPr>
          <w:i/>
          <w:color w:val="5F6B76"/>
        </w:rPr>
        <w:t xml:space="preserve">Right-click and choose “Update Field” (or press F9) to build the table of contents.</w:t>
      </w:r>
      <w:r>
        <w:rPr>
          <w:i/>
          <w:color w:val="5F6B76"/>
        </w:rPr>
        <w:fldChar w:fldCharType="end"/>
      </w:r>
    </w:p>
    <w:p>
      <w:r/>
    </w:p>
    <w:p>
      <w:pPr>
        <w:pStyle w:val="Heading1"/>
      </w:pPr>
      <w:r>
        <w:t xml:space="preserve">1. Purpose</w:t>
      </w:r>
    </w:p>
    <w:p>
      <w:bookmarkStart w:id="1" w:name="_crgt_purpose_1"/>
      <w:r>
        <w:t xml:space="preserve">This policy sets the principles, responsibilities and governance framework by which Northstar protects the confidentiality, integrity and availability of its information and information systems.</w:t>
      </w:r>
      <w:bookmarkEnd w:id="1"/>
    </w:p>
    <w:p>
      <w:bookmarkStart w:id="2" w:name="_crgt_purpose_2"/>
      <w:r>
        <w:t xml:space="preserve">Its objectives are to: (a) protect information against unauthorized access, alteration, loss and destruction; (b) keep critical services available at the level the business requires; (c) protect personal information entrusted to Northstar; (d) meet legal, regulatory and contractual obligations; and (e) make cybersecurity risk decisions explicit, owned and justified.</w:t>
      </w:r>
      <w:bookmarkEnd w:id="2"/>
    </w:p>
    <w:p>
      <w:bookmarkStart w:id="3" w:name="_crgt_purpose_3"/>
      <w:r>
        <w:t xml:space="preserve">The services and assets that matter most to Northstar include: The scheduling platform and its customer database.</w:t>
      </w:r>
      <w:bookmarkEnd w:id="3"/>
    </w:p>
    <w:p>
      <w:pPr>
        <w:pStyle w:val="Heading1"/>
      </w:pPr>
      <w:r>
        <w:t xml:space="preserve">2. Scope</w:t>
      </w:r>
    </w:p>
    <w:p>
      <w:bookmarkStart w:id="4" w:name="_crgt_scope_1"/>
      <w:r>
        <w:t xml:space="preserve">This policy applies to Northstar as a whole, including all its business units and locations, and to every person who accesses its information or systems: employees, managers, contractors, consultants, temporary staff, interns, volunteers and suppliers.</w:t>
      </w:r>
      <w:bookmarkEnd w:id="4"/>
    </w:p>
    <w:p>
      <w:bookmarkStart w:id="5" w:name="_crgt_scope_2"/>
      <w:r>
        <w:t xml:space="preserve">It covers information in every form (electronic, paper, verbal) throughout its life cycle — collection, creation, use, storage, communication, retention and destruction — and all systems owned, leased or operated by or for Northstar, on premises, at remote locations or in cloud services.</w:t>
      </w:r>
      <w:bookmarkEnd w:id="5"/>
    </w:p>
    <w:p>
      <w:bookmarkStart w:id="6" w:name="_crgt_scope_3"/>
      <w:r>
        <w:t xml:space="preserve">The technology environments in scope include: Microsoft 365, Amazon Web Services.</w:t>
      </w:r>
      <w:bookmarkEnd w:id="6"/>
    </w:p>
    <w:p>
      <w:pPr>
        <w:pStyle w:val="Heading1"/>
      </w:pPr>
      <w:r>
        <w:t xml:space="preserve">3. Policy statement</w:t>
      </w:r>
    </w:p>
    <w:p>
      <w:bookmarkStart w:id="7" w:name="_crgt_C1_1"/>
      <w:r>
        <w:t xml:space="preserve">Information and the technology that supports it are essential to Northstar’s mission, to the trust of its clients and partners and to its obligations. Northstar protects them in proportion to their value and to the risks they face.</w:t>
      </w:r>
      <w:bookmarkEnd w:id="7"/>
    </w:p>
    <w:p>
      <w:bookmarkStart w:id="8" w:name="_crgt_C1_2"/>
      <w:r>
        <w:t xml:space="preserve">Senior management of Northstar is committed to providing direction, resources and support for information security, and to continually improving how cybersecurity risk is managed.</w:t>
      </w:r>
      <w:bookmarkEnd w:id="8"/>
    </w:p>
    <w:p>
      <w:pPr>
        <w:pStyle w:val="Heading1"/>
      </w:pPr>
      <w:r>
        <w:t xml:space="preserve">4. Definitions</w:t>
      </w:r>
    </w:p>
    <w:p>
      <w:bookmarkStart w:id="9" w:name="_crgt_C2_1"/>
      <w:r>
        <w:t xml:space="preserve">Information security: the preservation of the confidentiality, integrity and availability of information. Security is understood as the absence of unacceptable risk.</w:t>
      </w:r>
      <w:bookmarkEnd w:id="9"/>
    </w:p>
    <w:p>
      <w:bookmarkStart w:id="10" w:name="_crgt_C2_2"/>
      <w:r>
        <w:t xml:space="preserve">Information owner: the manager accountable for an information asset, who authorizes access to it, determines its classification and retention, and accepts or escalates the associated risks. The owner is not necessarily the person who administers the system.</w:t>
      </w:r>
      <w:bookmarkEnd w:id="10"/>
    </w:p>
    <w:p>
      <w:bookmarkStart w:id="11" w:name="_crgt_C2_3"/>
      <w:r>
        <w:t xml:space="preserve">Custodian: the person or team, internal or external, that operates a system and implements the safeguards defined by the owner and by policy.</w:t>
      </w:r>
      <w:bookmarkEnd w:id="11"/>
    </w:p>
    <w:p>
      <w:bookmarkStart w:id="12" w:name="_crgt_C2_4"/>
      <w:r>
        <w:t xml:space="preserve">Policy, standard, procedure, guideline: a policy states mandatory intent and principles; a standard sets measurable mandatory requirements; a procedure describes how and by whom an activity is performed; a guideline gives non-binding recommended practice.</w:t>
      </w:r>
      <w:bookmarkEnd w:id="12"/>
    </w:p>
    <w:p>
      <w:bookmarkStart w:id="13" w:name="_crgt_C2_5"/>
      <w:r>
        <w:t xml:space="preserve">Exception: a time-bound, approved and recorded departure from a policy or standard requirement, with compensating controls.</w:t>
      </w:r>
      <w:bookmarkEnd w:id="13"/>
    </w:p>
    <w:p>
      <w:bookmarkStart w:id="14" w:name="_crgt_C2_6"/>
      <w:r>
        <w:t xml:space="preserve">Modal verbs: “must” and “must not” express mandatory requirements; “should” expresses a requirement expected to be followed unless an exception is documented; “may” expresses a permission.</w:t>
      </w:r>
      <w:bookmarkEnd w:id="14"/>
    </w:p>
    <w:p>
      <w:pPr>
        <w:pStyle w:val="Heading1"/>
      </w:pPr>
      <w:r>
        <w:t xml:space="preserve">5. Legal, regulatory and contractual framework</w:t>
      </w:r>
    </w:p>
    <w:p>
      <w:bookmarkStart w:id="15" w:name="_crgt_C3_1"/>
      <w:r>
        <w:t xml:space="preserve">Confirmed as applicable: Act respecting the protection of personal information in the private sector (CQLR c. P-39.1), as amended by Law 25.</w:t>
      </w:r>
      <w:bookmarkEnd w:id="15"/>
    </w:p>
    <w:p>
      <w:pPr>
        <w:tabs>
          <w:tab w:val="left" w:pos="680"/>
        </w:tabs>
        <w:ind w:left="680" w:hanging="680"/>
      </w:pPr>
      <w:bookmarkStart w:id="16" w:name="_crgs_POL_001_1"/>
      <w:r>
        <w:rPr>
          <w:b/>
          <w:color w:val="0B4F6C"/>
        </w:rPr>
        <w:t xml:space="preserve">5.1</w:t>
        <w:tab/>
      </w:r>
      <w:r>
        <w:t xml:space="preserve">Northstar complies with the laws, regulations and contractual commitments that apply to its information. Those confirmed as applicable by an authorized reviewer are listed below; candidates still under review are tracked in the open-decisions register, not in this policy.</w:t>
      </w:r>
      <w:bookmarkEnd w:id="16"/>
    </w:p>
    <w:p>
      <w:pPr>
        <w:pStyle w:val="Heading1"/>
      </w:pPr>
      <w:r>
        <w:t xml:space="preserve">6. Guiding principles</w:t>
      </w:r>
    </w:p>
    <w:p>
      <w:bookmarkStart w:id="17" w:name="_crgt_C4_1"/>
      <w:r>
        <w:t xml:space="preserve">Risk-based protection: security measures are proportionate to the value of information, to the threats it faces and to Northstar’s approved risk appetite.</w:t>
      </w:r>
      <w:bookmarkEnd w:id="17"/>
    </w:p>
    <w:p>
      <w:bookmarkStart w:id="18" w:name="_crgt_C4_2"/>
      <w:r>
        <w:t xml:space="preserve">Accountability: every significant information asset has an identified owner, and every cybersecurity risk decision is made by a person with the authority to make it.</w:t>
      </w:r>
      <w:bookmarkEnd w:id="18"/>
    </w:p>
    <w:p>
      <w:bookmarkStart w:id="19" w:name="_crgt_C4_3"/>
      <w:r>
        <w:t xml:space="preserve">Least privilege and need to know: access is granted only to the extent required by a person’s duties.</w:t>
      </w:r>
      <w:bookmarkEnd w:id="19"/>
    </w:p>
    <w:p>
      <w:bookmarkStart w:id="20" w:name="_crgt_C4_4"/>
      <w:r>
        <w:t xml:space="preserve">Security and privacy by design and by default: security and privacy requirements are considered from the start of every project, acquisition and change.</w:t>
      </w:r>
      <w:bookmarkEnd w:id="20"/>
    </w:p>
    <w:p>
      <w:bookmarkStart w:id="21" w:name="_crgt_C4_5"/>
      <w:r>
        <w:t xml:space="preserve">Defence in depth and resilience: Northstar combines preventive, detective, response and recovery measures and prepares to keep critical services running when a measure fails.</w:t>
      </w:r>
      <w:bookmarkEnd w:id="21"/>
    </w:p>
    <w:p>
      <w:bookmarkStart w:id="22" w:name="_crgt_C4_6"/>
      <w:r>
        <w:t xml:space="preserve">Usability: policies are kept clear, short and role-specific, and secure behaviour is made the easiest path.</w:t>
      </w:r>
      <w:bookmarkEnd w:id="22"/>
    </w:p>
    <w:p>
      <w:bookmarkStart w:id="23" w:name="_crgt_C4_7"/>
      <w:r>
        <w:t xml:space="preserve">Evidence: Northstar relies on evidence that controls operate effectively, not on the existence of documents.</w:t>
      </w:r>
      <w:bookmarkEnd w:id="23"/>
    </w:p>
    <w:p>
      <w:pPr>
        <w:pStyle w:val="Heading1"/>
      </w:pPr>
      <w:r>
        <w:t xml:space="preserve">7. Governance, roles and responsibilities</w:t>
      </w:r>
    </w:p>
    <w:p>
      <w:pPr>
        <w:tabs>
          <w:tab w:val="left" w:pos="680"/>
        </w:tabs>
        <w:ind w:left="680" w:hanging="680"/>
      </w:pPr>
      <w:bookmarkStart w:id="24" w:name="_crgs_POL_001_2"/>
      <w:r>
        <w:rPr>
          <w:b/>
          <w:color w:val="0B4F6C"/>
        </w:rPr>
        <w:t xml:space="preserve">7.1</w:t>
        <w:tab/>
      </w:r>
      <w:r>
        <w:rPr>
          <w:b/>
          <w:highlight w:val="yellow"/>
        </w:rPr>
        <w:t xml:space="preserve">[APPROVER: authority that approves the enterprise policy]</w:t>
      </w:r>
      <w:r>
        <w:t xml:space="preserve"> approves this policy and the cybersecurity risk appetite, and oversees material cybersecurity risks.</w:t>
      </w:r>
      <w:bookmarkEnd w:id="24"/>
    </w:p>
    <w:p>
      <w:pPr>
        <w:tabs>
          <w:tab w:val="left" w:pos="680"/>
        </w:tabs>
        <w:ind w:left="680" w:hanging="680"/>
      </w:pPr>
      <w:bookmarkStart w:id="25" w:name="_crgs_POL_001_3"/>
      <w:r>
        <w:rPr>
          <w:b/>
          <w:color w:val="0B4F6C"/>
        </w:rPr>
        <w:t xml:space="preserve">7.2</w:t>
        <w:tab/>
      </w:r>
      <w:r>
        <w:t xml:space="preserve">Senior management allocates the resources needed to implement this policy, ensures that required controls are funded, and holds managers accountable for its application.</w:t>
      </w:r>
      <w:bookmarkEnd w:id="25"/>
    </w:p>
    <w:p>
      <w:pPr>
        <w:tabs>
          <w:tab w:val="left" w:pos="680"/>
        </w:tabs>
        <w:ind w:left="680" w:hanging="680"/>
      </w:pPr>
      <w:bookmarkStart w:id="26" w:name="_crgs_POL_001_4"/>
      <w:r>
        <w:rPr>
          <w:b/>
          <w:color w:val="0B4F6C"/>
        </w:rPr>
        <w:t xml:space="preserve">7.3</w:t>
        <w:tab/>
      </w:r>
      <w:r>
        <w:rPr>
          <w:b/>
          <w:highlight w:val="yellow"/>
        </w:rPr>
        <w:t xml:space="preserve">[DECISION: Name the body that coordinates the security programme and reviews significant risks, exceptions and incidents.]</w:t>
      </w:r>
      <w:bookmarkEnd w:id="26"/>
    </w:p>
    <w:p>
      <w:pPr>
        <w:tabs>
          <w:tab w:val="left" w:pos="680"/>
        </w:tabs>
        <w:ind w:left="680" w:hanging="680"/>
      </w:pPr>
      <w:bookmarkStart w:id="27" w:name="_crgs_POL_001_5"/>
      <w:r>
        <w:rPr>
          <w:b/>
          <w:color w:val="0B4F6C"/>
        </w:rPr>
        <w:t xml:space="preserve">7.4</w:t>
        <w:tab/>
      </w:r>
      <w:r>
        <w:t xml:space="preserve">The IT Manager leads the information security programme: proposes policies and standards, advises owners on risk, oversees control assurance and incident readiness, and reports on the security posture. The IT Manager owns the risk-management process, not every risk.</w:t>
      </w:r>
      <w:bookmarkEnd w:id="27"/>
    </w:p>
    <w:p>
      <w:pPr>
        <w:tabs>
          <w:tab w:val="left" w:pos="680"/>
        </w:tabs>
        <w:ind w:left="680" w:hanging="680"/>
      </w:pPr>
      <w:bookmarkStart w:id="28" w:name="_crgs_POL_001_6"/>
      <w:r>
        <w:rPr>
          <w:b/>
          <w:color w:val="0B4F6C"/>
        </w:rPr>
        <w:t xml:space="preserve">7.5</w:t>
        <w:tab/>
      </w:r>
      <w:r>
        <w:rPr>
          <w:b/>
          <w:highlight w:val="yellow"/>
        </w:rPr>
        <w:t xml:space="preserve">[ROLE: person in charge of the protection of personal information]</w:t>
      </w:r>
      <w:r>
        <w:t xml:space="preserve"> is responsible for the protection of personal information, privacy impact assessments and privacy incidents, in cooperation with the IT Manager.</w:t>
      </w:r>
      <w:bookmarkEnd w:id="28"/>
    </w:p>
    <w:p>
      <w:pPr>
        <w:tabs>
          <w:tab w:val="left" w:pos="680"/>
        </w:tabs>
        <w:ind w:left="680" w:hanging="680"/>
      </w:pPr>
      <w:bookmarkStart w:id="29" w:name="_crgs_POL_001_7"/>
      <w:r>
        <w:rPr>
          <w:b/>
          <w:color w:val="0B4F6C"/>
        </w:rPr>
        <w:t xml:space="preserve">7.6</w:t>
        <w:tab/>
      </w:r>
      <w:r>
        <w:t xml:space="preserve">Information owners classify their information, authorize access to it, accept or escalate the risks related to it within their authority, and ensure that their systems meet applicable policies.</w:t>
      </w:r>
      <w:bookmarkEnd w:id="29"/>
    </w:p>
    <w:p>
      <w:pPr>
        <w:tabs>
          <w:tab w:val="left" w:pos="680"/>
        </w:tabs>
        <w:ind w:left="680" w:hanging="680"/>
      </w:pPr>
      <w:bookmarkStart w:id="30" w:name="_crgs_POL_001_8"/>
      <w:r>
        <w:rPr>
          <w:b/>
          <w:color w:val="0B4F6C"/>
        </w:rPr>
        <w:t xml:space="preserve">7.7</w:t>
        <w:tab/>
      </w:r>
      <w:r>
        <w:t xml:space="preserve">The IT function and custodians operate systems according to policies and standards, implement the safeguards defined by owners, and report incidents and weaknesses.</w:t>
      </w:r>
      <w:bookmarkEnd w:id="30"/>
    </w:p>
    <w:p>
      <w:pPr>
        <w:tabs>
          <w:tab w:val="left" w:pos="680"/>
        </w:tabs>
        <w:ind w:left="680" w:hanging="680"/>
      </w:pPr>
      <w:bookmarkStart w:id="31" w:name="_crgs_POL_001_9"/>
      <w:r>
        <w:rPr>
          <w:b/>
          <w:color w:val="0B4F6C"/>
        </w:rPr>
        <w:t xml:space="preserve">7.8</w:t>
        <w:tab/>
      </w:r>
      <w:r>
        <w:t xml:space="preserve">Managers ensure that their staff know and apply security policies, request and review access for their teams, and report changes in roles without delay.</w:t>
      </w:r>
      <w:bookmarkEnd w:id="31"/>
    </w:p>
    <w:p>
      <w:pPr>
        <w:tabs>
          <w:tab w:val="left" w:pos="680"/>
        </w:tabs>
        <w:ind w:left="680" w:hanging="680"/>
      </w:pPr>
      <w:bookmarkStart w:id="32" w:name="_crgs_POL_001_10"/>
      <w:r>
        <w:rPr>
          <w:b/>
          <w:color w:val="0B4F6C"/>
        </w:rPr>
        <w:t xml:space="preserve">7.9</w:t>
        <w:tab/>
      </w:r>
      <w:r>
        <w:t xml:space="preserve">Human resources integrates security into hiring, onboarding, role changes and departures, and applies disciplinary processes.</w:t>
      </w:r>
      <w:bookmarkEnd w:id="32"/>
    </w:p>
    <w:p>
      <w:pPr>
        <w:tabs>
          <w:tab w:val="left" w:pos="680"/>
        </w:tabs>
        <w:ind w:left="680" w:hanging="680"/>
      </w:pPr>
      <w:bookmarkStart w:id="33" w:name="_crgs_POL_001_11"/>
      <w:r>
        <w:rPr>
          <w:b/>
          <w:color w:val="0B4F6C"/>
        </w:rPr>
        <w:t xml:space="preserve">7.10</w:t>
        <w:tab/>
      </w:r>
      <w:r>
        <w:t xml:space="preserve">Every user protects the information and systems entrusted to them, follows applicable policies, and reports suspected incidents and weaknesses.</w:t>
      </w:r>
      <w:bookmarkEnd w:id="33"/>
    </w:p>
    <w:p>
      <w:pPr>
        <w:pStyle w:val="Heading1"/>
      </w:pPr>
      <w:r>
        <w:t xml:space="preserve">8. Risk management</w:t>
      </w:r>
    </w:p>
    <w:p>
      <w:bookmarkStart w:id="34" w:name="_crgt_C6_1"/>
      <w:r>
        <w:t xml:space="preserve">Detailed rules for risk assessment, acceptance and exceptions are set in the </w:t>
      </w:r>
      <w:r>
        <w:rPr>
          <w:b/>
          <w:highlight w:val="yellow"/>
        </w:rPr>
        <w:t xml:space="preserve">[DECISION: document that sets detailed risk and exception rules]</w:t>
      </w:r>
      <w:r>
        <w:t xml:space="preserve">.</w:t>
      </w:r>
      <w:bookmarkEnd w:id="34"/>
    </w:p>
    <w:p>
      <w:pPr>
        <w:tabs>
          <w:tab w:val="left" w:pos="680"/>
        </w:tabs>
        <w:ind w:left="680" w:hanging="680"/>
      </w:pPr>
      <w:bookmarkStart w:id="35" w:name="_crgs_POL_001_12"/>
      <w:r>
        <w:rPr>
          <w:b/>
          <w:color w:val="0B4F6C"/>
        </w:rPr>
        <w:t xml:space="preserve">8.1</w:t>
        <w:tab/>
      </w:r>
      <w:r>
        <w:t xml:space="preserve">Northstar identifies, assesses and treats cybersecurity risks to its critical services and information as part of its enterprise risk management, using scenarios that describe the threat, the weakness, the asset and the consequences.</w:t>
      </w:r>
      <w:bookmarkEnd w:id="35"/>
    </w:p>
    <w:p>
      <w:pPr>
        <w:tabs>
          <w:tab w:val="left" w:pos="680"/>
        </w:tabs>
        <w:ind w:left="680" w:hanging="680"/>
      </w:pPr>
      <w:bookmarkStart w:id="36" w:name="_crgs_POL_001_13"/>
      <w:r>
        <w:rPr>
          <w:b/>
          <w:color w:val="0B4F6C"/>
        </w:rPr>
        <w:t xml:space="preserve">8.2</w:t>
        <w:tab/>
      </w:r>
      <w:r>
        <w:t xml:space="preserve">Risks are accepted only by the business owner of the affected service or information, within the limits of the approved risk appetite; residual risks above that appetite are escalated to </w:t>
      </w:r>
      <w:r>
        <w:rPr>
          <w:b/>
          <w:highlight w:val="yellow"/>
        </w:rPr>
        <w:t xml:space="preserve">[DECISION: security governance committee or body]</w:t>
      </w:r>
      <w:r>
        <w:t xml:space="preserve">.</w:t>
      </w:r>
      <w:bookmarkEnd w:id="36"/>
    </w:p>
    <w:p>
      <w:pPr>
        <w:tabs>
          <w:tab w:val="left" w:pos="680"/>
        </w:tabs>
        <w:ind w:left="680" w:hanging="680"/>
      </w:pPr>
      <w:bookmarkStart w:id="37" w:name="_crgs_POL_001_14"/>
      <w:r>
        <w:rPr>
          <w:b/>
          <w:color w:val="0B4F6C"/>
        </w:rPr>
        <w:t xml:space="preserve">8.3</w:t>
        <w:tab/>
      </w:r>
      <w:r>
        <w:rPr>
          <w:b/>
          <w:highlight w:val="yellow"/>
        </w:rPr>
        <w:t xml:space="preserve">[DECISION: State the approved cybersecurity risk appetite or schedule its approval.]</w:t>
      </w:r>
      <w:bookmarkEnd w:id="37"/>
    </w:p>
    <w:p>
      <w:pPr>
        <w:pStyle w:val="Heading1"/>
      </w:pPr>
      <w:r>
        <w:t xml:space="preserve">9. Information classification</w:t>
      </w:r>
    </w:p>
    <w:p>
      <w:pPr>
        <w:tabs>
          <w:tab w:val="left" w:pos="680"/>
        </w:tabs>
        <w:ind w:left="680" w:hanging="680"/>
      </w:pPr>
      <w:bookmarkStart w:id="38" w:name="_crgs_POL_001_15"/>
      <w:r>
        <w:rPr>
          <w:b/>
          <w:color w:val="0B4F6C"/>
        </w:rPr>
        <w:t xml:space="preserve">9.1</w:t>
        <w:tab/>
      </w:r>
      <w:r>
        <w:t xml:space="preserve">Information is classified by its owner according to a single scheme used throughout Northstar: Public, Internal, Confidential and Restricted. Each level sets minimum requirements for access, storage, transmission, sharing, retention and disposal.</w:t>
      </w:r>
      <w:bookmarkEnd w:id="38"/>
    </w:p>
    <w:p>
      <w:pPr>
        <w:tabs>
          <w:tab w:val="left" w:pos="680"/>
        </w:tabs>
        <w:ind w:left="680" w:hanging="680"/>
      </w:pPr>
      <w:bookmarkStart w:id="39" w:name="_crgs_POL_001_16"/>
      <w:r>
        <w:rPr>
          <w:b/>
          <w:color w:val="0B4F6C"/>
        </w:rPr>
        <w:t xml:space="preserve">9.2</w:t>
        <w:tab/>
      </w:r>
      <w:r>
        <w:t xml:space="preserve">Classification considers confidentiality, integrity and availability, and the sensitivity created by combining information.</w:t>
      </w:r>
      <w:bookmarkEnd w:id="39"/>
    </w:p>
    <w:p>
      <w:pPr>
        <w:pStyle w:val="Heading1"/>
      </w:pPr>
      <w:r>
        <w:t xml:space="preserve">10. Policy framework</w:t>
      </w:r>
    </w:p>
    <w:p>
      <w:bookmarkStart w:id="40" w:name="_crgt_C8_1"/>
      <w:r>
        <w:t xml:space="preserve">The following topic-specific policies are issued under this policy: NOR-POL-AUP-001 — Acceptable Use Policy; NOR-POL-IAM-001 — Identity and Access Management Policy; NOR-POL-ICH-001 — Information Classification and Handling Policy; NOR-POL-IRP-001 — Security Incident Management Policy; NOR-STD-AUTH-001 — Authentication and Password Standard; NOR-PRC-IR-001 — Security Incident Response Procedure.</w:t>
      </w:r>
      <w:bookmarkEnd w:id="40"/>
    </w:p>
    <w:p>
      <w:pPr>
        <w:tabs>
          <w:tab w:val="left" w:pos="680"/>
        </w:tabs>
        <w:ind w:left="680" w:hanging="680"/>
      </w:pPr>
      <w:bookmarkStart w:id="41" w:name="_crgs_POL_001_17"/>
      <w:r>
        <w:rPr>
          <w:b/>
          <w:color w:val="0B4F6C"/>
        </w:rPr>
        <w:t xml:space="preserve">10.1</w:t>
        <w:tab/>
      </w:r>
      <w:r>
        <w:t xml:space="preserve">This policy is the highest-level information security document of Northstar. It is supported by topic-specific policies, standards, procedures and guidelines, each of which must be consistent with it and refer to it.</w:t>
      </w:r>
      <w:bookmarkEnd w:id="41"/>
    </w:p>
    <w:p>
      <w:pPr>
        <w:tabs>
          <w:tab w:val="left" w:pos="680"/>
        </w:tabs>
        <w:ind w:left="680" w:hanging="680"/>
      </w:pPr>
      <w:bookmarkStart w:id="42" w:name="_crgs_POL_001_18"/>
      <w:r>
        <w:rPr>
          <w:b/>
          <w:color w:val="0B4F6C"/>
        </w:rPr>
        <w:t xml:space="preserve">10.2</w:t>
        <w:tab/>
      </w:r>
      <w:r>
        <w:t xml:space="preserve">Topic-specific policies are approved by </w:t>
      </w:r>
      <w:r>
        <w:rPr>
          <w:b/>
          <w:highlight w:val="yellow"/>
        </w:rPr>
        <w:t xml:space="preserve">[DECISION: authority that approves topic-specific policies]</w:t>
      </w:r>
      <w:r>
        <w:t xml:space="preserve">; standards by the IT Manager; procedures by the responsible process owner.</w:t>
      </w:r>
      <w:bookmarkEnd w:id="42"/>
    </w:p>
    <w:p>
      <w:pPr>
        <w:pStyle w:val="Heading1"/>
      </w:pPr>
      <w:r>
        <w:t xml:space="preserve">11. People and awareness</w:t>
      </w:r>
    </w:p>
    <w:p>
      <w:pPr>
        <w:tabs>
          <w:tab w:val="left" w:pos="680"/>
        </w:tabs>
        <w:ind w:left="680" w:hanging="680"/>
      </w:pPr>
      <w:bookmarkStart w:id="43" w:name="_crgs_POL_001_19"/>
      <w:r>
        <w:rPr>
          <w:b/>
          <w:color w:val="0B4F6C"/>
        </w:rPr>
        <w:t xml:space="preserve">11.1</w:t>
        <w:tab/>
      </w:r>
      <w:r>
        <w:t xml:space="preserve">All personnel receive security awareness training when they join and at least annually, and role-based training where their duties require it.</w:t>
      </w:r>
      <w:bookmarkEnd w:id="43"/>
    </w:p>
    <w:p>
      <w:pPr>
        <w:tabs>
          <w:tab w:val="left" w:pos="680"/>
        </w:tabs>
        <w:ind w:left="680" w:hanging="680"/>
      </w:pPr>
      <w:bookmarkStart w:id="44" w:name="_crgs_POL_001_20"/>
      <w:r>
        <w:rPr>
          <w:b/>
          <w:color w:val="0B4F6C"/>
        </w:rPr>
        <w:t xml:space="preserve">11.2</w:t>
        <w:tab/>
      </w:r>
      <w:r>
        <w:t xml:space="preserve">Personnel acknowledge the acceptable use rules before receiving access and when they materially change.</w:t>
      </w:r>
      <w:bookmarkEnd w:id="44"/>
    </w:p>
    <w:p>
      <w:pPr>
        <w:pStyle w:val="Heading1"/>
      </w:pPr>
      <w:r>
        <w:t xml:space="preserve">12. Incident reporting</w:t>
      </w:r>
    </w:p>
    <w:p>
      <w:bookmarkStart w:id="45" w:name="_crgt_C10_1"/>
      <w:r>
        <w:t xml:space="preserve">Incidents are managed according to the incident management policy, which defines who leads the technical response, who leads the business response, and who decides on notifications.</w:t>
      </w:r>
      <w:bookmarkEnd w:id="45"/>
    </w:p>
    <w:p>
      <w:pPr>
        <w:tabs>
          <w:tab w:val="left" w:pos="680"/>
        </w:tabs>
        <w:ind w:left="680" w:hanging="680"/>
      </w:pPr>
      <w:bookmarkStart w:id="46" w:name="_crgs_POL_001_21"/>
      <w:r>
        <w:rPr>
          <w:b/>
          <w:color w:val="0B4F6C"/>
        </w:rPr>
        <w:t xml:space="preserve">12.1</w:t>
        <w:tab/>
      </w:r>
      <w:r>
        <w:t xml:space="preserve">Any person who observes or suspects a security incident or weakness must report it without delay through the channels set by the IT Manager. No one may investigate or test a suspected weakness on their own.</w:t>
      </w:r>
      <w:bookmarkEnd w:id="46"/>
    </w:p>
    <w:p>
      <w:pPr>
        <w:pStyle w:val="Heading1"/>
      </w:pPr>
      <w:r>
        <w:t xml:space="preserve">13. Monitoring</w:t>
      </w:r>
    </w:p>
    <w:p>
      <w:pPr>
        <w:tabs>
          <w:tab w:val="left" w:pos="680"/>
        </w:tabs>
        <w:ind w:left="680" w:hanging="680"/>
      </w:pPr>
      <w:bookmarkStart w:id="47" w:name="_crgs_POL_001_22"/>
      <w:r>
        <w:rPr>
          <w:b/>
          <w:color w:val="0B4F6C"/>
        </w:rPr>
        <w:t xml:space="preserve">13.1</w:t>
        <w:tab/>
      </w:r>
      <w:r>
        <w:rPr>
          <w:b/>
          <w:highlight w:val="yellow"/>
        </w:rPr>
        <w:t xml:space="preserve">[DECISION: State whether and how Northstar monitors the use of its systems (legal review required).]</w:t>
      </w:r>
      <w:bookmarkEnd w:id="47"/>
    </w:p>
    <w:p>
      <w:pPr>
        <w:pStyle w:val="Heading1"/>
      </w:pPr>
      <w:r>
        <w:t xml:space="preserve">14. Exceptions</w:t>
      </w:r>
    </w:p>
    <w:p>
      <w:pPr>
        <w:tabs>
          <w:tab w:val="left" w:pos="680"/>
        </w:tabs>
        <w:ind w:left="680" w:hanging="680"/>
      </w:pPr>
      <w:bookmarkStart w:id="48" w:name="_crgs_POL_001_23"/>
      <w:r>
        <w:rPr>
          <w:b/>
          <w:color w:val="0B4F6C"/>
        </w:rPr>
        <w:t xml:space="preserve">14.1</w:t>
        <w:tab/>
      </w:r>
      <w:r>
        <w:t xml:space="preserve">Exceptions to any security policy or standard must be requested in writing, risk-assessed, approved by the accountable risk owner, limited in time, recorded in the exception register and reviewed before expiry.</w:t>
      </w:r>
      <w:bookmarkEnd w:id="48"/>
    </w:p>
    <w:p>
      <w:pPr>
        <w:tabs>
          <w:tab w:val="left" w:pos="680"/>
        </w:tabs>
        <w:ind w:left="680" w:hanging="680"/>
      </w:pPr>
      <w:bookmarkStart w:id="49" w:name="_crgs_POL_001_24"/>
      <w:r>
        <w:rPr>
          <w:b/>
          <w:color w:val="0B4F6C"/>
        </w:rPr>
        <w:t xml:space="preserve">14.2</w:t>
        <w:tab/>
      </w:r>
      <w:r>
        <w:t xml:space="preserve">An exception that would leave unacceptable residual risk, or that would set aside a legal obligation, must not be approved.</w:t>
      </w:r>
      <w:bookmarkEnd w:id="49"/>
    </w:p>
    <w:p>
      <w:pPr>
        <w:pStyle w:val="Heading1"/>
      </w:pPr>
      <w:r>
        <w:t xml:space="preserve">15. Compliance, audit and measurement</w:t>
      </w:r>
    </w:p>
    <w:p>
      <w:pPr>
        <w:tabs>
          <w:tab w:val="left" w:pos="680"/>
        </w:tabs>
        <w:ind w:left="680" w:hanging="680"/>
      </w:pPr>
      <w:bookmarkStart w:id="50" w:name="_crgs_POL_001_25"/>
      <w:r>
        <w:rPr>
          <w:b/>
          <w:color w:val="0B4F6C"/>
        </w:rPr>
        <w:t xml:space="preserve">15.1</w:t>
        <w:tab/>
      </w:r>
      <w:r>
        <w:t xml:space="preserve">The IT Manager reports at least annually to </w:t>
      </w:r>
      <w:r>
        <w:rPr>
          <w:b/>
          <w:highlight w:val="yellow"/>
        </w:rPr>
        <w:t xml:space="preserve">[DECISION: security governance committee or body]</w:t>
      </w:r>
      <w:r>
        <w:t xml:space="preserve"> on the state of information security, using key risk indicators with defined owners, targets and escalation thresholds.</w:t>
      </w:r>
      <w:bookmarkEnd w:id="50"/>
    </w:p>
    <w:p>
      <w:pPr>
        <w:tabs>
          <w:tab w:val="left" w:pos="680"/>
        </w:tabs>
        <w:ind w:left="680" w:hanging="680"/>
      </w:pPr>
      <w:bookmarkStart w:id="51" w:name="_crgs_POL_001_26"/>
      <w:r>
        <w:rPr>
          <w:b/>
          <w:color w:val="0B4F6C"/>
        </w:rPr>
        <w:t xml:space="preserve">15.2</w:t>
        <w:tab/>
      </w:r>
      <w:r>
        <w:t xml:space="preserve">Compliance with this policy may be verified by self-assessment, internal or external audit, and technical testing.</w:t>
      </w:r>
      <w:bookmarkEnd w:id="51"/>
    </w:p>
    <w:p>
      <w:pPr>
        <w:pStyle w:val="Heading1"/>
      </w:pPr>
      <w:r>
        <w:t xml:space="preserve">16. Non-compliance</w:t>
      </w:r>
    </w:p>
    <w:p>
      <w:pPr>
        <w:tabs>
          <w:tab w:val="left" w:pos="680"/>
        </w:tabs>
        <w:ind w:left="680" w:hanging="680"/>
      </w:pPr>
      <w:bookmarkStart w:id="52" w:name="_crgs_POL_001_27"/>
      <w:r>
        <w:rPr>
          <w:b/>
          <w:color w:val="0B4F6C"/>
        </w:rPr>
        <w:t xml:space="preserve">16.1</w:t>
        <w:tab/>
      </w:r>
      <w:r>
        <w:t xml:space="preserve">Failure to comply with this policy or its subordinate documents may result in the suspension of access rights and in administrative, disciplinary, contractual or legal measures proportionate to the seriousness and intent of the breach, in accordance with applicable law, employment rules and collective agreements.</w:t>
      </w:r>
      <w:bookmarkEnd w:id="52"/>
    </w:p>
    <w:p>
      <w:pPr>
        <w:pStyle w:val="Heading1"/>
      </w:pPr>
      <w:r>
        <w:t xml:space="preserve">17. Review and entry into force</w:t>
      </w:r>
    </w:p>
    <w:p>
      <w:bookmarkStart w:id="53" w:name="_crgt_C15_1"/>
      <w:r>
        <w:t xml:space="preserve">This policy comes into force on the date of its approval by </w:t>
      </w:r>
      <w:r>
        <w:rPr>
          <w:b/>
          <w:highlight w:val="yellow"/>
        </w:rPr>
        <w:t xml:space="preserve">[APPROVER: authority that approves the enterprise policy]</w:t>
      </w:r>
      <w:r>
        <w:t xml:space="preserve">.</w:t>
      </w:r>
      <w:bookmarkEnd w:id="53"/>
    </w:p>
    <w:p>
      <w:pPr>
        <w:tabs>
          <w:tab w:val="left" w:pos="680"/>
        </w:tabs>
        <w:ind w:left="680" w:hanging="680"/>
      </w:pPr>
      <w:bookmarkStart w:id="54" w:name="_crgs_POL_001_28"/>
      <w:r>
        <w:rPr>
          <w:b/>
          <w:color w:val="0B4F6C"/>
        </w:rPr>
        <w:t xml:space="preserve">17.1</w:t>
        <w:tab/>
      </w:r>
      <w:r>
        <w:t xml:space="preserve">The IT Manager maintains this policy. It is reviewed </w:t>
      </w:r>
      <w:r>
        <w:rPr>
          <w:b/>
          <w:highlight w:val="yellow"/>
        </w:rPr>
        <w:t xml:space="preserve">[DECISION: policy review cycle]</w:t>
      </w:r>
      <w:r>
        <w:t xml:space="preserve"> and whenever a significant change occurs — a new legal requirement, a major incident, an acquisition, a significant technology change or a new use of artificial intelligence.</w:t>
      </w:r>
      <w:bookmarkEnd w:id="54"/>
    </w:p>
    <w:p>
      <w:r>
        <w:br w:type="page"/>
      </w:r>
    </w:p>
    <w:p>
      <w:pPr>
        <w:pStyle w:val="Heading1"/>
      </w:pPr>
      <w:r>
        <w:t xml:space="preserve">Appendix A — Open decisions</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510"/>
        <w:gridCol w:w="2041"/>
        <w:gridCol w:w="1474"/>
        <w:gridCol w:w="5329"/>
      </w:tblGrid>
      <w:tr>
        <w:trPr>
          <w:tblHeader/>
          <w:cantSplit/>
        </w:trPr>
        <w:tc>
          <w:tcPr>
            <w:tcW w:w="510" w:type="dxa"/>
            <w:shd w:val="clear" w:color="auto" w:fill="0B4F6C"/>
          </w:tcPr>
          <w:p>
            <w:pPr>
              <w:spacing w:after="0"/>
            </w:pPr>
            <w:r>
              <w:rPr>
                <w:b/>
                <w:color w:val="FFFFFF"/>
                <w:sz w:val="17"/>
                <w:szCs w:val="17"/>
              </w:rPr>
              <w:t xml:space="preserve">#</w:t>
            </w:r>
          </w:p>
        </w:tc>
        <w:tc>
          <w:tcPr>
            <w:tcW w:w="2041" w:type="dxa"/>
            <w:shd w:val="clear" w:color="auto" w:fill="0B4F6C"/>
          </w:tcPr>
          <w:p>
            <w:pPr>
              <w:spacing w:after="0"/>
            </w:pPr>
            <w:r>
              <w:rPr>
                <w:b/>
                <w:color w:val="FFFFFF"/>
                <w:sz w:val="17"/>
                <w:szCs w:val="17"/>
              </w:rPr>
              <w:t xml:space="preserve">Where</w:t>
            </w:r>
          </w:p>
        </w:tc>
        <w:tc>
          <w:tcPr>
            <w:tcW w:w="1474" w:type="dxa"/>
            <w:shd w:val="clear" w:color="auto" w:fill="0B4F6C"/>
          </w:tcPr>
          <w:p>
            <w:pPr>
              <w:spacing w:after="0"/>
            </w:pPr>
            <w:r>
              <w:rPr>
                <w:b/>
                <w:color w:val="FFFFFF"/>
                <w:sz w:val="17"/>
                <w:szCs w:val="17"/>
              </w:rPr>
              <w:t xml:space="preserve">Type</w:t>
            </w:r>
          </w:p>
        </w:tc>
        <w:tc>
          <w:tcPr>
            <w:tcW w:w="5329" w:type="dxa"/>
            <w:shd w:val="clear" w:color="auto" w:fill="0B4F6C"/>
          </w:tcPr>
          <w:p>
            <w:pPr>
              <w:spacing w:after="0"/>
            </w:pPr>
            <w:r>
              <w:rPr>
                <w:b/>
                <w:color w:val="FFFFFF"/>
                <w:sz w:val="17"/>
                <w:szCs w:val="17"/>
              </w:rPr>
              <w:t xml:space="preserve">Decision or information needed</w:t>
            </w:r>
          </w:p>
        </w:tc>
      </w:tr>
      <w:tr>
        <w:trPr>
          <w:cantSplit/>
        </w:trPr>
        <w:tc>
          <w:tcPr>
            <w:tcW w:w="510" w:type="dxa"/>
          </w:tcPr>
          <w:p>
            <w:pPr>
              <w:spacing w:after="0"/>
            </w:pPr>
            <w:r>
              <w:rPr>
                <w:sz w:val="17"/>
                <w:szCs w:val="17"/>
              </w:rPr>
              <w:t xml:space="preserve">1</w:t>
            </w:r>
          </w:p>
        </w:tc>
        <w:tc>
          <w:tcPr>
            <w:tcW w:w="2041" w:type="dxa"/>
          </w:tcPr>
          <w:p>
            <w:pPr>
              <w:spacing w:after="0"/>
            </w:pPr>
            <w:r>
              <w:rPr>
                <w:sz w:val="17"/>
                <w:szCs w:val="17"/>
              </w:rPr>
              <w:t xml:space="preserve">7.1 (POL-001.2)</w:t>
            </w:r>
          </w:p>
        </w:tc>
        <w:tc>
          <w:tcPr>
            <w:tcW w:w="1474" w:type="dxa"/>
          </w:tcPr>
          <w:p>
            <w:pPr>
              <w:spacing w:after="0"/>
            </w:pPr>
            <w:r>
              <w:rPr>
                <w:sz w:val="17"/>
                <w:szCs w:val="17"/>
              </w:rPr>
              <w:t xml:space="preserve">APPROVER</w:t>
            </w:r>
          </w:p>
        </w:tc>
        <w:tc>
          <w:tcPr>
            <w:tcW w:w="5329" w:type="dxa"/>
          </w:tcPr>
          <w:p>
            <w:pPr>
              <w:spacing w:after="0"/>
            </w:pPr>
            <w:r>
              <w:rPr>
                <w:sz w:val="17"/>
                <w:szCs w:val="17"/>
              </w:rPr>
              <w:t xml:space="preserve">authority that approves the enterprise policy</w:t>
            </w:r>
          </w:p>
        </w:tc>
      </w:tr>
      <w:tr>
        <w:trPr>
          <w:cantSplit/>
        </w:trPr>
        <w:tc>
          <w:tcPr>
            <w:tcW w:w="510" w:type="dxa"/>
          </w:tcPr>
          <w:p>
            <w:pPr>
              <w:spacing w:after="0"/>
            </w:pPr>
            <w:r>
              <w:rPr>
                <w:sz w:val="17"/>
                <w:szCs w:val="17"/>
              </w:rPr>
              <w:t xml:space="preserve">2</w:t>
            </w:r>
          </w:p>
        </w:tc>
        <w:tc>
          <w:tcPr>
            <w:tcW w:w="2041" w:type="dxa"/>
          </w:tcPr>
          <w:p>
            <w:pPr>
              <w:spacing w:after="0"/>
            </w:pPr>
            <w:r>
              <w:rPr>
                <w:sz w:val="17"/>
                <w:szCs w:val="17"/>
              </w:rPr>
              <w:t xml:space="preserve">7.3 (POL-001.4)</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Name the body that coordinates the security programme and reviews significant risks, exceptions and incidents.</w:t>
            </w:r>
          </w:p>
        </w:tc>
      </w:tr>
      <w:tr>
        <w:trPr>
          <w:cantSplit/>
        </w:trPr>
        <w:tc>
          <w:tcPr>
            <w:tcW w:w="510" w:type="dxa"/>
          </w:tcPr>
          <w:p>
            <w:pPr>
              <w:spacing w:after="0"/>
            </w:pPr>
            <w:r>
              <w:rPr>
                <w:sz w:val="17"/>
                <w:szCs w:val="17"/>
              </w:rPr>
              <w:t xml:space="preserve">3</w:t>
            </w:r>
          </w:p>
        </w:tc>
        <w:tc>
          <w:tcPr>
            <w:tcW w:w="2041" w:type="dxa"/>
          </w:tcPr>
          <w:p>
            <w:pPr>
              <w:spacing w:after="0"/>
            </w:pPr>
            <w:r>
              <w:rPr>
                <w:sz w:val="17"/>
                <w:szCs w:val="17"/>
              </w:rPr>
              <w:t xml:space="preserve">7.5 (POL-001.6)</w:t>
            </w:r>
          </w:p>
        </w:tc>
        <w:tc>
          <w:tcPr>
            <w:tcW w:w="1474" w:type="dxa"/>
          </w:tcPr>
          <w:p>
            <w:pPr>
              <w:spacing w:after="0"/>
            </w:pPr>
            <w:r>
              <w:rPr>
                <w:sz w:val="17"/>
                <w:szCs w:val="17"/>
              </w:rPr>
              <w:t xml:space="preserve">ROLE</w:t>
            </w:r>
          </w:p>
        </w:tc>
        <w:tc>
          <w:tcPr>
            <w:tcW w:w="5329" w:type="dxa"/>
          </w:tcPr>
          <w:p>
            <w:pPr>
              <w:spacing w:after="0"/>
            </w:pPr>
            <w:r>
              <w:rPr>
                <w:sz w:val="17"/>
                <w:szCs w:val="17"/>
              </w:rPr>
              <w:t xml:space="preserve">person in charge of the protection of personal information</w:t>
            </w:r>
          </w:p>
        </w:tc>
      </w:tr>
      <w:tr>
        <w:trPr>
          <w:cantSplit/>
        </w:trPr>
        <w:tc>
          <w:tcPr>
            <w:tcW w:w="510" w:type="dxa"/>
          </w:tcPr>
          <w:p>
            <w:pPr>
              <w:spacing w:after="0"/>
            </w:pPr>
            <w:r>
              <w:rPr>
                <w:sz w:val="17"/>
                <w:szCs w:val="17"/>
              </w:rPr>
              <w:t xml:space="preserve">4</w:t>
            </w:r>
          </w:p>
        </w:tc>
        <w:tc>
          <w:tcPr>
            <w:tcW w:w="2041" w:type="dxa"/>
          </w:tcPr>
          <w:p>
            <w:pPr>
              <w:spacing w:after="0"/>
            </w:pPr>
            <w:r>
              <w:rPr>
                <w:sz w:val="17"/>
                <w:szCs w:val="17"/>
              </w:rPr>
              <w:t xml:space="preserve">8</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document that sets detailed risk and exception rules</w:t>
            </w:r>
          </w:p>
        </w:tc>
      </w:tr>
      <w:tr>
        <w:trPr>
          <w:cantSplit/>
        </w:trPr>
        <w:tc>
          <w:tcPr>
            <w:tcW w:w="510" w:type="dxa"/>
          </w:tcPr>
          <w:p>
            <w:pPr>
              <w:spacing w:after="0"/>
            </w:pPr>
            <w:r>
              <w:rPr>
                <w:sz w:val="17"/>
                <w:szCs w:val="17"/>
              </w:rPr>
              <w:t xml:space="preserve">5</w:t>
            </w:r>
          </w:p>
        </w:tc>
        <w:tc>
          <w:tcPr>
            <w:tcW w:w="2041" w:type="dxa"/>
          </w:tcPr>
          <w:p>
            <w:pPr>
              <w:spacing w:after="0"/>
            </w:pPr>
            <w:r>
              <w:rPr>
                <w:sz w:val="17"/>
                <w:szCs w:val="17"/>
              </w:rPr>
              <w:t xml:space="preserve">8.2 (POL-001.13)</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security governance committee or body</w:t>
            </w:r>
          </w:p>
        </w:tc>
      </w:tr>
      <w:tr>
        <w:trPr>
          <w:cantSplit/>
        </w:trPr>
        <w:tc>
          <w:tcPr>
            <w:tcW w:w="510" w:type="dxa"/>
          </w:tcPr>
          <w:p>
            <w:pPr>
              <w:spacing w:after="0"/>
            </w:pPr>
            <w:r>
              <w:rPr>
                <w:sz w:val="17"/>
                <w:szCs w:val="17"/>
              </w:rPr>
              <w:t xml:space="preserve">6</w:t>
            </w:r>
          </w:p>
        </w:tc>
        <w:tc>
          <w:tcPr>
            <w:tcW w:w="2041" w:type="dxa"/>
          </w:tcPr>
          <w:p>
            <w:pPr>
              <w:spacing w:after="0"/>
            </w:pPr>
            <w:r>
              <w:rPr>
                <w:sz w:val="17"/>
                <w:szCs w:val="17"/>
              </w:rPr>
              <w:t xml:space="preserve">8.3 (POL-001.14)</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State the approved cybersecurity risk appetite or schedule its approval.</w:t>
            </w:r>
          </w:p>
        </w:tc>
      </w:tr>
      <w:tr>
        <w:trPr>
          <w:cantSplit/>
        </w:trPr>
        <w:tc>
          <w:tcPr>
            <w:tcW w:w="510" w:type="dxa"/>
          </w:tcPr>
          <w:p>
            <w:pPr>
              <w:spacing w:after="0"/>
            </w:pPr>
            <w:r>
              <w:rPr>
                <w:sz w:val="17"/>
                <w:szCs w:val="17"/>
              </w:rPr>
              <w:t xml:space="preserve">7</w:t>
            </w:r>
          </w:p>
        </w:tc>
        <w:tc>
          <w:tcPr>
            <w:tcW w:w="2041" w:type="dxa"/>
          </w:tcPr>
          <w:p>
            <w:pPr>
              <w:spacing w:after="0"/>
            </w:pPr>
            <w:r>
              <w:rPr>
                <w:sz w:val="17"/>
                <w:szCs w:val="17"/>
              </w:rPr>
              <w:t xml:space="preserve">10.2 (POL-001.18)</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authority that approves topic-specific policies</w:t>
            </w:r>
          </w:p>
        </w:tc>
      </w:tr>
      <w:tr>
        <w:trPr>
          <w:cantSplit/>
        </w:trPr>
        <w:tc>
          <w:tcPr>
            <w:tcW w:w="510" w:type="dxa"/>
          </w:tcPr>
          <w:p>
            <w:pPr>
              <w:spacing w:after="0"/>
            </w:pPr>
            <w:r>
              <w:rPr>
                <w:sz w:val="17"/>
                <w:szCs w:val="17"/>
              </w:rPr>
              <w:t xml:space="preserve">8</w:t>
            </w:r>
          </w:p>
        </w:tc>
        <w:tc>
          <w:tcPr>
            <w:tcW w:w="2041" w:type="dxa"/>
          </w:tcPr>
          <w:p>
            <w:pPr>
              <w:spacing w:after="0"/>
            </w:pPr>
            <w:r>
              <w:rPr>
                <w:sz w:val="17"/>
                <w:szCs w:val="17"/>
              </w:rPr>
              <w:t xml:space="preserve">13.1 (POL-001.22)</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State whether and how Northstar monitors the use of its systems (legal review required).</w:t>
            </w:r>
          </w:p>
        </w:tc>
      </w:tr>
      <w:tr>
        <w:trPr>
          <w:cantSplit/>
        </w:trPr>
        <w:tc>
          <w:tcPr>
            <w:tcW w:w="510" w:type="dxa"/>
          </w:tcPr>
          <w:p>
            <w:pPr>
              <w:spacing w:after="0"/>
            </w:pPr>
            <w:r>
              <w:rPr>
                <w:sz w:val="17"/>
                <w:szCs w:val="17"/>
              </w:rPr>
              <w:t xml:space="preserve">9</w:t>
            </w:r>
          </w:p>
        </w:tc>
        <w:tc>
          <w:tcPr>
            <w:tcW w:w="2041" w:type="dxa"/>
          </w:tcPr>
          <w:p>
            <w:pPr>
              <w:spacing w:after="0"/>
            </w:pPr>
            <w:r>
              <w:rPr>
                <w:sz w:val="17"/>
                <w:szCs w:val="17"/>
              </w:rPr>
              <w:t xml:space="preserve">15.1 (POL-001.25)</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security governance committee or body</w:t>
            </w:r>
          </w:p>
        </w:tc>
      </w:tr>
      <w:tr>
        <w:trPr>
          <w:cantSplit/>
        </w:trPr>
        <w:tc>
          <w:tcPr>
            <w:tcW w:w="510" w:type="dxa"/>
          </w:tcPr>
          <w:p>
            <w:pPr>
              <w:spacing w:after="0"/>
            </w:pPr>
            <w:r>
              <w:rPr>
                <w:sz w:val="17"/>
                <w:szCs w:val="17"/>
              </w:rPr>
              <w:t xml:space="preserve">10</w:t>
            </w:r>
          </w:p>
        </w:tc>
        <w:tc>
          <w:tcPr>
            <w:tcW w:w="2041" w:type="dxa"/>
          </w:tcPr>
          <w:p>
            <w:pPr>
              <w:spacing w:after="0"/>
            </w:pPr>
            <w:r>
              <w:rPr>
                <w:sz w:val="17"/>
                <w:szCs w:val="17"/>
              </w:rPr>
              <w:t xml:space="preserve">17</w:t>
            </w:r>
          </w:p>
        </w:tc>
        <w:tc>
          <w:tcPr>
            <w:tcW w:w="1474" w:type="dxa"/>
          </w:tcPr>
          <w:p>
            <w:pPr>
              <w:spacing w:after="0"/>
            </w:pPr>
            <w:r>
              <w:rPr>
                <w:sz w:val="17"/>
                <w:szCs w:val="17"/>
              </w:rPr>
              <w:t xml:space="preserve">APPROVER</w:t>
            </w:r>
          </w:p>
        </w:tc>
        <w:tc>
          <w:tcPr>
            <w:tcW w:w="5329" w:type="dxa"/>
          </w:tcPr>
          <w:p>
            <w:pPr>
              <w:spacing w:after="0"/>
            </w:pPr>
            <w:r>
              <w:rPr>
                <w:sz w:val="17"/>
                <w:szCs w:val="17"/>
              </w:rPr>
              <w:t xml:space="preserve">authority that approves the enterprise policy</w:t>
            </w:r>
          </w:p>
        </w:tc>
      </w:tr>
      <w:tr>
        <w:trPr>
          <w:cantSplit/>
        </w:trPr>
        <w:tc>
          <w:tcPr>
            <w:tcW w:w="510" w:type="dxa"/>
          </w:tcPr>
          <w:p>
            <w:pPr>
              <w:spacing w:after="0"/>
            </w:pPr>
            <w:r>
              <w:rPr>
                <w:sz w:val="17"/>
                <w:szCs w:val="17"/>
              </w:rPr>
              <w:t xml:space="preserve">11</w:t>
            </w:r>
          </w:p>
        </w:tc>
        <w:tc>
          <w:tcPr>
            <w:tcW w:w="2041" w:type="dxa"/>
          </w:tcPr>
          <w:p>
            <w:pPr>
              <w:spacing w:after="0"/>
            </w:pPr>
            <w:r>
              <w:rPr>
                <w:sz w:val="17"/>
                <w:szCs w:val="17"/>
              </w:rPr>
              <w:t xml:space="preserve">17.1 (POL-001.28)</w:t>
            </w:r>
          </w:p>
        </w:tc>
        <w:tc>
          <w:tcPr>
            <w:tcW w:w="1474" w:type="dxa"/>
          </w:tcPr>
          <w:p>
            <w:pPr>
              <w:spacing w:after="0"/>
            </w:pPr>
            <w:r>
              <w:rPr>
                <w:sz w:val="17"/>
                <w:szCs w:val="17"/>
              </w:rPr>
              <w:t xml:space="preserve">DECISION</w:t>
            </w:r>
          </w:p>
        </w:tc>
        <w:tc>
          <w:tcPr>
            <w:tcW w:w="5329" w:type="dxa"/>
          </w:tcPr>
          <w:p>
            <w:pPr>
              <w:spacing w:after="0"/>
            </w:pPr>
            <w:r>
              <w:rPr>
                <w:sz w:val="17"/>
                <w:szCs w:val="17"/>
              </w:rPr>
              <w:t xml:space="preserve">policy review cycle</w:t>
            </w:r>
          </w:p>
        </w:tc>
      </w:tr>
    </w:tbl>
    <w:p>
      <w:pPr>
        <w:spacing w:after="40"/>
      </w:pPr>
      <w:r/>
    </w:p>
    <w:p>
      <w:pPr>
        <w:pStyle w:val="Heading1"/>
      </w:pPr>
      <w:r>
        <w:t xml:space="preserve">Appendix B — Statements and traceability</w:t>
      </w:r>
    </w:p>
    <w:tbl>
      <w:tblPr>
        <w:tblW w:w="9355" w:type="dxa"/>
        <w:jc w:val="center"/>
        <w:tblBorders>
          <w:top w:val="single" w:sz="4" w:space="0" w:color="A6B4BF"/>
          <w:left w:val="single" w:sz="4" w:space="0" w:color="A6B4BF"/>
          <w:bottom w:val="single" w:sz="4" w:space="0" w:color="A6B4BF"/>
          <w:right w:val="single" w:sz="4" w:space="0" w:color="A6B4BF"/>
          <w:insideH w:val="single" w:sz="4" w:space="0" w:color="A6B4BF"/>
          <w:insideV w:val="single" w:sz="4" w:space="0" w:color="A6B4BF"/>
        </w:tblBorders>
        <w:tblLayout w:type="fixed"/>
        <w:tblCellMar>
          <w:left w:w="80" w:type="dxa"/>
          <w:right w:w="80" w:type="dxa"/>
        </w:tblCellMar>
      </w:tblPr>
      <w:tblGrid>
        <w:gridCol w:w="1871"/>
        <w:gridCol w:w="1077"/>
        <w:gridCol w:w="2041"/>
        <w:gridCol w:w="2381"/>
        <w:gridCol w:w="1984"/>
      </w:tblGrid>
      <w:tr>
        <w:trPr>
          <w:tblHeader/>
          <w:cantSplit/>
        </w:trPr>
        <w:tc>
          <w:tcPr>
            <w:tcW w:w="1871" w:type="dxa"/>
            <w:shd w:val="clear" w:color="auto" w:fill="0B4F6C"/>
          </w:tcPr>
          <w:p>
            <w:pPr>
              <w:spacing w:after="0"/>
            </w:pPr>
            <w:r>
              <w:rPr>
                <w:b/>
                <w:color w:val="FFFFFF"/>
                <w:sz w:val="16"/>
                <w:szCs w:val="16"/>
              </w:rPr>
              <w:t xml:space="preserve">Statement</w:t>
            </w:r>
          </w:p>
        </w:tc>
        <w:tc>
          <w:tcPr>
            <w:tcW w:w="1077" w:type="dxa"/>
            <w:shd w:val="clear" w:color="auto" w:fill="0B4F6C"/>
          </w:tcPr>
          <w:p>
            <w:pPr>
              <w:spacing w:after="0"/>
            </w:pPr>
            <w:r>
              <w:rPr>
                <w:b/>
                <w:color w:val="FFFFFF"/>
                <w:sz w:val="16"/>
                <w:szCs w:val="16"/>
              </w:rPr>
              <w:t xml:space="preserve">Modality</w:t>
            </w:r>
          </w:p>
        </w:tc>
        <w:tc>
          <w:tcPr>
            <w:tcW w:w="2041" w:type="dxa"/>
            <w:shd w:val="clear" w:color="auto" w:fill="0B4F6C"/>
          </w:tcPr>
          <w:p>
            <w:pPr>
              <w:spacing w:after="0"/>
            </w:pPr>
            <w:r>
              <w:rPr>
                <w:b/>
                <w:color w:val="FFFFFF"/>
                <w:sz w:val="16"/>
                <w:szCs w:val="16"/>
              </w:rPr>
              <w:t xml:space="preserve">Basis</w:t>
            </w:r>
          </w:p>
        </w:tc>
        <w:tc>
          <w:tcPr>
            <w:tcW w:w="2381" w:type="dxa"/>
            <w:shd w:val="clear" w:color="auto" w:fill="0B4F6C"/>
          </w:tcPr>
          <w:p>
            <w:pPr>
              <w:spacing w:after="0"/>
            </w:pPr>
            <w:r>
              <w:rPr>
                <w:b/>
                <w:color w:val="FFFFFF"/>
                <w:sz w:val="16"/>
                <w:szCs w:val="16"/>
              </w:rPr>
              <w:t xml:space="preserve">Controls (CRGO)</w:t>
            </w:r>
          </w:p>
        </w:tc>
        <w:tc>
          <w:tcPr>
            <w:tcW w:w="1984" w:type="dxa"/>
            <w:shd w:val="clear" w:color="auto" w:fill="0B4F6C"/>
          </w:tcPr>
          <w:p>
            <w:pPr>
              <w:spacing w:after="0"/>
            </w:pPr>
            <w:r>
              <w:rPr>
                <w:b/>
                <w:color w:val="FFFFFF"/>
                <w:sz w:val="16"/>
                <w:szCs w:val="16"/>
              </w:rPr>
              <w:t xml:space="preserve">Review</w:t>
            </w:r>
          </w:p>
        </w:tc>
      </w:tr>
      <w:tr>
        <w:trPr>
          <w:cantSplit/>
        </w:trPr>
        <w:tc>
          <w:tcPr>
            <w:tcW w:w="1871" w:type="dxa"/>
          </w:tcPr>
          <w:p>
            <w:pPr>
              <w:spacing w:after="0"/>
            </w:pPr>
            <w:r>
              <w:rPr>
                <w:sz w:val="16"/>
                <w:szCs w:val="16"/>
              </w:rPr>
              <w:t xml:space="preserve">5.1 · POL-001.1</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ISO22:5.31, CSF2:GV.OC</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7.1 · POL-001.2</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ISO27001:5.1, CSF2:GV.RR</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7.2 · POL-001.3</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CSF2:GV.RR</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7.3 · POL-001.4</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7.4 · POL-001.5</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ISO22:5.2</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7.5 · POL-001.6</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ISO22:5.34</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7.6 · POL-001.7</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ISO22:5.9, ISO22:5.12</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7.7 · POL-001.8</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7.8 · POL-001.9</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7.9 · POL-001.10</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ISO22:6.1, ISO22:6.5</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7.10 · POL-001.11</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ISO22:6.8</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8.1 · POL-001.12</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ISO27001:6.1, CSF2:GV.RM, CSF2:ID.RA</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8.2 · POL-001.13</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CSF2:GV.RM</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8.3 · POL-001.14</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9.1 · POL-001.15</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ISO22:5.12, CSF2:ID.AM</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9.2 · POL-001.16</w:t>
            </w:r>
          </w:p>
        </w:tc>
        <w:tc>
          <w:tcPr>
            <w:tcW w:w="1077" w:type="dxa"/>
          </w:tcPr>
          <w:p>
            <w:pPr>
              <w:spacing w:after="0"/>
            </w:pPr>
            <w:r>
              <w:rPr>
                <w:sz w:val="16"/>
                <w:szCs w:val="16"/>
              </w:rPr>
              <w:t xml:space="preserve">Should</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10.1 · POL-001.17</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 CSF2:GV.PO-01</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10.2 · POL-001.18</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11.1 · POL-001.19</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ISO22:6.3, CSF2:PR.AT</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11.2 · POL-001.20</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ISO22:5.10</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12.1 · POL-001.21</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ISO22:6.8, CSF2:RS.MA</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13.1 · POL-001.22</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14.1 · POL-001.23</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ISO22:5.36</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14.2 · POL-001.24</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15.1 · POL-001.25</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CSF2:GV.OV, ISO27001:9.1</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15.2 · POL-001.26</w:t>
            </w:r>
          </w:p>
        </w:tc>
        <w:tc>
          <w:tcPr>
            <w:tcW w:w="1077" w:type="dxa"/>
          </w:tcPr>
          <w:p>
            <w:pPr>
              <w:spacing w:after="0"/>
            </w:pPr>
            <w:r>
              <w:rPr>
                <w:sz w:val="16"/>
                <w:szCs w:val="16"/>
              </w:rPr>
              <w:t xml:space="preserve">May</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ISO22:5.35</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16.1 · POL-001.27</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ISO22:6.4</w:t>
            </w:r>
          </w:p>
        </w:tc>
        <w:tc>
          <w:tcPr>
            <w:tcW w:w="1984" w:type="dxa"/>
          </w:tcPr>
          <w:p>
            <w:pPr>
              <w:spacing w:after="0"/>
            </w:pPr>
            <w:r>
              <w:rPr>
                <w:sz w:val="16"/>
                <w:szCs w:val="16"/>
              </w:rPr>
              <w:t xml:space="preserve">—</w:t>
            </w:r>
          </w:p>
        </w:tc>
      </w:tr>
      <w:tr>
        <w:trPr>
          <w:cantSplit/>
        </w:trPr>
        <w:tc>
          <w:tcPr>
            <w:tcW w:w="1871" w:type="dxa"/>
          </w:tcPr>
          <w:p>
            <w:pPr>
              <w:spacing w:after="0"/>
            </w:pPr>
            <w:r>
              <w:rPr>
                <w:sz w:val="16"/>
                <w:szCs w:val="16"/>
              </w:rPr>
              <w:t xml:space="preserve">17.1 · POL-001.28</w:t>
            </w:r>
          </w:p>
        </w:tc>
        <w:tc>
          <w:tcPr>
            <w:tcW w:w="1077" w:type="dxa"/>
          </w:tcPr>
          <w:p>
            <w:pPr>
              <w:spacing w:after="0"/>
            </w:pPr>
            <w:r>
              <w:rPr>
                <w:sz w:val="16"/>
                <w:szCs w:val="16"/>
              </w:rPr>
              <w:t xml:space="preserve">Must</w:t>
            </w:r>
          </w:p>
        </w:tc>
        <w:tc>
          <w:tcPr>
            <w:tcW w:w="2041" w:type="dxa"/>
          </w:tcPr>
          <w:p>
            <w:pPr>
              <w:spacing w:after="0"/>
            </w:pPr>
            <w:r>
              <w:rPr>
                <w:sz w:val="16"/>
                <w:szCs w:val="16"/>
              </w:rPr>
              <w:t xml:space="preserve">Written in ISP management</w:t>
            </w:r>
          </w:p>
        </w:tc>
        <w:tc>
          <w:tcPr>
            <w:tcW w:w="2381" w:type="dxa"/>
          </w:tcPr>
          <w:p>
            <w:pPr>
              <w:spacing w:after="0"/>
            </w:pPr>
            <w:r>
              <w:rPr>
                <w:sz w:val="16"/>
                <w:szCs w:val="16"/>
              </w:rPr>
              <w:t xml:space="preserve">ISO22:5.1, CSF2:GV.PO-02</w:t>
            </w:r>
          </w:p>
        </w:tc>
        <w:tc>
          <w:tcPr>
            <w:tcW w:w="1984" w:type="dxa"/>
          </w:tcPr>
          <w:p>
            <w:pPr>
              <w:spacing w:after="0"/>
            </w:pPr>
            <w:r>
              <w:rPr>
                <w:sz w:val="16"/>
                <w:szCs w:val="16"/>
              </w:rPr>
              <w:t xml:space="preserve">—</w:t>
            </w:r>
          </w:p>
        </w:tc>
      </w:tr>
    </w:tbl>
    <w:p>
      <w:pPr>
        <w:spacing w:after="40"/>
      </w:pPr>
      <w:r/>
    </w:p>
    <w:p>
      <w:pPr>
        <w:pStyle w:val="Heading1"/>
      </w:pPr>
      <w:r>
        <w:t xml:space="preserve">Appendix C — Assumptions and implementation gaps</w:t>
      </w:r>
    </w:p>
    <w:p>
      <w:pPr>
        <w:pStyle w:val="Heading2"/>
      </w:pPr>
      <w:r>
        <w:t xml:space="preserve">Assumptions</w:t>
      </w:r>
    </w:p>
    <w:p>
      <w:pPr>
        <w:pStyle w:val="ListBullet"/>
      </w:pPr>
      <w:r>
        <w:t xml:space="preserve">No classification scheme was provided; the recommended four-level scheme (Public, Internal, Confidential, Restricted) is used and must be confirmed.</w:t>
      </w:r>
    </w:p>
    <w:sectPr>
      <w:headerReference w:type="default" r:id="rIdH"/>
      <w:footerReference w:type="default" r:id="rIdF"/>
      <w:pgSz w:w="12240" w:h="15840"/>
      <w:pgMar w:top="1247" w:right="1304" w:bottom="1134" w:left="1304" w:header="708" w:footer="708" w:gutter="0"/>
    </w:sectPr>
  </w:body>
</w:document>
</file>

<file path=word/footer1.xml><?xml version="1.0" encoding="utf-8"?>
<w:ftr xmlns:w="http://schemas.openxmlformats.org/wordprocessingml/2006/main">
  <w:p>
    <w:pPr>
      <w:tabs>
        <w:tab w:val="right" w:pos="9582"/>
      </w:tabs>
    </w:pPr>
    <w:r>
      <w:rPr>
        <w:color w:val="5F6B76"/>
        <w:sz w:val="17"/>
        <w:szCs w:val="17"/>
      </w:rPr>
      <w:t xml:space="preserve">Classification: Internal · Version 0.1</w:t>
      <w:tab/>
      <w:t xml:space="preserve">Page </w:t>
    </w:r>
    <w:r>
      <w:rPr>
        <w:color w:val="5F6B76"/>
        <w:sz w:val="17"/>
        <w:szCs w:val="17"/>
      </w:rPr>
      <w:fldChar w:fldCharType="begin"/>
    </w:r>
    <w:r>
      <w:rPr>
        <w:color w:val="5F6B76"/>
        <w:sz w:val="17"/>
        <w:szCs w:val="17"/>
      </w:rPr>
      <w:instrText xml:space="preserve"> PAGE </w:instrText>
    </w:r>
    <w:r>
      <w:rPr>
        <w:color w:val="5F6B76"/>
        <w:sz w:val="17"/>
        <w:szCs w:val="17"/>
      </w:rPr>
      <w:fldChar w:fldCharType="separate"/>
    </w:r>
    <w:r>
      <w:rPr>
        <w:color w:val="5F6B76"/>
        <w:sz w:val="17"/>
        <w:szCs w:val="17"/>
      </w:rPr>
      <w:t xml:space="preserve">1</w:t>
    </w:r>
    <w:r>
      <w:rPr>
        <w:color w:val="5F6B76"/>
        <w:sz w:val="17"/>
        <w:szCs w:val="17"/>
      </w:rPr>
      <w:fldChar w:fldCharType="end"/>
    </w:r>
    <w:r>
      <w:rPr>
        <w:color w:val="5F6B76"/>
        <w:sz w:val="17"/>
        <w:szCs w:val="17"/>
      </w:rPr>
      <w:t xml:space="preserve"> of </w:t>
    </w:r>
    <w:r>
      <w:rPr>
        <w:color w:val="5F6B76"/>
        <w:sz w:val="17"/>
        <w:szCs w:val="17"/>
      </w:rPr>
      <w:fldChar w:fldCharType="begin"/>
    </w:r>
    <w:r>
      <w:rPr>
        <w:color w:val="5F6B76"/>
        <w:sz w:val="17"/>
        <w:szCs w:val="17"/>
      </w:rPr>
      <w:instrText xml:space="preserve"> NUMPAGES </w:instrText>
    </w:r>
    <w:r>
      <w:rPr>
        <w:color w:val="5F6B76"/>
        <w:sz w:val="17"/>
        <w:szCs w:val="17"/>
      </w:rPr>
      <w:fldChar w:fldCharType="separate"/>
    </w:r>
    <w:r>
      <w:rPr>
        <w:color w:val="5F6B76"/>
        <w:sz w:val="17"/>
        <w:szCs w:val="17"/>
      </w:rPr>
      <w:t xml:space="preserve">1</w:t>
    </w:r>
    <w:r>
      <w:rPr>
        <w:color w:val="5F6B76"/>
        <w:sz w:val="17"/>
        <w:szCs w:val="17"/>
      </w:rPr>
      <w:fldChar w:fldCharType="end"/>
    </w:r>
  </w:p>
</w:ftr>
</file>

<file path=word/header1.xml><?xml version="1.0" encoding="utf-8"?>
<w:hdr xmlns:w="http://schemas.openxmlformats.org/wordprocessingml/2006/main">
  <w:p>
    <w:pPr>
      <w:tabs>
        <w:tab w:val="right" w:pos="9582"/>
      </w:tabs>
    </w:pPr>
    <w:r>
      <w:rPr>
        <w:color w:val="5F6B76"/>
        <w:sz w:val="17"/>
        <w:szCs w:val="17"/>
      </w:rPr>
      <w:t xml:space="preserve">Northstar Digital Services (fictional) — NOR-EISP-001</w:t>
    </w:r>
    <w:r>
      <w:tab/>
    </w:r>
    <w:r>
      <w:rPr>
        <w:b/>
        <w:color w:val="B42318"/>
        <w:sz w:val="17"/>
        <w:szCs w:val="17"/>
      </w:rPr>
      <w:t xml:space="preserve">DRAFT — NOT APPROVED</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num w:numId="1">
    <w:abstractNumId w:val="0"/>
  </w:num>
</w:numbering>
</file>

<file path=word/settings.xml><?xml version="1.0" encoding="utf-8"?>
<w:settings xmlns:w="http://schemas.openxmlformats.org/wordprocessingml/2006/main">
  <w:zoom w:percent="100"/>
  <w:updateFields w:val="true"/>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1"/>
        <w:szCs w:val="21"/>
        <w:lang w:val="en-CA"/>
      </w:rPr>
    </w:rPrDefault>
    <w:pPrDefault>
      <w:pPr>
        <w:spacing w:after="100" w:line="269" w:lineRule="auto"/>
      </w:pPr>
    </w:pPrDefault>
  </w:docDefaults>
  <w:style w:type="paragraph" w:default="1" w:styleId="Normal">
    <w:name w:val="Normal"/>
    <w:qFormat/>
    <w:rPr>
      <w:rFonts w:ascii="Calibri" w:hAnsi="Calibri" w:eastAsia="Calibri" w:cs="Calibri"/>
      <w:color w:val="1F2A37"/>
      <w:sz w:val="21"/>
    </w:rPr>
  </w:style>
  <w:style w:type="paragraph" w:styleId="Title">
    <w:name w:val="Title"/>
    <w:basedOn w:val="Normal"/>
    <w:next w:val="Normal"/>
    <w:uiPriority w:val="10"/>
    <w:qFormat/>
    <w:pPr>
      <w:keepNext/>
      <w:spacing w:before="0" w:after="120"/>
    </w:pPr>
    <w:rPr>
      <w:rFonts w:ascii="Calibri" w:hAnsi="Calibri" w:eastAsia="Calibri" w:cs="Calibri"/>
      <w:b/>
      <w:color w:val="1F2A37"/>
      <w:sz w:val="44"/>
    </w:rPr>
  </w:style>
  <w:style w:type="paragraph" w:styleId="Heading1">
    <w:name w:val="heading 1"/>
    <w:basedOn w:val="Normal"/>
    <w:next w:val="Normal"/>
    <w:uiPriority w:val="9"/>
    <w:qFormat/>
    <w:pPr>
      <w:keepNext/>
      <w:spacing w:before="320" w:after="120"/>
      <w:outlineLvl w:val="0"/>
    </w:pPr>
    <w:rPr>
      <w:rFonts w:ascii="Calibri" w:hAnsi="Calibri" w:eastAsia="Calibri" w:cs="Calibri"/>
      <w:b/>
      <w:color w:val="0B4F6C"/>
      <w:sz w:val="28"/>
    </w:rPr>
  </w:style>
  <w:style w:type="paragraph" w:styleId="Heading2">
    <w:name w:val="heading 2"/>
    <w:basedOn w:val="Normal"/>
    <w:next w:val="Normal"/>
    <w:uiPriority w:val="9"/>
    <w:qFormat/>
    <w:pPr>
      <w:keepNext/>
      <w:spacing w:before="200" w:after="120"/>
      <w:outlineLvl w:val="1"/>
    </w:pPr>
    <w:rPr>
      <w:rFonts w:ascii="Calibri" w:hAnsi="Calibri" w:eastAsia="Calibri" w:cs="Calibri"/>
      <w:b/>
      <w:color w:val="0B4F6C"/>
      <w:sz w:val="24"/>
    </w:rPr>
  </w:style>
  <w:style w:type="paragraph" w:styleId="ListBullet">
    <w:name w:val="List Bullet"/>
    <w:basedOn w:val="Normal"/>
    <w:pPr>
      <w:numPr>
        <w:ilvl w:val="0"/>
        <w:numId w:val="1"/>
      </w:numPr>
    </w:pPr>
  </w:style>
  <w:style w:type="paragraph" w:styleId="TOC1">
    <w:name w:val="toc 1"/>
    <w:basedOn w:val="Normal"/>
    <w:next w:val="Normal"/>
    <w:uiPriority w:val="39"/>
    <w:pPr>
      <w:spacing w:after="60"/>
    </w:pPr>
  </w:style>
  <w:style w:type="character" w:default="1" w:styleId="DefaultParagraphFont">
    <w:name w:val="Default Paragraph Font"/>
    <w:uiPriority w:val="1"/>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S" Type="http://schemas.openxmlformats.org/officeDocument/2006/relationships/styles" Target="styles.xml"/><Relationship Id="rIdT" Type="http://schemas.openxmlformats.org/officeDocument/2006/relationships/settings" Target="settings.xml"/><Relationship Id="rIdN" Type="http://schemas.openxmlformats.org/officeDocument/2006/relationships/numbering" Target="numbering.xml"/><Relationship Id="rIdH" Type="http://schemas.openxmlformats.org/officeDocument/2006/relationships/header" Target="header1.xml"/><Relationship Id="rIdF" Type="http://schemas.openxmlformats.org/officeDocument/2006/relationships/footer" Target="footer1.xml"/></Relationships>
</file>

<file path=docProps/app.xml><?xml version="1.0" encoding="utf-8"?>
<Properties xmlns="http://schemas.openxmlformats.org/officeDocument/2006/extended-properties">
  <Application>CyberRiskGuardian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Information Security Policy</dc:title>
  <dc:subject>NOR-EISP-001</dc:subject>
  <dc:creator>CyberRiskGuardian</dc:creator>
  <cp:keywords>isp=POL-001; writer=EISP; library=2026.10-2</cp:keywords>
  <dc:description>Draft produced with decision-support software (CyberRiskGuardian Security Policy Writer). It is not legal advice and is not in force until approved and published in ISP management by the authorized persons. Control references indicate the topics addr</dc:description>
  <dc:identifier>crg-isp|sample|POL-001|v0.1|en|draft|56c71d746c0e589d</dc:identifier>
  <dc:language>en-CA</dc:language>
  <cp:category>Information security policy — DRAFT</cp:category>
  <cp:version>0.1</cp:version>
  <cp:lastModifiedBy>CyberRiskGuardian</cp:lastModifiedBy>
  <dcterms:created xsi:type="dcterms:W3CDTF">2026-10-19T20:35:40Z</dcterms:created>
  <dcterms:modified xsi:type="dcterms:W3CDTF">2026-10-19T20:35:40Z</dcterms:modified>
</cp:coreProperties>
</file>