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Politique de sécurité de l’information de l’entreprise</w:t>
      </w:r>
    </w:p>
    <w:p>
      <w:r>
        <w:rPr>
          <w:color w:val="5F6B76"/>
          <w:sz w:val="22"/>
          <w:szCs w:val="22"/>
        </w:rPr>
        <w:t xml:space="preserve">Northstar Digital Services (fictional)  ·  NOR-EISP-001  ·  Politique</w:t>
      </w:r>
    </w:p>
    <w:tbl>
      <w:tblPr>
        <w:tblW w:w="9355" w:type="dxa"/>
        <w:jc w:val="center"/>
      </w:tblPr>
      <w:tblGrid>
        <w:gridCol w:w="9355"/>
      </w:tblGrid>
      <w:tr>
        <w:tc>
          <w:tcPr>
            <w:tcW w:w="9355" w:type="dxa"/>
            <w:shd w:val="clear" w:color="auto" w:fill="FBEAEA"/>
          </w:tcPr>
          <w:p>
            <w:pPr>
              <w:jc w:val="center"/>
              <w:spacing w:before="60" w:after="60"/>
            </w:pPr>
            <w:r>
              <w:rPr>
                <w:b/>
                <w:color w:val="B42318"/>
                <w:sz w:val="26"/>
                <w:szCs w:val="26"/>
              </w:rPr>
              <w:t xml:space="preserve">ÉBAUCHE — NON APPROUVÉE</w:t>
            </w:r>
          </w:p>
        </w:tc>
      </w:tr>
    </w:tbl>
    <w:p>
      <w:r/>
    </w:p>
    <w:p>
      <w:pPr>
        <w:pStyle w:val="Heading2"/>
      </w:pPr>
      <w:r>
        <w:t xml:space="preserve">Contrôle du document</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835"/>
        <w:gridCol w:w="6520"/>
      </w:tblGrid>
      <w:tr>
        <w:trPr>
          <w:cantSplit/>
        </w:trPr>
        <w:tc>
          <w:tcPr>
            <w:tcW w:w="2835" w:type="dxa"/>
            <w:shd w:val="clear" w:color="auto" w:fill="E8EEF2"/>
          </w:tcPr>
          <w:p>
            <w:pPr>
              <w:spacing w:after="0"/>
            </w:pPr>
            <w:r>
              <w:rPr>
                <w:b/>
                <w:sz w:val="18"/>
                <w:szCs w:val="18"/>
              </w:rPr>
              <w:t xml:space="preserve">Numéro du document</w:t>
            </w:r>
          </w:p>
        </w:tc>
        <w:tc>
          <w:tcPr>
            <w:tcW w:w="6520" w:type="dxa"/>
          </w:tcPr>
          <w:p>
            <w:pPr>
              <w:spacing w:after="0"/>
            </w:pPr>
            <w:r>
              <w:rPr>
                <w:sz w:val="18"/>
                <w:szCs w:val="18"/>
              </w:rPr>
              <w:t xml:space="preserve">NOR-EISP-001</w:t>
            </w:r>
          </w:p>
        </w:tc>
      </w:tr>
      <w:tr>
        <w:trPr>
          <w:cantSplit/>
        </w:trPr>
        <w:tc>
          <w:tcPr>
            <w:tcW w:w="2835" w:type="dxa"/>
            <w:shd w:val="clear" w:color="auto" w:fill="E8EEF2"/>
          </w:tcPr>
          <w:p>
            <w:pPr>
              <w:spacing w:after="0"/>
            </w:pPr>
            <w:r>
              <w:rPr>
                <w:b/>
                <w:sz w:val="18"/>
                <w:szCs w:val="18"/>
              </w:rPr>
              <w:t xml:space="preserve">Dossier GPSI</w:t>
            </w:r>
          </w:p>
        </w:tc>
        <w:tc>
          <w:tcPr>
            <w:tcW w:w="6520" w:type="dxa"/>
          </w:tcPr>
          <w:p>
            <w:pPr>
              <w:spacing w:after="0"/>
            </w:pPr>
            <w:r>
              <w:rPr>
                <w:sz w:val="18"/>
                <w:szCs w:val="18"/>
              </w:rPr>
              <w:t xml:space="preserve">POL-002</w:t>
            </w:r>
          </w:p>
        </w:tc>
      </w:tr>
      <w:tr>
        <w:trPr>
          <w:cantSplit/>
        </w:trPr>
        <w:tc>
          <w:tcPr>
            <w:tcW w:w="2835" w:type="dxa"/>
            <w:shd w:val="clear" w:color="auto" w:fill="E8EEF2"/>
          </w:tcPr>
          <w:p>
            <w:pPr>
              <w:spacing w:after="0"/>
            </w:pPr>
            <w:r>
              <w:rPr>
                <w:b/>
                <w:sz w:val="18"/>
                <w:szCs w:val="18"/>
              </w:rPr>
              <w:t xml:space="preserve">Version</w:t>
            </w:r>
          </w:p>
        </w:tc>
        <w:tc>
          <w:tcPr>
            <w:tcW w:w="6520" w:type="dxa"/>
          </w:tcPr>
          <w:p>
            <w:pPr>
              <w:spacing w:after="0"/>
            </w:pPr>
            <w:r>
              <w:rPr>
                <w:sz w:val="18"/>
                <w:szCs w:val="18"/>
              </w:rPr>
              <w:t xml:space="preserve">0.1</w:t>
            </w:r>
          </w:p>
        </w:tc>
      </w:tr>
      <w:tr>
        <w:trPr>
          <w:cantSplit/>
        </w:trPr>
        <w:tc>
          <w:tcPr>
            <w:tcW w:w="2835" w:type="dxa"/>
            <w:shd w:val="clear" w:color="auto" w:fill="E8EEF2"/>
          </w:tcPr>
          <w:p>
            <w:pPr>
              <w:spacing w:after="0"/>
            </w:pPr>
            <w:r>
              <w:rPr>
                <w:b/>
                <w:sz w:val="18"/>
                <w:szCs w:val="18"/>
              </w:rPr>
              <w:t xml:space="preserve">Statut</w:t>
            </w:r>
          </w:p>
        </w:tc>
        <w:tc>
          <w:tcPr>
            <w:tcW w:w="6520" w:type="dxa"/>
          </w:tcPr>
          <w:p>
            <w:pPr>
              <w:spacing w:after="0"/>
            </w:pPr>
            <w:r>
              <w:rPr>
                <w:sz w:val="18"/>
                <w:szCs w:val="18"/>
              </w:rPr>
              <w:t xml:space="preserve">Ébauche — non approuvée; non en vigueur</w:t>
            </w:r>
          </w:p>
        </w:tc>
      </w:tr>
      <w:tr>
        <w:trPr>
          <w:cantSplit/>
        </w:trPr>
        <w:tc>
          <w:tcPr>
            <w:tcW w:w="2835" w:type="dxa"/>
            <w:shd w:val="clear" w:color="auto" w:fill="E8EEF2"/>
          </w:tcPr>
          <w:p>
            <w:pPr>
              <w:spacing w:after="0"/>
            </w:pPr>
            <w:r>
              <w:rPr>
                <w:b/>
                <w:sz w:val="18"/>
                <w:szCs w:val="18"/>
              </w:rPr>
              <w:t xml:space="preserve">Classification</w:t>
            </w:r>
          </w:p>
        </w:tc>
        <w:tc>
          <w:tcPr>
            <w:tcW w:w="6520" w:type="dxa"/>
          </w:tcPr>
          <w:p>
            <w:pPr>
              <w:spacing w:after="0"/>
            </w:pPr>
            <w:r>
              <w:rPr>
                <w:sz w:val="18"/>
                <w:szCs w:val="18"/>
              </w:rPr>
              <w:t xml:space="preserve">Interne</w:t>
            </w:r>
          </w:p>
        </w:tc>
      </w:tr>
      <w:tr>
        <w:trPr>
          <w:cantSplit/>
        </w:trPr>
        <w:tc>
          <w:tcPr>
            <w:tcW w:w="2835" w:type="dxa"/>
            <w:shd w:val="clear" w:color="auto" w:fill="E8EEF2"/>
          </w:tcPr>
          <w:p>
            <w:pPr>
              <w:spacing w:after="0"/>
            </w:pPr>
            <w:r>
              <w:rPr>
                <w:b/>
                <w:sz w:val="18"/>
                <w:szCs w:val="18"/>
              </w:rPr>
              <w:t xml:space="preserve">Responsable de la politique</w:t>
            </w:r>
          </w:p>
        </w:tc>
        <w:tc>
          <w:tcPr>
            <w:tcW w:w="6520" w:type="dxa"/>
          </w:tcPr>
          <w:p>
            <w:pPr>
              <w:spacing w:after="0"/>
            </w:pPr>
            <w:r>
              <w:rPr>
                <w:sz w:val="18"/>
                <w:szCs w:val="18"/>
              </w:rPr>
              <w:t xml:space="preserve">Le gestionnaire des TI</w:t>
            </w:r>
          </w:p>
        </w:tc>
      </w:tr>
      <w:tr>
        <w:trPr>
          <w:cantSplit/>
        </w:trPr>
        <w:tc>
          <w:tcPr>
            <w:tcW w:w="2835" w:type="dxa"/>
            <w:shd w:val="clear" w:color="auto" w:fill="E8EEF2"/>
          </w:tcPr>
          <w:p>
            <w:pPr>
              <w:spacing w:after="0"/>
            </w:pPr>
            <w:r>
              <w:rPr>
                <w:b/>
                <w:sz w:val="18"/>
                <w:szCs w:val="18"/>
              </w:rPr>
              <w:t xml:space="preserve">Autorité d’approbation</w:t>
            </w:r>
          </w:p>
        </w:tc>
        <w:tc>
          <w:tcPr>
            <w:tcW w:w="6520" w:type="dxa"/>
          </w:tcPr>
          <w:p>
            <w:pPr>
              <w:spacing w:after="0"/>
            </w:pPr>
            <w:r>
              <w:rPr>
                <w:b/>
                <w:sz w:val="18"/>
                <w:szCs w:val="18"/>
                <w:highlight w:val="yellow"/>
              </w:rPr>
              <w:t xml:space="preserve">[APPROBATEUR : autorité d’approbation]</w:t>
            </w:r>
          </w:p>
        </w:tc>
      </w:tr>
      <w:tr>
        <w:trPr>
          <w:cantSplit/>
        </w:trPr>
        <w:tc>
          <w:tcPr>
            <w:tcW w:w="2835" w:type="dxa"/>
            <w:shd w:val="clear" w:color="auto" w:fill="E8EEF2"/>
          </w:tcPr>
          <w:p>
            <w:pPr>
              <w:spacing w:after="0"/>
            </w:pPr>
            <w:r>
              <w:rPr>
                <w:b/>
                <w:sz w:val="18"/>
                <w:szCs w:val="18"/>
              </w:rPr>
              <w:t xml:space="preserve">Cycle de révision</w:t>
            </w:r>
          </w:p>
        </w:tc>
        <w:tc>
          <w:tcPr>
            <w:tcW w:w="6520" w:type="dxa"/>
          </w:tcPr>
          <w:p>
            <w:pPr>
              <w:spacing w:after="0"/>
            </w:pPr>
            <w:r>
              <w:rPr>
                <w:sz w:val="18"/>
                <w:szCs w:val="18"/>
              </w:rPr>
              <w:t xml:space="preserve">12 mois</w:t>
            </w:r>
          </w:p>
        </w:tc>
      </w:tr>
      <w:tr>
        <w:trPr>
          <w:cantSplit/>
        </w:trPr>
        <w:tc>
          <w:tcPr>
            <w:tcW w:w="2835" w:type="dxa"/>
            <w:shd w:val="clear" w:color="auto" w:fill="E8EEF2"/>
          </w:tcPr>
          <w:p>
            <w:pPr>
              <w:spacing w:after="0"/>
            </w:pPr>
            <w:r>
              <w:rPr>
                <w:b/>
                <w:sz w:val="18"/>
                <w:szCs w:val="18"/>
              </w:rPr>
              <w:t xml:space="preserve">Date d’entrée en vigueur</w:t>
            </w:r>
          </w:p>
        </w:tc>
        <w:tc>
          <w:tcPr>
            <w:tcW w:w="6520" w:type="dxa"/>
          </w:tcPr>
          <w:p>
            <w:pPr>
              <w:spacing w:after="0"/>
            </w:pPr>
            <w:r>
              <w:rPr>
                <w:sz w:val="18"/>
                <w:szCs w:val="18"/>
              </w:rPr>
              <w:t xml:space="preserve">Fixée à l’approbation et à la publication</w:t>
            </w:r>
          </w:p>
        </w:tc>
      </w:tr>
      <w:tr>
        <w:trPr>
          <w:cantSplit/>
        </w:trPr>
        <w:tc>
          <w:tcPr>
            <w:tcW w:w="2835" w:type="dxa"/>
            <w:shd w:val="clear" w:color="auto" w:fill="E8EEF2"/>
          </w:tcPr>
          <w:p>
            <w:pPr>
              <w:spacing w:after="0"/>
            </w:pPr>
            <w:r>
              <w:rPr>
                <w:b/>
                <w:sz w:val="18"/>
                <w:szCs w:val="18"/>
              </w:rPr>
              <w:t xml:space="preserve">Prochaine révision</w:t>
            </w:r>
          </w:p>
        </w:tc>
        <w:tc>
          <w:tcPr>
            <w:tcW w:w="6520" w:type="dxa"/>
          </w:tcPr>
          <w:p>
            <w:pPr>
              <w:spacing w:after="0"/>
            </w:pPr>
            <w:r>
              <w:rPr>
                <w:sz w:val="18"/>
                <w:szCs w:val="18"/>
              </w:rPr>
              <w:t xml:space="preserve">Fixée à l’approbation et à la publication</w:t>
            </w:r>
          </w:p>
        </w:tc>
      </w:tr>
      <w:tr>
        <w:trPr>
          <w:cantSplit/>
        </w:trPr>
        <w:tc>
          <w:tcPr>
            <w:tcW w:w="2835" w:type="dxa"/>
            <w:shd w:val="clear" w:color="auto" w:fill="E8EEF2"/>
          </w:tcPr>
          <w:p>
            <w:pPr>
              <w:spacing w:after="0"/>
            </w:pPr>
            <w:r>
              <w:rPr>
                <w:b/>
                <w:sz w:val="18"/>
                <w:szCs w:val="18"/>
              </w:rPr>
              <w:t xml:space="preserve">Langue</w:t>
            </w:r>
          </w:p>
        </w:tc>
        <w:tc>
          <w:tcPr>
            <w:tcW w:w="6520" w:type="dxa"/>
          </w:tcPr>
          <w:p>
            <w:pPr>
              <w:spacing w:after="0"/>
            </w:pPr>
            <w:r>
              <w:rPr>
                <w:sz w:val="18"/>
                <w:szCs w:val="18"/>
              </w:rPr>
              <w:t xml:space="preserve">Français</w:t>
            </w:r>
          </w:p>
        </w:tc>
      </w:tr>
      <w:tr>
        <w:trPr>
          <w:cantSplit/>
        </w:trPr>
        <w:tc>
          <w:tcPr>
            <w:tcW w:w="2835" w:type="dxa"/>
            <w:shd w:val="clear" w:color="auto" w:fill="E8EEF2"/>
          </w:tcPr>
          <w:p>
            <w:pPr>
              <w:spacing w:after="0"/>
            </w:pPr>
            <w:r>
              <w:rPr>
                <w:b/>
                <w:sz w:val="18"/>
                <w:szCs w:val="18"/>
              </w:rPr>
              <w:t xml:space="preserve">Produit avec</w:t>
            </w:r>
          </w:p>
        </w:tc>
        <w:tc>
          <w:tcPr>
            <w:tcW w:w="6520" w:type="dxa"/>
          </w:tcPr>
          <w:p>
            <w:pPr>
              <w:spacing w:after="0"/>
            </w:pPr>
            <w:r>
              <w:rPr>
                <w:sz w:val="18"/>
                <w:szCs w:val="18"/>
              </w:rPr>
              <w:t xml:space="preserve">CyberRiskGuardian Security Policy Writer 0.1.0 (beta) — sample</w:t>
            </w:r>
          </w:p>
        </w:tc>
      </w:tr>
      <w:tr>
        <w:trPr>
          <w:cantSplit/>
        </w:trPr>
        <w:tc>
          <w:tcPr>
            <w:tcW w:w="2835" w:type="dxa"/>
            <w:shd w:val="clear" w:color="auto" w:fill="E8EEF2"/>
          </w:tcPr>
          <w:p>
            <w:pPr>
              <w:spacing w:after="0"/>
            </w:pPr>
            <w:r>
              <w:rPr>
                <w:b/>
                <w:sz w:val="18"/>
                <w:szCs w:val="18"/>
              </w:rPr>
              <w:t xml:space="preserve">Exporté le</w:t>
            </w:r>
          </w:p>
        </w:tc>
        <w:tc>
          <w:tcPr>
            <w:tcW w:w="6520" w:type="dxa"/>
          </w:tcPr>
          <w:p>
            <w:pPr>
              <w:spacing w:after="0"/>
            </w:pPr>
            <w:r>
              <w:rPr>
                <w:sz w:val="18"/>
                <w:szCs w:val="18"/>
              </w:rPr>
              <w:t xml:space="preserve">2026-10-19</w:t>
            </w:r>
          </w:p>
        </w:tc>
      </w:tr>
    </w:tbl>
    <w:p>
      <w:pPr>
        <w:spacing w:after="40"/>
      </w:pPr>
      <w:r/>
    </w:p>
    <w:p>
      <w:pPr>
        <w:pStyle w:val="Heading2"/>
      </w:pPr>
      <w:r>
        <w:t xml:space="preserve">Approbation</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381"/>
        <w:gridCol w:w="3175"/>
        <w:gridCol w:w="2268"/>
        <w:gridCol w:w="1530"/>
      </w:tblGrid>
      <w:tr>
        <w:trPr>
          <w:tblHeader/>
          <w:cantSplit/>
        </w:trPr>
        <w:tc>
          <w:tcPr>
            <w:tcW w:w="2381" w:type="dxa"/>
            <w:shd w:val="clear" w:color="auto" w:fill="0B4F6C"/>
          </w:tcPr>
          <w:p>
            <w:pPr>
              <w:spacing w:after="0"/>
            </w:pPr>
            <w:r>
              <w:rPr>
                <w:b/>
                <w:color w:val="FFFFFF"/>
                <w:sz w:val="18"/>
                <w:szCs w:val="18"/>
              </w:rPr>
              <w:t xml:space="preserve">Rôle</w:t>
            </w:r>
          </w:p>
        </w:tc>
        <w:tc>
          <w:tcPr>
            <w:tcW w:w="3175" w:type="dxa"/>
            <w:shd w:val="clear" w:color="auto" w:fill="0B4F6C"/>
          </w:tcPr>
          <w:p>
            <w:pPr>
              <w:spacing w:after="0"/>
            </w:pPr>
            <w:r>
              <w:rPr>
                <w:b/>
                <w:color w:val="FFFFFF"/>
                <w:sz w:val="18"/>
                <w:szCs w:val="18"/>
              </w:rPr>
              <w:t xml:space="preserve">Nom</w:t>
            </w:r>
          </w:p>
        </w:tc>
        <w:tc>
          <w:tcPr>
            <w:tcW w:w="2268" w:type="dxa"/>
            <w:shd w:val="clear" w:color="auto" w:fill="0B4F6C"/>
          </w:tcPr>
          <w:p>
            <w:pPr>
              <w:spacing w:after="0"/>
            </w:pPr>
            <w:r>
              <w:rPr>
                <w:b/>
                <w:color w:val="FFFFFF"/>
                <w:sz w:val="18"/>
                <w:szCs w:val="18"/>
              </w:rPr>
              <w:t xml:space="preserve">Signature</w:t>
            </w:r>
          </w:p>
        </w:tc>
        <w:tc>
          <w:tcPr>
            <w:tcW w:w="1530" w:type="dxa"/>
            <w:shd w:val="clear" w:color="auto" w:fill="0B4F6C"/>
          </w:tcPr>
          <w:p>
            <w:pPr>
              <w:spacing w:after="0"/>
            </w:pPr>
            <w:r>
              <w:rPr>
                <w:b/>
                <w:color w:val="FFFFFF"/>
                <w:sz w:val="18"/>
                <w:szCs w:val="18"/>
              </w:rPr>
              <w:t xml:space="preserve">Date</w:t>
            </w:r>
          </w:p>
        </w:tc>
      </w:tr>
      <w:tr>
        <w:trPr>
          <w:cantSplit/>
        </w:trPr>
        <w:tc>
          <w:tcPr>
            <w:tcW w:w="2381" w:type="dxa"/>
          </w:tcPr>
          <w:p>
            <w:pPr>
              <w:spacing w:after="0"/>
            </w:pPr>
            <w:r>
              <w:rPr>
                <w:sz w:val="18"/>
                <w:szCs w:val="18"/>
              </w:rPr>
              <w:t xml:space="preserve">Autorité d’approbation</w:t>
            </w:r>
          </w:p>
        </w:tc>
        <w:tc>
          <w:tcPr>
            <w:tcW w:w="3175" w:type="dxa"/>
          </w:tcPr>
          <w:p>
            <w:pPr>
              <w:spacing w:after="0"/>
            </w:pPr>
          </w:p>
        </w:tc>
        <w:tc>
          <w:tcPr>
            <w:tcW w:w="2268" w:type="dxa"/>
          </w:tcPr>
          <w:p>
            <w:pPr>
              <w:spacing w:after="0"/>
            </w:pPr>
          </w:p>
        </w:tc>
        <w:tc>
          <w:tcPr>
            <w:tcW w:w="1530" w:type="dxa"/>
          </w:tcPr>
          <w:p>
            <w:pPr>
              <w:spacing w:after="0"/>
            </w:pPr>
          </w:p>
        </w:tc>
      </w:tr>
      <w:tr>
        <w:trPr>
          <w:cantSplit/>
        </w:trPr>
        <w:tc>
          <w:tcPr>
            <w:tcW w:w="2381" w:type="dxa"/>
          </w:tcPr>
          <w:p>
            <w:pPr>
              <w:spacing w:after="0"/>
            </w:pPr>
            <w:r>
              <w:rPr>
                <w:sz w:val="18"/>
                <w:szCs w:val="18"/>
              </w:rPr>
              <w:t xml:space="preserve">Responsable de la politique</w:t>
            </w:r>
          </w:p>
        </w:tc>
        <w:tc>
          <w:tcPr>
            <w:tcW w:w="3175" w:type="dxa"/>
          </w:tcPr>
          <w:p>
            <w:pPr>
              <w:spacing w:after="0"/>
            </w:pPr>
            <w:r>
              <w:rPr>
                <w:sz w:val="18"/>
                <w:szCs w:val="18"/>
              </w:rPr>
              <w:t xml:space="preserve">Le gestionnaire des TI</w:t>
            </w:r>
          </w:p>
        </w:tc>
        <w:tc>
          <w:tcPr>
            <w:tcW w:w="2268" w:type="dxa"/>
          </w:tcPr>
          <w:p>
            <w:pPr>
              <w:spacing w:after="0"/>
            </w:pPr>
          </w:p>
        </w:tc>
        <w:tc>
          <w:tcPr>
            <w:tcW w:w="1530" w:type="dxa"/>
          </w:tcPr>
          <w:p>
            <w:pPr>
              <w:spacing w:after="0"/>
            </w:pPr>
          </w:p>
        </w:tc>
      </w:tr>
    </w:tbl>
    <w:p>
      <w:pPr>
        <w:spacing w:after="40"/>
      </w:pPr>
      <w:r/>
    </w:p>
    <w:p>
      <w:r>
        <w:rPr>
          <w:i/>
          <w:color w:val="5F6B76"/>
          <w:sz w:val="17"/>
          <w:szCs w:val="17"/>
        </w:rPr>
        <w:t xml:space="preserve">Ébauche produite avec un logiciel d’aide à la décision (CyberRiskGuardian Security Policy Writer). Elle ne constitue pas un avis juridique et n’est pas en vigueur tant qu’elle n’a pas été approuvée et publiée dans la gestion des PSI par les personnes autorisées. Les renvois aux mesures indiquent les sujets traités; une correspondance, un énoncé ou une attestation ne prouve jamais la conformité.</w:t>
      </w:r>
    </w:p>
    <w:p>
      <w:r>
        <w:br w:type="page"/>
      </w:r>
    </w:p>
    <w:p>
      <w:pPr>
        <w:pStyle w:val="Heading2"/>
      </w:pPr>
      <w:r>
        <w:t xml:space="preserve">Table des matières</w:t>
      </w:r>
    </w:p>
    <w:p>
      <w:r>
        <w:rPr>
          <w:i/>
          <w:color w:val="5F6B76"/>
        </w:rPr>
        <w:fldChar w:fldCharType="begin"/>
      </w:r>
      <w:r>
        <w:rPr>
          <w:i/>
          <w:color w:val="5F6B76"/>
        </w:rPr>
        <w:instrText xml:space="preserve"> TOC \o "1-1" \h \z \u </w:instrText>
      </w:r>
      <w:r>
        <w:rPr>
          <w:i/>
          <w:color w:val="5F6B76"/>
        </w:rPr>
        <w:fldChar w:fldCharType="separate"/>
      </w:r>
      <w:r>
        <w:rPr>
          <w:i/>
          <w:color w:val="5F6B76"/>
        </w:rPr>
        <w:t xml:space="preserve">Cliquez avec le bouton droit et choisissez « Mettre à jour les champs » (ou F9) pour générer la table des matières.</w:t>
      </w:r>
      <w:r>
        <w:rPr>
          <w:i/>
          <w:color w:val="5F6B76"/>
        </w:rPr>
        <w:fldChar w:fldCharType="end"/>
      </w:r>
    </w:p>
    <w:p>
      <w:r/>
    </w:p>
    <w:p>
      <w:pPr>
        <w:pStyle w:val="Heading1"/>
      </w:pPr>
      <w:r>
        <w:t xml:space="preserve">1. Objet</w:t>
      </w:r>
    </w:p>
    <w:p>
      <w:bookmarkStart w:id="1" w:name="_crgt_purpose_1"/>
      <w:r>
        <w:t xml:space="preserve">La présente politique établit les principes, les responsabilités et le cadre de gouvernance par lesquels Northstar protège la confidentialité, l’intégrité et la disponibilité de son information et de ses systèmes d’information.</w:t>
      </w:r>
      <w:bookmarkEnd w:id="1"/>
    </w:p>
    <w:p>
      <w:bookmarkStart w:id="2" w:name="_crgt_purpose_2"/>
      <w:r>
        <w:t xml:space="preserve">Ses objectifs sont : a) protéger l’information contre l’accès, la modification, la perte et la destruction non autorisés; b) maintenir les services essentiels disponibles au niveau requis par les activités; c) protéger les renseignements personnels confiés à Northstar; d) respecter les obligations légales, réglementaires et contractuelles; e) rendre les décisions de risque cyber explicites, assumées et justifiées.</w:t>
      </w:r>
      <w:bookmarkEnd w:id="2"/>
    </w:p>
    <w:p>
      <w:bookmarkStart w:id="3" w:name="_crgt_purpose_3"/>
      <w:r>
        <w:t xml:space="preserve">Les services et actifs les plus importants pour Northstar comprennent : The scheduling platform and its customer database.</w:t>
      </w:r>
      <w:bookmarkEnd w:id="3"/>
    </w:p>
    <w:p>
      <w:pPr>
        <w:pStyle w:val="Heading1"/>
      </w:pPr>
      <w:r>
        <w:t xml:space="preserve">2. Portée</w:t>
      </w:r>
    </w:p>
    <w:p>
      <w:bookmarkStart w:id="4" w:name="_crgt_scope_1"/>
      <w:r>
        <w:t xml:space="preserve">La présente politique s’applique à l’ensemble de Northstar, y compris toutes ses unités et tous ses emplacements, et à toute personne qui accède à son information ou à ses systèmes : employés, gestionnaires, contractuels, consultants, personnel temporaire, stagiaires, bénévoles et fournisseurs.</w:t>
      </w:r>
      <w:bookmarkEnd w:id="4"/>
    </w:p>
    <w:p>
      <w:bookmarkStart w:id="5" w:name="_crgt_scope_2"/>
      <w:r>
        <w:t xml:space="preserve">Elle vise l’information sous toutes ses formes (électronique, papier, verbale) tout au long de son cycle de vie — collecte, création, utilisation, conservation, communication, archivage et destruction — et tous les systèmes possédés, loués ou exploités par ou pour Northstar, sur place, à distance ou dans des services infonuagiques.</w:t>
      </w:r>
      <w:bookmarkEnd w:id="5"/>
    </w:p>
    <w:p>
      <w:bookmarkStart w:id="6" w:name="_crgt_scope_3"/>
      <w:r>
        <w:t xml:space="preserve">Les environnements technologiques visés comprennent : Microsoft 365, Amazon Web Services.</w:t>
      </w:r>
      <w:bookmarkEnd w:id="6"/>
    </w:p>
    <w:p>
      <w:pPr>
        <w:pStyle w:val="Heading1"/>
      </w:pPr>
      <w:r>
        <w:t xml:space="preserve">3. Énoncé de politique</w:t>
      </w:r>
    </w:p>
    <w:p>
      <w:bookmarkStart w:id="7" w:name="_crgt_C1_1"/>
      <w:r>
        <w:t xml:space="preserve">L’information et les technologies qui la soutiennent sont essentielles à la mission de Northstar, à la confiance de ses clients et partenaires et au respect de ses obligations. Northstar les protège en proportion de leur valeur et des risques auxquels elles sont exposées.</w:t>
      </w:r>
      <w:bookmarkEnd w:id="7"/>
    </w:p>
    <w:p>
      <w:bookmarkStart w:id="8" w:name="_crgt_C1_2"/>
      <w:r>
        <w:t xml:space="preserve">La haute direction de Northstar s’engage à fournir l’orientation, les ressources et le soutien nécessaires à la sécurité de l’information et à améliorer continuellement la gestion du risque de cybersécurité.</w:t>
      </w:r>
      <w:bookmarkEnd w:id="8"/>
    </w:p>
    <w:p>
      <w:pPr>
        <w:pStyle w:val="Heading1"/>
      </w:pPr>
      <w:r>
        <w:t xml:space="preserve">4. Définitions</w:t>
      </w:r>
    </w:p>
    <w:p>
      <w:bookmarkStart w:id="9" w:name="_crgt_C2_1"/>
      <w:r>
        <w:t xml:space="preserve">Sécurité de l’information : préservation de la confidentialité, de l’intégrité et de la disponibilité de l’information. La sécurité s’entend de l’absence de risque inacceptable.</w:t>
      </w:r>
      <w:bookmarkEnd w:id="9"/>
    </w:p>
    <w:p>
      <w:bookmarkStart w:id="10" w:name="_crgt_C2_2"/>
      <w:r>
        <w:t xml:space="preserve">Responsable de l’information (détenteur) : gestionnaire imputable d’un actif informationnel, qui en autorise l’accès, en détermine la classification et la conservation et accepte ou fait remonter les risques associés. Il ne s’agit pas nécessairement de la personne qui administre le système.</w:t>
      </w:r>
      <w:bookmarkEnd w:id="10"/>
    </w:p>
    <w:p>
      <w:bookmarkStart w:id="11" w:name="_crgt_C2_3"/>
      <w:r>
        <w:t xml:space="preserve">Gardien : personne ou équipe, interne ou externe, qui exploite un système et met en œuvre les mesures définies par le responsable et par les politiques.</w:t>
      </w:r>
      <w:bookmarkEnd w:id="11"/>
    </w:p>
    <w:p>
      <w:bookmarkStart w:id="12" w:name="_crgt_C2_4"/>
      <w:r>
        <w:t xml:space="preserve">Politique, norme, procédure, ligne directrice : une politique énonce l’intention et les principes obligatoires; une norme fixe des exigences mesurables obligatoires; une procédure décrit comment et par qui une activité est réalisée; une ligne directrice donne des pratiques recommandées non contraignantes.</w:t>
      </w:r>
      <w:bookmarkEnd w:id="12"/>
    </w:p>
    <w:p>
      <w:bookmarkStart w:id="13" w:name="_crgt_C2_5"/>
      <w:r>
        <w:t xml:space="preserve">Dérogation : écart limité dans le temps, approuvé et consigné par rapport à une exigence d’une politique ou d’une norme, assorti de mesures compensatoires.</w:t>
      </w:r>
      <w:bookmarkEnd w:id="13"/>
    </w:p>
    <w:p>
      <w:bookmarkStart w:id="14" w:name="_crgt_C2_6"/>
      <w:r>
        <w:t xml:space="preserve">Verbes : « doit » et « ne doit pas » expriment une exigence obligatoire; « devrait » exprime une exigence attendue sauf dérogation documentée; « peut » exprime une permission.</w:t>
      </w:r>
      <w:bookmarkEnd w:id="14"/>
    </w:p>
    <w:p>
      <w:pPr>
        <w:pStyle w:val="Heading1"/>
      </w:pPr>
      <w:r>
        <w:t xml:space="preserve">5. Cadre légal, réglementaire et contractuel</w:t>
      </w:r>
    </w:p>
    <w:p>
      <w:bookmarkStart w:id="15" w:name="_crgt_C3_1"/>
      <w:r>
        <w:t xml:space="preserve">Applicabilité confirmée : Loi sur la protection des renseignements personnels dans le secteur privé (RLRQ c. P-39.1), modifiée par la Loi 25.</w:t>
      </w:r>
      <w:bookmarkEnd w:id="15"/>
    </w:p>
    <w:p>
      <w:pPr>
        <w:tabs>
          <w:tab w:val="left" w:pos="680"/>
        </w:tabs>
        <w:ind w:left="680" w:hanging="680"/>
      </w:pPr>
      <w:bookmarkStart w:id="16" w:name="_crgs_POL_002_1"/>
      <w:r>
        <w:rPr>
          <w:b/>
          <w:color w:val="0B4F6C"/>
        </w:rPr>
        <w:t xml:space="preserve">5.1</w:t>
        <w:tab/>
      </w:r>
      <w:r>
        <w:t xml:space="preserve">Northstar respecte les lois, règlements et engagements contractuels applicables à son information. Ceux dont l’applicabilité a été confirmée par un réviseur autorisé sont énumérés ci-dessous; les candidats encore à l’étude sont suivis dans le registre des décisions ouvertes, et non dans la présente politique.</w:t>
      </w:r>
      <w:bookmarkEnd w:id="16"/>
    </w:p>
    <w:p>
      <w:pPr>
        <w:pStyle w:val="Heading1"/>
      </w:pPr>
      <w:r>
        <w:t xml:space="preserve">6. Principes directeurs</w:t>
      </w:r>
    </w:p>
    <w:p>
      <w:bookmarkStart w:id="17" w:name="_crgt_C4_1"/>
      <w:r>
        <w:t xml:space="preserve">Protection fondée sur le risque : les mesures de sécurité sont proportionnées à la valeur de l’information, aux menaces auxquelles elle est exposée et à l’appétit pour le risque approuvé par Northstar.</w:t>
      </w:r>
      <w:bookmarkEnd w:id="17"/>
    </w:p>
    <w:p>
      <w:bookmarkStart w:id="18" w:name="_crgt_C4_2"/>
      <w:r>
        <w:t xml:space="preserve">Imputabilité : chaque actif informationnel important a un responsable désigné, et chaque décision de risque cyber est prise par une personne qui en a l’autorité.</w:t>
      </w:r>
      <w:bookmarkEnd w:id="18"/>
    </w:p>
    <w:p>
      <w:bookmarkStart w:id="19" w:name="_crgt_C4_3"/>
      <w:r>
        <w:t xml:space="preserve">Moindre privilège et besoin de savoir : l’accès n’est accordé que dans la mesure requise par les fonctions d’une personne.</w:t>
      </w:r>
      <w:bookmarkEnd w:id="19"/>
    </w:p>
    <w:p>
      <w:bookmarkStart w:id="20" w:name="_crgt_C4_4"/>
      <w:r>
        <w:t xml:space="preserve">Sécurité et protection de la vie privée dès la conception et par défaut : les exigences de sécurité et de protection de la vie privée sont considérées dès le début de chaque projet, acquisition et changement.</w:t>
      </w:r>
      <w:bookmarkEnd w:id="20"/>
    </w:p>
    <w:p>
      <w:bookmarkStart w:id="21" w:name="_crgt_C4_5"/>
      <w:r>
        <w:t xml:space="preserve">Défense en profondeur et résilience : Northstar combine des mesures de prévention, de détection, d’intervention et de rétablissement et se prépare à maintenir ses services essentiels lorsqu’une mesure échoue.</w:t>
      </w:r>
      <w:bookmarkEnd w:id="21"/>
    </w:p>
    <w:p>
      <w:bookmarkStart w:id="22" w:name="_crgt_C4_6"/>
      <w:r>
        <w:t xml:space="preserve">Facilité d’application : les politiques sont claires, brèves et adaptées aux rôles, et le comportement sécuritaire est rendu le plus simple possible.</w:t>
      </w:r>
      <w:bookmarkEnd w:id="22"/>
    </w:p>
    <w:p>
      <w:bookmarkStart w:id="23" w:name="_crgt_C4_7"/>
      <w:r>
        <w:t xml:space="preserve">Preuves : Northstar s’appuie sur des preuves que les mesures fonctionnent efficacement, et non sur l’existence de documents.</w:t>
      </w:r>
      <w:bookmarkEnd w:id="23"/>
    </w:p>
    <w:p>
      <w:pPr>
        <w:pStyle w:val="Heading1"/>
      </w:pPr>
      <w:r>
        <w:t xml:space="preserve">7. Gouvernance, rôles et responsabilités</w:t>
      </w:r>
    </w:p>
    <w:p>
      <w:pPr>
        <w:tabs>
          <w:tab w:val="left" w:pos="680"/>
        </w:tabs>
        <w:ind w:left="680" w:hanging="680"/>
      </w:pPr>
      <w:bookmarkStart w:id="24" w:name="_crgs_POL_002_2"/>
      <w:r>
        <w:rPr>
          <w:b/>
          <w:color w:val="0B4F6C"/>
        </w:rPr>
        <w:t xml:space="preserve">7.1</w:t>
        <w:tab/>
      </w:r>
      <w:r>
        <w:rPr>
          <w:b/>
          <w:highlight w:val="yellow"/>
        </w:rPr>
        <w:t xml:space="preserve">[APPROBATEUR : autorité qui approuve la politique d’entreprise]</w:t>
      </w:r>
      <w:r>
        <w:t xml:space="preserve"> approuve la présente politique et l’appétit pour le risque de cybersécurité et supervise les risques de cybersécurité importants.</w:t>
      </w:r>
      <w:bookmarkEnd w:id="24"/>
    </w:p>
    <w:p>
      <w:pPr>
        <w:tabs>
          <w:tab w:val="left" w:pos="680"/>
        </w:tabs>
        <w:ind w:left="680" w:hanging="680"/>
      </w:pPr>
      <w:bookmarkStart w:id="25" w:name="_crgs_POL_002_3"/>
      <w:r>
        <w:rPr>
          <w:b/>
          <w:color w:val="0B4F6C"/>
        </w:rPr>
        <w:t xml:space="preserve">7.2</w:t>
        <w:tab/>
      </w:r>
      <w:r>
        <w:t xml:space="preserve">La haute direction alloue les ressources nécessaires à l’application de la présente politique, s’assure que les mesures exigées sont financées et tient les gestionnaires responsables de son application.</w:t>
      </w:r>
      <w:bookmarkEnd w:id="25"/>
    </w:p>
    <w:p>
      <w:pPr>
        <w:tabs>
          <w:tab w:val="left" w:pos="680"/>
        </w:tabs>
        <w:ind w:left="680" w:hanging="680"/>
      </w:pPr>
      <w:bookmarkStart w:id="26" w:name="_crgs_POL_002_4"/>
      <w:r>
        <w:rPr>
          <w:b/>
          <w:color w:val="0B4F6C"/>
        </w:rPr>
        <w:t xml:space="preserve">7.3</w:t>
        <w:tab/>
      </w:r>
      <w:r>
        <w:rPr>
          <w:b/>
          <w:highlight w:val="yellow"/>
        </w:rPr>
        <w:t xml:space="preserve">[DÉCISION : Désigner l’instance qui coordonne le programme de sécurité et examine les risques, dérogations et incidents importants.]</w:t>
      </w:r>
      <w:bookmarkEnd w:id="26"/>
    </w:p>
    <w:p>
      <w:pPr>
        <w:tabs>
          <w:tab w:val="left" w:pos="680"/>
        </w:tabs>
        <w:ind w:left="680" w:hanging="680"/>
      </w:pPr>
      <w:bookmarkStart w:id="27" w:name="_crgs_POL_002_5"/>
      <w:r>
        <w:rPr>
          <w:b/>
          <w:color w:val="0B4F6C"/>
        </w:rPr>
        <w:t xml:space="preserve">7.4</w:t>
        <w:tab/>
      </w:r>
      <w:r>
        <w:t xml:space="preserve">Le gestionnaire des TI dirige le programme de sécurité de l’information : propose les politiques et normes, conseille les responsables sur les risques, supervise l’assurance des mesures et la préparation aux incidents et rend compte de la posture de sécurité. Le gestionnaire des TI est responsable du processus de gestion des risques, et non de chaque risque.</w:t>
      </w:r>
      <w:bookmarkEnd w:id="27"/>
    </w:p>
    <w:p>
      <w:pPr>
        <w:tabs>
          <w:tab w:val="left" w:pos="680"/>
        </w:tabs>
        <w:ind w:left="680" w:hanging="680"/>
      </w:pPr>
      <w:bookmarkStart w:id="28" w:name="_crgs_POL_002_6"/>
      <w:r>
        <w:rPr>
          <w:b/>
          <w:color w:val="0B4F6C"/>
        </w:rPr>
        <w:t xml:space="preserve">7.5</w:t>
        <w:tab/>
      </w:r>
      <w:r>
        <w:rPr>
          <w:b/>
          <w:highlight w:val="yellow"/>
        </w:rPr>
        <w:t xml:space="preserve">[RÔLE : personne responsable de la protection des renseignements personnels]</w:t>
      </w:r>
      <w:r>
        <w:t xml:space="preserve"> est responsable de la protection des renseignements personnels, des évaluations des facteurs relatifs à la vie privée et des incidents de confidentialité, en collaboration avec le gestionnaire des TI.</w:t>
      </w:r>
      <w:bookmarkEnd w:id="28"/>
    </w:p>
    <w:p>
      <w:pPr>
        <w:tabs>
          <w:tab w:val="left" w:pos="680"/>
        </w:tabs>
        <w:ind w:left="680" w:hanging="680"/>
      </w:pPr>
      <w:bookmarkStart w:id="29" w:name="_crgs_POL_002_7"/>
      <w:r>
        <w:rPr>
          <w:b/>
          <w:color w:val="0B4F6C"/>
        </w:rPr>
        <w:t xml:space="preserve">7.6</w:t>
        <w:tab/>
      </w:r>
      <w:r>
        <w:t xml:space="preserve">Les responsables de l’information classifient leur information, en autorisent l’accès, acceptent ou font remonter les risques qui s’y rattachent selon leur autorité et s’assurent que leurs systèmes respectent les politiques applicables.</w:t>
      </w:r>
      <w:bookmarkEnd w:id="29"/>
    </w:p>
    <w:p>
      <w:pPr>
        <w:tabs>
          <w:tab w:val="left" w:pos="680"/>
        </w:tabs>
        <w:ind w:left="680" w:hanging="680"/>
      </w:pPr>
      <w:bookmarkStart w:id="30" w:name="_crgs_POL_002_8"/>
      <w:r>
        <w:rPr>
          <w:b/>
          <w:color w:val="0B4F6C"/>
        </w:rPr>
        <w:t xml:space="preserve">7.7</w:t>
        <w:tab/>
      </w:r>
      <w:r>
        <w:t xml:space="preserve">La fonction TI et les gardiens exploitent les systèmes conformément aux politiques et normes, mettent en œuvre les mesures définies par les responsables et signalent les incidents et faiblesses.</w:t>
      </w:r>
      <w:bookmarkEnd w:id="30"/>
    </w:p>
    <w:p>
      <w:pPr>
        <w:tabs>
          <w:tab w:val="left" w:pos="680"/>
        </w:tabs>
        <w:ind w:left="680" w:hanging="680"/>
      </w:pPr>
      <w:bookmarkStart w:id="31" w:name="_crgs_POL_002_9"/>
      <w:r>
        <w:rPr>
          <w:b/>
          <w:color w:val="0B4F6C"/>
        </w:rPr>
        <w:t xml:space="preserve">7.8</w:t>
        <w:tab/>
      </w:r>
      <w:r>
        <w:t xml:space="preserve">Les gestionnaires s’assurent que leur personnel connaît et applique les politiques de sécurité, demandent et revoient les accès de leurs équipes et signalent sans délai les changements de fonctions.</w:t>
      </w:r>
      <w:bookmarkEnd w:id="31"/>
    </w:p>
    <w:p>
      <w:pPr>
        <w:tabs>
          <w:tab w:val="left" w:pos="680"/>
        </w:tabs>
        <w:ind w:left="680" w:hanging="680"/>
      </w:pPr>
      <w:bookmarkStart w:id="32" w:name="_crgs_POL_002_10"/>
      <w:r>
        <w:rPr>
          <w:b/>
          <w:color w:val="0B4F6C"/>
        </w:rPr>
        <w:t xml:space="preserve">7.9</w:t>
        <w:tab/>
      </w:r>
      <w:r>
        <w:t xml:space="preserve">Les ressources humaines intègrent la sécurité à l’embauche, à l’accueil, aux changements de fonctions et aux départs, et appliquent les processus disciplinaires.</w:t>
      </w:r>
      <w:bookmarkEnd w:id="32"/>
    </w:p>
    <w:p>
      <w:pPr>
        <w:tabs>
          <w:tab w:val="left" w:pos="680"/>
        </w:tabs>
        <w:ind w:left="680" w:hanging="680"/>
      </w:pPr>
      <w:bookmarkStart w:id="33" w:name="_crgs_POL_002_11"/>
      <w:r>
        <w:rPr>
          <w:b/>
          <w:color w:val="0B4F6C"/>
        </w:rPr>
        <w:t xml:space="preserve">7.10</w:t>
        <w:tab/>
      </w:r>
      <w:r>
        <w:t xml:space="preserve">Chaque utilisateur protège l’information et les systèmes qui lui sont confiés, respecte les politiques applicables et signale les incidents et faiblesses soupçonnés.</w:t>
      </w:r>
      <w:bookmarkEnd w:id="33"/>
    </w:p>
    <w:p>
      <w:pPr>
        <w:pStyle w:val="Heading1"/>
      </w:pPr>
      <w:r>
        <w:t xml:space="preserve">8. Gestion des risques</w:t>
      </w:r>
    </w:p>
    <w:p>
      <w:bookmarkStart w:id="34" w:name="_crgt_C6_1"/>
      <w:r>
        <w:t xml:space="preserve">Les règles détaillées d’évaluation, d’acceptation des risques et de dérogation sont établies dans la </w:t>
      </w:r>
      <w:r>
        <w:rPr>
          <w:b/>
          <w:highlight w:val="yellow"/>
        </w:rPr>
        <w:t xml:space="preserve">[DÉCISION : document qui fixe les règles détaillées sur les risques et les dérogations]</w:t>
      </w:r>
      <w:r>
        <w:t xml:space="preserve">.</w:t>
      </w:r>
      <w:bookmarkEnd w:id="34"/>
    </w:p>
    <w:p>
      <w:pPr>
        <w:tabs>
          <w:tab w:val="left" w:pos="680"/>
        </w:tabs>
        <w:ind w:left="680" w:hanging="680"/>
      </w:pPr>
      <w:bookmarkStart w:id="35" w:name="_crgs_POL_002_12"/>
      <w:r>
        <w:rPr>
          <w:b/>
          <w:color w:val="0B4F6C"/>
        </w:rPr>
        <w:t xml:space="preserve">8.1</w:t>
        <w:tab/>
      </w:r>
      <w:r>
        <w:t xml:space="preserve">Northstar identifie, évalue et traite les risques de cybersécurité pesant sur ses services et son information essentiels dans le cadre de sa gestion intégrée des risques, à l’aide de scénarios décrivant la menace, la faiblesse, l’actif et les conséquences.</w:t>
      </w:r>
      <w:bookmarkEnd w:id="35"/>
    </w:p>
    <w:p>
      <w:pPr>
        <w:tabs>
          <w:tab w:val="left" w:pos="680"/>
        </w:tabs>
        <w:ind w:left="680" w:hanging="680"/>
      </w:pPr>
      <w:bookmarkStart w:id="36" w:name="_crgs_POL_002_13"/>
      <w:r>
        <w:rPr>
          <w:b/>
          <w:color w:val="0B4F6C"/>
        </w:rPr>
        <w:t xml:space="preserve">8.2</w:t>
        <w:tab/>
      </w:r>
      <w:r>
        <w:t xml:space="preserve">Les risques ne sont acceptés que par le responsable d’affaires du service ou de l’information touché, dans les limites de l’appétit pour le risque approuvé; les risques résiduels qui le dépassent sont soumis à </w:t>
      </w:r>
      <w:r>
        <w:rPr>
          <w:b/>
          <w:highlight w:val="yellow"/>
        </w:rPr>
        <w:t xml:space="preserve">[DÉCISION : comité ou instance de gouvernance de la sécurité]</w:t>
      </w:r>
      <w:r>
        <w:t xml:space="preserve">.</w:t>
      </w:r>
      <w:bookmarkEnd w:id="36"/>
    </w:p>
    <w:p>
      <w:pPr>
        <w:tabs>
          <w:tab w:val="left" w:pos="680"/>
        </w:tabs>
        <w:ind w:left="680" w:hanging="680"/>
      </w:pPr>
      <w:bookmarkStart w:id="37" w:name="_crgs_POL_002_14"/>
      <w:r>
        <w:rPr>
          <w:b/>
          <w:color w:val="0B4F6C"/>
        </w:rPr>
        <w:t xml:space="preserve">8.3</w:t>
        <w:tab/>
      </w:r>
      <w:r>
        <w:rPr>
          <w:b/>
          <w:highlight w:val="yellow"/>
        </w:rPr>
        <w:t xml:space="preserve">[DÉCISION : Indiquer l’appétit approuvé pour le risque de cybersécurité ou en planifier l’approbation.]</w:t>
      </w:r>
      <w:bookmarkEnd w:id="37"/>
    </w:p>
    <w:p>
      <w:pPr>
        <w:pStyle w:val="Heading1"/>
      </w:pPr>
      <w:r>
        <w:t xml:space="preserve">9. Classification de l’information</w:t>
      </w:r>
    </w:p>
    <w:p>
      <w:pPr>
        <w:tabs>
          <w:tab w:val="left" w:pos="680"/>
        </w:tabs>
        <w:ind w:left="680" w:hanging="680"/>
      </w:pPr>
      <w:bookmarkStart w:id="38" w:name="_crgs_POL_002_15"/>
      <w:r>
        <w:rPr>
          <w:b/>
          <w:color w:val="0B4F6C"/>
        </w:rPr>
        <w:t xml:space="preserve">9.1</w:t>
        <w:tab/>
      </w:r>
      <w:r>
        <w:t xml:space="preserve">L’information est classifiée par son responsable selon un schéma unique utilisé dans l’ensemble de Northstar : Public, Interne, Confidentiel et Restreint. Chaque niveau fixe des exigences minimales d’accès, de stockage, de transmission, de partage, de conservation et de destruction.</w:t>
      </w:r>
      <w:bookmarkEnd w:id="38"/>
    </w:p>
    <w:p>
      <w:pPr>
        <w:tabs>
          <w:tab w:val="left" w:pos="680"/>
        </w:tabs>
        <w:ind w:left="680" w:hanging="680"/>
      </w:pPr>
      <w:bookmarkStart w:id="39" w:name="_crgs_POL_002_16"/>
      <w:r>
        <w:rPr>
          <w:b/>
          <w:color w:val="0B4F6C"/>
        </w:rPr>
        <w:t xml:space="preserve">9.2</w:t>
        <w:tab/>
      </w:r>
      <w:r>
        <w:t xml:space="preserve">La classification tient compte de la confidentialité, de l’intégrité et de la disponibilité, ainsi que de la sensibilité découlant de la combinaison d’informations.</w:t>
      </w:r>
      <w:bookmarkEnd w:id="39"/>
    </w:p>
    <w:p>
      <w:pPr>
        <w:pStyle w:val="Heading1"/>
      </w:pPr>
      <w:r>
        <w:t xml:space="preserve">10. Cadre de politiques</w:t>
      </w:r>
    </w:p>
    <w:p>
      <w:bookmarkStart w:id="40" w:name="_crgt_C8_1"/>
      <w:r>
        <w:t xml:space="preserve">Les politiques thématiques suivantes sont adoptées en vertu de la présente politique : NOR-POL-AUP-001 — Politique d’utilisation acceptable; NOR-POL-IAM-001 — Politique de gestion des identités et des accès; NOR-POL-ICH-001 — Politique de classification et de manipulation de l’information; NOR-POL-IRP-001 — Politique de gestion des incidents de sécurité; NOR-STD-AUTH-001 — Norme d’authentification et de mots de passe; NOR-PRC-IR-001 — Procédure d’intervention en cas d’incident de sécurité.</w:t>
      </w:r>
      <w:bookmarkEnd w:id="40"/>
    </w:p>
    <w:p>
      <w:pPr>
        <w:tabs>
          <w:tab w:val="left" w:pos="680"/>
        </w:tabs>
        <w:ind w:left="680" w:hanging="680"/>
      </w:pPr>
      <w:bookmarkStart w:id="41" w:name="_crgs_POL_002_17"/>
      <w:r>
        <w:rPr>
          <w:b/>
          <w:color w:val="0B4F6C"/>
        </w:rPr>
        <w:t xml:space="preserve">10.1</w:t>
        <w:tab/>
      </w:r>
      <w:r>
        <w:t xml:space="preserve">La présente politique est le document de sécurité de l’information de plus haut niveau de Northstar. Elle est appuyée par des politiques thématiques, des normes, des procédures et des lignes directrices qui doivent toutes être cohérentes avec elle et y faire référence.</w:t>
      </w:r>
      <w:bookmarkEnd w:id="41"/>
    </w:p>
    <w:p>
      <w:pPr>
        <w:tabs>
          <w:tab w:val="left" w:pos="680"/>
        </w:tabs>
        <w:ind w:left="680" w:hanging="680"/>
      </w:pPr>
      <w:bookmarkStart w:id="42" w:name="_crgs_POL_002_18"/>
      <w:r>
        <w:rPr>
          <w:b/>
          <w:color w:val="0B4F6C"/>
        </w:rPr>
        <w:t xml:space="preserve">10.2</w:t>
        <w:tab/>
      </w:r>
      <w:r>
        <w:t xml:space="preserve">Les politiques thématiques sont approuvées par </w:t>
      </w:r>
      <w:r>
        <w:rPr>
          <w:b/>
          <w:highlight w:val="yellow"/>
        </w:rPr>
        <w:t xml:space="preserve">[DÉCISION : autorité qui approuve les politiques thématiques]</w:t>
      </w:r>
      <w:r>
        <w:t xml:space="preserve">; les normes par le gestionnaire des TI; les procédures par le responsable du processus concerné.</w:t>
      </w:r>
      <w:bookmarkEnd w:id="42"/>
    </w:p>
    <w:p>
      <w:pPr>
        <w:pStyle w:val="Heading1"/>
      </w:pPr>
      <w:r>
        <w:t xml:space="preserve">11. Personnes et sensibilisation</w:t>
      </w:r>
    </w:p>
    <w:p>
      <w:pPr>
        <w:tabs>
          <w:tab w:val="left" w:pos="680"/>
        </w:tabs>
        <w:ind w:left="680" w:hanging="680"/>
      </w:pPr>
      <w:bookmarkStart w:id="43" w:name="_crgs_POL_002_19"/>
      <w:r>
        <w:rPr>
          <w:b/>
          <w:color w:val="0B4F6C"/>
        </w:rPr>
        <w:t xml:space="preserve">11.1</w:t>
        <w:tab/>
      </w:r>
      <w:r>
        <w:t xml:space="preserve">Tout le personnel reçoit une formation de sensibilisation à la sécurité à son arrivée et au moins une fois par année, ainsi qu’une formation adaptée à son rôle lorsque ses fonctions l’exigent.</w:t>
      </w:r>
      <w:bookmarkEnd w:id="43"/>
    </w:p>
    <w:p>
      <w:pPr>
        <w:tabs>
          <w:tab w:val="left" w:pos="680"/>
        </w:tabs>
        <w:ind w:left="680" w:hanging="680"/>
      </w:pPr>
      <w:bookmarkStart w:id="44" w:name="_crgs_POL_002_20"/>
      <w:r>
        <w:rPr>
          <w:b/>
          <w:color w:val="0B4F6C"/>
        </w:rPr>
        <w:t xml:space="preserve">11.2</w:t>
        <w:tab/>
      </w:r>
      <w:r>
        <w:t xml:space="preserve">Le personnel prend connaissance des règles d’utilisation acceptable avant d’obtenir un accès et lorsqu’elles changent de façon importante.</w:t>
      </w:r>
      <w:bookmarkEnd w:id="44"/>
    </w:p>
    <w:p>
      <w:pPr>
        <w:pStyle w:val="Heading1"/>
      </w:pPr>
      <w:r>
        <w:t xml:space="preserve">12. Signalement des incidents</w:t>
      </w:r>
    </w:p>
    <w:p>
      <w:bookmarkStart w:id="45" w:name="_crgt_C10_1"/>
      <w:r>
        <w:t xml:space="preserve">Les incidents sont gérés conformément à la politique de gestion des incidents, qui définit qui dirige l’intervention technique, qui dirige la réponse de l’organisation et qui décide des notifications.</w:t>
      </w:r>
      <w:bookmarkEnd w:id="45"/>
    </w:p>
    <w:p>
      <w:pPr>
        <w:tabs>
          <w:tab w:val="left" w:pos="680"/>
        </w:tabs>
        <w:ind w:left="680" w:hanging="680"/>
      </w:pPr>
      <w:bookmarkStart w:id="46" w:name="_crgs_POL_002_21"/>
      <w:r>
        <w:rPr>
          <w:b/>
          <w:color w:val="0B4F6C"/>
        </w:rPr>
        <w:t xml:space="preserve">12.1</w:t>
        <w:tab/>
      </w:r>
      <w:r>
        <w:t xml:space="preserve">Toute personne qui constate ou soupçonne un incident ou une faiblesse de sécurité doit le signaler sans délai par les canaux établis par le gestionnaire des TI. Nul ne peut enquêter sur une faiblesse soupçonnée ni la tester de sa propre initiative.</w:t>
      </w:r>
      <w:bookmarkEnd w:id="46"/>
    </w:p>
    <w:p>
      <w:pPr>
        <w:pStyle w:val="Heading1"/>
      </w:pPr>
      <w:r>
        <w:t xml:space="preserve">13. Surveillance</w:t>
      </w:r>
    </w:p>
    <w:p>
      <w:pPr>
        <w:tabs>
          <w:tab w:val="left" w:pos="680"/>
        </w:tabs>
        <w:ind w:left="680" w:hanging="680"/>
      </w:pPr>
      <w:bookmarkStart w:id="47" w:name="_crgs_POL_002_22"/>
      <w:r>
        <w:rPr>
          <w:b/>
          <w:color w:val="0B4F6C"/>
        </w:rPr>
        <w:t xml:space="preserve">13.1</w:t>
        <w:tab/>
      </w:r>
      <w:r>
        <w:rPr>
          <w:b/>
          <w:highlight w:val="yellow"/>
        </w:rPr>
        <w:t xml:space="preserve">[DÉCISION : Préciser si et comment Northstar surveille l’utilisation de ses systèmes (révision juridique requise).]</w:t>
      </w:r>
      <w:bookmarkEnd w:id="47"/>
    </w:p>
    <w:p>
      <w:pPr>
        <w:pStyle w:val="Heading1"/>
      </w:pPr>
      <w:r>
        <w:t xml:space="preserve">14. Dérogations</w:t>
      </w:r>
    </w:p>
    <w:p>
      <w:pPr>
        <w:tabs>
          <w:tab w:val="left" w:pos="680"/>
        </w:tabs>
        <w:ind w:left="680" w:hanging="680"/>
      </w:pPr>
      <w:bookmarkStart w:id="48" w:name="_crgs_POL_002_23"/>
      <w:r>
        <w:rPr>
          <w:b/>
          <w:color w:val="0B4F6C"/>
        </w:rPr>
        <w:t xml:space="preserve">14.1</w:t>
        <w:tab/>
      </w:r>
      <w:r>
        <w:t xml:space="preserve">Les dérogations à toute politique ou norme de sécurité doivent être demandées par écrit, faire l’objet d’une évaluation du risque, être approuvées par le responsable du risque, être limitées dans le temps, être consignées au registre des dérogations et être revues avant leur échéance.</w:t>
      </w:r>
      <w:bookmarkEnd w:id="48"/>
    </w:p>
    <w:p>
      <w:pPr>
        <w:tabs>
          <w:tab w:val="left" w:pos="680"/>
        </w:tabs>
        <w:ind w:left="680" w:hanging="680"/>
      </w:pPr>
      <w:bookmarkStart w:id="49" w:name="_crgs_POL_002_24"/>
      <w:r>
        <w:rPr>
          <w:b/>
          <w:color w:val="0B4F6C"/>
        </w:rPr>
        <w:t xml:space="preserve">14.2</w:t>
        <w:tab/>
      </w:r>
      <w:r>
        <w:t xml:space="preserve">Une dérogation qui laisserait un risque résiduel inacceptable, ou qui écarterait une obligation légale, ne doit pas être approuvée.</w:t>
      </w:r>
      <w:bookmarkEnd w:id="49"/>
    </w:p>
    <w:p>
      <w:pPr>
        <w:pStyle w:val="Heading1"/>
      </w:pPr>
      <w:r>
        <w:t xml:space="preserve">15. Conformité, audit et mesure</w:t>
      </w:r>
    </w:p>
    <w:p>
      <w:pPr>
        <w:tabs>
          <w:tab w:val="left" w:pos="680"/>
        </w:tabs>
        <w:ind w:left="680" w:hanging="680"/>
      </w:pPr>
      <w:bookmarkStart w:id="50" w:name="_crgs_POL_002_25"/>
      <w:r>
        <w:rPr>
          <w:b/>
          <w:color w:val="0B4F6C"/>
        </w:rPr>
        <w:t xml:space="preserve">15.1</w:t>
        <w:tab/>
      </w:r>
      <w:r>
        <w:t xml:space="preserve">Le gestionnaire des TI rend compte au moins une fois par année à </w:t>
      </w:r>
      <w:r>
        <w:rPr>
          <w:b/>
          <w:highlight w:val="yellow"/>
        </w:rPr>
        <w:t xml:space="preserve">[DÉCISION : comité ou instance de gouvernance de la sécurité]</w:t>
      </w:r>
      <w:r>
        <w:t xml:space="preserve"> de l’état de la sécurité de l’information à l’aide d’indicateurs clés de risque dotés de responsables, de cibles et de seuils d’escalade.</w:t>
      </w:r>
      <w:bookmarkEnd w:id="50"/>
    </w:p>
    <w:p>
      <w:pPr>
        <w:tabs>
          <w:tab w:val="left" w:pos="680"/>
        </w:tabs>
        <w:ind w:left="680" w:hanging="680"/>
      </w:pPr>
      <w:bookmarkStart w:id="51" w:name="_crgs_POL_002_26"/>
      <w:r>
        <w:rPr>
          <w:b/>
          <w:color w:val="0B4F6C"/>
        </w:rPr>
        <w:t xml:space="preserve">15.2</w:t>
        <w:tab/>
      </w:r>
      <w:r>
        <w:t xml:space="preserve">Le respect de la présente politique peut être vérifié par autoévaluation, audit interne ou externe et essais techniques.</w:t>
      </w:r>
      <w:bookmarkEnd w:id="51"/>
    </w:p>
    <w:p>
      <w:pPr>
        <w:pStyle w:val="Heading1"/>
      </w:pPr>
      <w:r>
        <w:t xml:space="preserve">16. Non-respect</w:t>
      </w:r>
    </w:p>
    <w:p>
      <w:pPr>
        <w:tabs>
          <w:tab w:val="left" w:pos="680"/>
        </w:tabs>
        <w:ind w:left="680" w:hanging="680"/>
      </w:pPr>
      <w:bookmarkStart w:id="52" w:name="_crgs_POL_002_27"/>
      <w:r>
        <w:rPr>
          <w:b/>
          <w:color w:val="0B4F6C"/>
        </w:rPr>
        <w:t xml:space="preserve">16.1</w:t>
        <w:tab/>
      </w:r>
      <w:r>
        <w:t xml:space="preserve">Le non-respect de la présente politique ou des documents qui en découlent peut entraîner la suspension des droits d’accès et des mesures administratives, disciplinaires, contractuelles ou judiciaires proportionnées à la gravité et à l’intention du manquement, conformément à la loi, aux règles d’emploi et aux conventions collectives applicables.</w:t>
      </w:r>
      <w:bookmarkEnd w:id="52"/>
    </w:p>
    <w:p>
      <w:pPr>
        <w:pStyle w:val="Heading1"/>
      </w:pPr>
      <w:r>
        <w:t xml:space="preserve">17. Révision et entrée en vigueur</w:t>
      </w:r>
    </w:p>
    <w:p>
      <w:bookmarkStart w:id="53" w:name="_crgt_C15_1"/>
      <w:r>
        <w:t xml:space="preserve">La présente politique entre en vigueur à la date de son approbation par </w:t>
      </w:r>
      <w:r>
        <w:rPr>
          <w:b/>
          <w:highlight w:val="yellow"/>
        </w:rPr>
        <w:t xml:space="preserve">[APPROBATEUR : autorité qui approuve la politique d’entreprise]</w:t>
      </w:r>
      <w:r>
        <w:t xml:space="preserve">.</w:t>
      </w:r>
      <w:bookmarkEnd w:id="53"/>
    </w:p>
    <w:p>
      <w:pPr>
        <w:tabs>
          <w:tab w:val="left" w:pos="680"/>
        </w:tabs>
        <w:ind w:left="680" w:hanging="680"/>
      </w:pPr>
      <w:bookmarkStart w:id="54" w:name="_crgs_POL_002_28"/>
      <w:r>
        <w:rPr>
          <w:b/>
          <w:color w:val="0B4F6C"/>
        </w:rPr>
        <w:t xml:space="preserve">17.1</w:t>
        <w:tab/>
      </w:r>
      <w:r>
        <w:t xml:space="preserve">Le gestionnaire des TI tient à jour la présente politique. Elle est révisée </w:t>
      </w:r>
      <w:r>
        <w:rPr>
          <w:b/>
          <w:highlight w:val="yellow"/>
        </w:rPr>
        <w:t xml:space="preserve">[DÉCISION : cycle de révision des politiques]</w:t>
      </w:r>
      <w:r>
        <w:t xml:space="preserve"> et lors de tout changement important — nouvelle exigence légale, incident majeur, acquisition, changement technologique important ou nouvelle utilisation de l’intelligence artificielle.</w:t>
      </w:r>
      <w:bookmarkEnd w:id="54"/>
    </w:p>
    <w:p>
      <w:r>
        <w:br w:type="page"/>
      </w:r>
    </w:p>
    <w:p>
      <w:pPr>
        <w:pStyle w:val="Heading1"/>
      </w:pPr>
      <w:r>
        <w:t xml:space="preserve">Annexe A — Décisions ouvertes</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510"/>
        <w:gridCol w:w="2041"/>
        <w:gridCol w:w="1474"/>
        <w:gridCol w:w="5329"/>
      </w:tblGrid>
      <w:tr>
        <w:trPr>
          <w:tblHeader/>
          <w:cantSplit/>
        </w:trPr>
        <w:tc>
          <w:tcPr>
            <w:tcW w:w="510" w:type="dxa"/>
            <w:shd w:val="clear" w:color="auto" w:fill="0B4F6C"/>
          </w:tcPr>
          <w:p>
            <w:pPr>
              <w:spacing w:after="0"/>
            </w:pPr>
            <w:r>
              <w:rPr>
                <w:b/>
                <w:color w:val="FFFFFF"/>
                <w:sz w:val="17"/>
                <w:szCs w:val="17"/>
              </w:rPr>
              <w:t xml:space="preserve">#</w:t>
            </w:r>
          </w:p>
        </w:tc>
        <w:tc>
          <w:tcPr>
            <w:tcW w:w="2041" w:type="dxa"/>
            <w:shd w:val="clear" w:color="auto" w:fill="0B4F6C"/>
          </w:tcPr>
          <w:p>
            <w:pPr>
              <w:spacing w:after="0"/>
            </w:pPr>
            <w:r>
              <w:rPr>
                <w:b/>
                <w:color w:val="FFFFFF"/>
                <w:sz w:val="17"/>
                <w:szCs w:val="17"/>
              </w:rPr>
              <w:t xml:space="preserve">Emplacement</w:t>
            </w:r>
          </w:p>
        </w:tc>
        <w:tc>
          <w:tcPr>
            <w:tcW w:w="1474" w:type="dxa"/>
            <w:shd w:val="clear" w:color="auto" w:fill="0B4F6C"/>
          </w:tcPr>
          <w:p>
            <w:pPr>
              <w:spacing w:after="0"/>
            </w:pPr>
            <w:r>
              <w:rPr>
                <w:b/>
                <w:color w:val="FFFFFF"/>
                <w:sz w:val="17"/>
                <w:szCs w:val="17"/>
              </w:rPr>
              <w:t xml:space="preserve">Type</w:t>
            </w:r>
          </w:p>
        </w:tc>
        <w:tc>
          <w:tcPr>
            <w:tcW w:w="5329" w:type="dxa"/>
            <w:shd w:val="clear" w:color="auto" w:fill="0B4F6C"/>
          </w:tcPr>
          <w:p>
            <w:pPr>
              <w:spacing w:after="0"/>
            </w:pPr>
            <w:r>
              <w:rPr>
                <w:b/>
                <w:color w:val="FFFFFF"/>
                <w:sz w:val="17"/>
                <w:szCs w:val="17"/>
              </w:rPr>
              <w:t xml:space="preserve">Décision ou information requise</w:t>
            </w:r>
          </w:p>
        </w:tc>
      </w:tr>
      <w:tr>
        <w:trPr>
          <w:cantSplit/>
        </w:trPr>
        <w:tc>
          <w:tcPr>
            <w:tcW w:w="510" w:type="dxa"/>
          </w:tcPr>
          <w:p>
            <w:pPr>
              <w:spacing w:after="0"/>
            </w:pPr>
            <w:r>
              <w:rPr>
                <w:sz w:val="17"/>
                <w:szCs w:val="17"/>
              </w:rPr>
              <w:t xml:space="preserve">1</w:t>
            </w:r>
          </w:p>
        </w:tc>
        <w:tc>
          <w:tcPr>
            <w:tcW w:w="2041" w:type="dxa"/>
          </w:tcPr>
          <w:p>
            <w:pPr>
              <w:spacing w:after="0"/>
            </w:pPr>
            <w:r>
              <w:rPr>
                <w:sz w:val="17"/>
                <w:szCs w:val="17"/>
              </w:rPr>
              <w:t xml:space="preserve">7.1 (POL-002.2)</w:t>
            </w:r>
          </w:p>
        </w:tc>
        <w:tc>
          <w:tcPr>
            <w:tcW w:w="1474" w:type="dxa"/>
          </w:tcPr>
          <w:p>
            <w:pPr>
              <w:spacing w:after="0"/>
            </w:pPr>
            <w:r>
              <w:rPr>
                <w:sz w:val="17"/>
                <w:szCs w:val="17"/>
              </w:rPr>
              <w:t xml:space="preserve">APPROBATEUR</w:t>
            </w:r>
          </w:p>
        </w:tc>
        <w:tc>
          <w:tcPr>
            <w:tcW w:w="5329" w:type="dxa"/>
          </w:tcPr>
          <w:p>
            <w:pPr>
              <w:spacing w:after="0"/>
            </w:pPr>
            <w:r>
              <w:rPr>
                <w:sz w:val="17"/>
                <w:szCs w:val="17"/>
              </w:rPr>
              <w:t xml:space="preserve">autorité qui approuve la politique d’entreprise</w:t>
            </w:r>
          </w:p>
        </w:tc>
      </w:tr>
      <w:tr>
        <w:trPr>
          <w:cantSplit/>
        </w:trPr>
        <w:tc>
          <w:tcPr>
            <w:tcW w:w="510" w:type="dxa"/>
          </w:tcPr>
          <w:p>
            <w:pPr>
              <w:spacing w:after="0"/>
            </w:pPr>
            <w:r>
              <w:rPr>
                <w:sz w:val="17"/>
                <w:szCs w:val="17"/>
              </w:rPr>
              <w:t xml:space="preserve">2</w:t>
            </w:r>
          </w:p>
        </w:tc>
        <w:tc>
          <w:tcPr>
            <w:tcW w:w="2041" w:type="dxa"/>
          </w:tcPr>
          <w:p>
            <w:pPr>
              <w:spacing w:after="0"/>
            </w:pPr>
            <w:r>
              <w:rPr>
                <w:sz w:val="17"/>
                <w:szCs w:val="17"/>
              </w:rPr>
              <w:t xml:space="preserve">7.3 (POL-002.4)</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Désigner l’instance qui coordonne le programme de sécurité et examine les risques, dérogations et incidents importants.</w:t>
            </w:r>
          </w:p>
        </w:tc>
      </w:tr>
      <w:tr>
        <w:trPr>
          <w:cantSplit/>
        </w:trPr>
        <w:tc>
          <w:tcPr>
            <w:tcW w:w="510" w:type="dxa"/>
          </w:tcPr>
          <w:p>
            <w:pPr>
              <w:spacing w:after="0"/>
            </w:pPr>
            <w:r>
              <w:rPr>
                <w:sz w:val="17"/>
                <w:szCs w:val="17"/>
              </w:rPr>
              <w:t xml:space="preserve">3</w:t>
            </w:r>
          </w:p>
        </w:tc>
        <w:tc>
          <w:tcPr>
            <w:tcW w:w="2041" w:type="dxa"/>
          </w:tcPr>
          <w:p>
            <w:pPr>
              <w:spacing w:after="0"/>
            </w:pPr>
            <w:r>
              <w:rPr>
                <w:sz w:val="17"/>
                <w:szCs w:val="17"/>
              </w:rPr>
              <w:t xml:space="preserve">7.5 (POL-002.6)</w:t>
            </w:r>
          </w:p>
        </w:tc>
        <w:tc>
          <w:tcPr>
            <w:tcW w:w="1474" w:type="dxa"/>
          </w:tcPr>
          <w:p>
            <w:pPr>
              <w:spacing w:after="0"/>
            </w:pPr>
            <w:r>
              <w:rPr>
                <w:sz w:val="17"/>
                <w:szCs w:val="17"/>
              </w:rPr>
              <w:t xml:space="preserve">RÔLE</w:t>
            </w:r>
          </w:p>
        </w:tc>
        <w:tc>
          <w:tcPr>
            <w:tcW w:w="5329" w:type="dxa"/>
          </w:tcPr>
          <w:p>
            <w:pPr>
              <w:spacing w:after="0"/>
            </w:pPr>
            <w:r>
              <w:rPr>
                <w:sz w:val="17"/>
                <w:szCs w:val="17"/>
              </w:rPr>
              <w:t xml:space="preserve">personne responsable de la protection des renseignements personnels</w:t>
            </w:r>
          </w:p>
        </w:tc>
      </w:tr>
      <w:tr>
        <w:trPr>
          <w:cantSplit/>
        </w:trPr>
        <w:tc>
          <w:tcPr>
            <w:tcW w:w="510" w:type="dxa"/>
          </w:tcPr>
          <w:p>
            <w:pPr>
              <w:spacing w:after="0"/>
            </w:pPr>
            <w:r>
              <w:rPr>
                <w:sz w:val="17"/>
                <w:szCs w:val="17"/>
              </w:rPr>
              <w:t xml:space="preserve">4</w:t>
            </w:r>
          </w:p>
        </w:tc>
        <w:tc>
          <w:tcPr>
            <w:tcW w:w="2041" w:type="dxa"/>
          </w:tcPr>
          <w:p>
            <w:pPr>
              <w:spacing w:after="0"/>
            </w:pPr>
            <w:r>
              <w:rPr>
                <w:sz w:val="17"/>
                <w:szCs w:val="17"/>
              </w:rPr>
              <w:t xml:space="preserve">8</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document qui fixe les règles détaillées sur les risques et les dérogations</w:t>
            </w:r>
          </w:p>
        </w:tc>
      </w:tr>
      <w:tr>
        <w:trPr>
          <w:cantSplit/>
        </w:trPr>
        <w:tc>
          <w:tcPr>
            <w:tcW w:w="510" w:type="dxa"/>
          </w:tcPr>
          <w:p>
            <w:pPr>
              <w:spacing w:after="0"/>
            </w:pPr>
            <w:r>
              <w:rPr>
                <w:sz w:val="17"/>
                <w:szCs w:val="17"/>
              </w:rPr>
              <w:t xml:space="preserve">5</w:t>
            </w:r>
          </w:p>
        </w:tc>
        <w:tc>
          <w:tcPr>
            <w:tcW w:w="2041" w:type="dxa"/>
          </w:tcPr>
          <w:p>
            <w:pPr>
              <w:spacing w:after="0"/>
            </w:pPr>
            <w:r>
              <w:rPr>
                <w:sz w:val="17"/>
                <w:szCs w:val="17"/>
              </w:rPr>
              <w:t xml:space="preserve">8.2 (POL-002.13)</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comité ou instance de gouvernance de la sécurité</w:t>
            </w:r>
          </w:p>
        </w:tc>
      </w:tr>
      <w:tr>
        <w:trPr>
          <w:cantSplit/>
        </w:trPr>
        <w:tc>
          <w:tcPr>
            <w:tcW w:w="510" w:type="dxa"/>
          </w:tcPr>
          <w:p>
            <w:pPr>
              <w:spacing w:after="0"/>
            </w:pPr>
            <w:r>
              <w:rPr>
                <w:sz w:val="17"/>
                <w:szCs w:val="17"/>
              </w:rPr>
              <w:t xml:space="preserve">6</w:t>
            </w:r>
          </w:p>
        </w:tc>
        <w:tc>
          <w:tcPr>
            <w:tcW w:w="2041" w:type="dxa"/>
          </w:tcPr>
          <w:p>
            <w:pPr>
              <w:spacing w:after="0"/>
            </w:pPr>
            <w:r>
              <w:rPr>
                <w:sz w:val="17"/>
                <w:szCs w:val="17"/>
              </w:rPr>
              <w:t xml:space="preserve">8.3 (POL-002.14)</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Indiquer l’appétit approuvé pour le risque de cybersécurité ou en planifier l’approbation.</w:t>
            </w:r>
          </w:p>
        </w:tc>
      </w:tr>
      <w:tr>
        <w:trPr>
          <w:cantSplit/>
        </w:trPr>
        <w:tc>
          <w:tcPr>
            <w:tcW w:w="510" w:type="dxa"/>
          </w:tcPr>
          <w:p>
            <w:pPr>
              <w:spacing w:after="0"/>
            </w:pPr>
            <w:r>
              <w:rPr>
                <w:sz w:val="17"/>
                <w:szCs w:val="17"/>
              </w:rPr>
              <w:t xml:space="preserve">7</w:t>
            </w:r>
          </w:p>
        </w:tc>
        <w:tc>
          <w:tcPr>
            <w:tcW w:w="2041" w:type="dxa"/>
          </w:tcPr>
          <w:p>
            <w:pPr>
              <w:spacing w:after="0"/>
            </w:pPr>
            <w:r>
              <w:rPr>
                <w:sz w:val="17"/>
                <w:szCs w:val="17"/>
              </w:rPr>
              <w:t xml:space="preserve">10.2 (POL-002.18)</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autorité qui approuve les politiques thématiques</w:t>
            </w:r>
          </w:p>
        </w:tc>
      </w:tr>
      <w:tr>
        <w:trPr>
          <w:cantSplit/>
        </w:trPr>
        <w:tc>
          <w:tcPr>
            <w:tcW w:w="510" w:type="dxa"/>
          </w:tcPr>
          <w:p>
            <w:pPr>
              <w:spacing w:after="0"/>
            </w:pPr>
            <w:r>
              <w:rPr>
                <w:sz w:val="17"/>
                <w:szCs w:val="17"/>
              </w:rPr>
              <w:t xml:space="preserve">8</w:t>
            </w:r>
          </w:p>
        </w:tc>
        <w:tc>
          <w:tcPr>
            <w:tcW w:w="2041" w:type="dxa"/>
          </w:tcPr>
          <w:p>
            <w:pPr>
              <w:spacing w:after="0"/>
            </w:pPr>
            <w:r>
              <w:rPr>
                <w:sz w:val="17"/>
                <w:szCs w:val="17"/>
              </w:rPr>
              <w:t xml:space="preserve">13.1 (POL-002.22)</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Préciser si et comment Northstar surveille l’utilisation de ses systèmes (révision juridique requise).</w:t>
            </w:r>
          </w:p>
        </w:tc>
      </w:tr>
      <w:tr>
        <w:trPr>
          <w:cantSplit/>
        </w:trPr>
        <w:tc>
          <w:tcPr>
            <w:tcW w:w="510" w:type="dxa"/>
          </w:tcPr>
          <w:p>
            <w:pPr>
              <w:spacing w:after="0"/>
            </w:pPr>
            <w:r>
              <w:rPr>
                <w:sz w:val="17"/>
                <w:szCs w:val="17"/>
              </w:rPr>
              <w:t xml:space="preserve">9</w:t>
            </w:r>
          </w:p>
        </w:tc>
        <w:tc>
          <w:tcPr>
            <w:tcW w:w="2041" w:type="dxa"/>
          </w:tcPr>
          <w:p>
            <w:pPr>
              <w:spacing w:after="0"/>
            </w:pPr>
            <w:r>
              <w:rPr>
                <w:sz w:val="17"/>
                <w:szCs w:val="17"/>
              </w:rPr>
              <w:t xml:space="preserve">15.1 (POL-002.25)</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comité ou instance de gouvernance de la sécurité</w:t>
            </w:r>
          </w:p>
        </w:tc>
      </w:tr>
      <w:tr>
        <w:trPr>
          <w:cantSplit/>
        </w:trPr>
        <w:tc>
          <w:tcPr>
            <w:tcW w:w="510" w:type="dxa"/>
          </w:tcPr>
          <w:p>
            <w:pPr>
              <w:spacing w:after="0"/>
            </w:pPr>
            <w:r>
              <w:rPr>
                <w:sz w:val="17"/>
                <w:szCs w:val="17"/>
              </w:rPr>
              <w:t xml:space="preserve">10</w:t>
            </w:r>
          </w:p>
        </w:tc>
        <w:tc>
          <w:tcPr>
            <w:tcW w:w="2041" w:type="dxa"/>
          </w:tcPr>
          <w:p>
            <w:pPr>
              <w:spacing w:after="0"/>
            </w:pPr>
            <w:r>
              <w:rPr>
                <w:sz w:val="17"/>
                <w:szCs w:val="17"/>
              </w:rPr>
              <w:t xml:space="preserve">17</w:t>
            </w:r>
          </w:p>
        </w:tc>
        <w:tc>
          <w:tcPr>
            <w:tcW w:w="1474" w:type="dxa"/>
          </w:tcPr>
          <w:p>
            <w:pPr>
              <w:spacing w:after="0"/>
            </w:pPr>
            <w:r>
              <w:rPr>
                <w:sz w:val="17"/>
                <w:szCs w:val="17"/>
              </w:rPr>
              <w:t xml:space="preserve">APPROBATEUR</w:t>
            </w:r>
          </w:p>
        </w:tc>
        <w:tc>
          <w:tcPr>
            <w:tcW w:w="5329" w:type="dxa"/>
          </w:tcPr>
          <w:p>
            <w:pPr>
              <w:spacing w:after="0"/>
            </w:pPr>
            <w:r>
              <w:rPr>
                <w:sz w:val="17"/>
                <w:szCs w:val="17"/>
              </w:rPr>
              <w:t xml:space="preserve">autorité qui approuve la politique d’entreprise</w:t>
            </w:r>
          </w:p>
        </w:tc>
      </w:tr>
      <w:tr>
        <w:trPr>
          <w:cantSplit/>
        </w:trPr>
        <w:tc>
          <w:tcPr>
            <w:tcW w:w="510" w:type="dxa"/>
          </w:tcPr>
          <w:p>
            <w:pPr>
              <w:spacing w:after="0"/>
            </w:pPr>
            <w:r>
              <w:rPr>
                <w:sz w:val="17"/>
                <w:szCs w:val="17"/>
              </w:rPr>
              <w:t xml:space="preserve">11</w:t>
            </w:r>
          </w:p>
        </w:tc>
        <w:tc>
          <w:tcPr>
            <w:tcW w:w="2041" w:type="dxa"/>
          </w:tcPr>
          <w:p>
            <w:pPr>
              <w:spacing w:after="0"/>
            </w:pPr>
            <w:r>
              <w:rPr>
                <w:sz w:val="17"/>
                <w:szCs w:val="17"/>
              </w:rPr>
              <w:t xml:space="preserve">17.1 (POL-002.28)</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cycle de révision des politiques</w:t>
            </w:r>
          </w:p>
        </w:tc>
      </w:tr>
    </w:tbl>
    <w:p>
      <w:pPr>
        <w:spacing w:after="40"/>
      </w:pPr>
      <w:r/>
    </w:p>
    <w:p>
      <w:pPr>
        <w:pStyle w:val="Heading1"/>
      </w:pPr>
      <w:r>
        <w:t xml:space="preserve">Annexe B — Énoncés et traçabilité</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1871"/>
        <w:gridCol w:w="1077"/>
        <w:gridCol w:w="2041"/>
        <w:gridCol w:w="2381"/>
        <w:gridCol w:w="1984"/>
      </w:tblGrid>
      <w:tr>
        <w:trPr>
          <w:tblHeader/>
          <w:cantSplit/>
        </w:trPr>
        <w:tc>
          <w:tcPr>
            <w:tcW w:w="1871" w:type="dxa"/>
            <w:shd w:val="clear" w:color="auto" w:fill="0B4F6C"/>
          </w:tcPr>
          <w:p>
            <w:pPr>
              <w:spacing w:after="0"/>
            </w:pPr>
            <w:r>
              <w:rPr>
                <w:b/>
                <w:color w:val="FFFFFF"/>
                <w:sz w:val="16"/>
                <w:szCs w:val="16"/>
              </w:rPr>
              <w:t xml:space="preserve">Énoncé</w:t>
            </w:r>
          </w:p>
        </w:tc>
        <w:tc>
          <w:tcPr>
            <w:tcW w:w="1077" w:type="dxa"/>
            <w:shd w:val="clear" w:color="auto" w:fill="0B4F6C"/>
          </w:tcPr>
          <w:p>
            <w:pPr>
              <w:spacing w:after="0"/>
            </w:pPr>
            <w:r>
              <w:rPr>
                <w:b/>
                <w:color w:val="FFFFFF"/>
                <w:sz w:val="16"/>
                <w:szCs w:val="16"/>
              </w:rPr>
              <w:t xml:space="preserve">Modalité</w:t>
            </w:r>
          </w:p>
        </w:tc>
        <w:tc>
          <w:tcPr>
            <w:tcW w:w="2041" w:type="dxa"/>
            <w:shd w:val="clear" w:color="auto" w:fill="0B4F6C"/>
          </w:tcPr>
          <w:p>
            <w:pPr>
              <w:spacing w:after="0"/>
            </w:pPr>
            <w:r>
              <w:rPr>
                <w:b/>
                <w:color w:val="FFFFFF"/>
                <w:sz w:val="16"/>
                <w:szCs w:val="16"/>
              </w:rPr>
              <w:t xml:space="preserve">Fondement</w:t>
            </w:r>
          </w:p>
        </w:tc>
        <w:tc>
          <w:tcPr>
            <w:tcW w:w="2381" w:type="dxa"/>
            <w:shd w:val="clear" w:color="auto" w:fill="0B4F6C"/>
          </w:tcPr>
          <w:p>
            <w:pPr>
              <w:spacing w:after="0"/>
            </w:pPr>
            <w:r>
              <w:rPr>
                <w:b/>
                <w:color w:val="FFFFFF"/>
                <w:sz w:val="16"/>
                <w:szCs w:val="16"/>
              </w:rPr>
              <w:t xml:space="preserve">Mesures (CRGO)</w:t>
            </w:r>
          </w:p>
        </w:tc>
        <w:tc>
          <w:tcPr>
            <w:tcW w:w="1984" w:type="dxa"/>
            <w:shd w:val="clear" w:color="auto" w:fill="0B4F6C"/>
          </w:tcPr>
          <w:p>
            <w:pPr>
              <w:spacing w:after="0"/>
            </w:pPr>
            <w:r>
              <w:rPr>
                <w:b/>
                <w:color w:val="FFFFFF"/>
                <w:sz w:val="16"/>
                <w:szCs w:val="16"/>
              </w:rPr>
              <w:t xml:space="preserve">Révision</w:t>
            </w:r>
          </w:p>
        </w:tc>
      </w:tr>
      <w:tr>
        <w:trPr>
          <w:cantSplit/>
        </w:trPr>
        <w:tc>
          <w:tcPr>
            <w:tcW w:w="1871" w:type="dxa"/>
          </w:tcPr>
          <w:p>
            <w:pPr>
              <w:spacing w:after="0"/>
            </w:pPr>
            <w:r>
              <w:rPr>
                <w:sz w:val="16"/>
                <w:szCs w:val="16"/>
              </w:rPr>
              <w:t xml:space="preserve">5.1 · POL-002.1</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ISO22:5.31, CSF2:GV.OC</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7.1 · POL-002.2</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ISO27001:5.1, CSF2:GV.RR</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7.2 · POL-002.3</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CSF2:GV.RR</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7.3 · POL-002.4</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7.4 · POL-002.5</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ISO22:5.2</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7.5 · POL-002.6</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ISO22:5.34</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7.6 · POL-002.7</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ISO22:5.9, ISO22:5.12</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7.7 · POL-002.8</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7.8 · POL-002.9</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7.9 · POL-002.10</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ISO22:6.1, ISO22:6.5</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7.10 · POL-002.11</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ISO22:6.8</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8.1 · POL-002.12</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ISO27001:6.1, CSF2:GV.RM, CSF2:ID.RA</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8.2 · POL-002.13</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CSF2:GV.RM</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8.3 · POL-002.14</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9.1 · POL-002.15</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ISO22:5.12, CSF2:ID.AM</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9.2 · POL-002.16</w:t>
            </w:r>
          </w:p>
        </w:tc>
        <w:tc>
          <w:tcPr>
            <w:tcW w:w="1077" w:type="dxa"/>
          </w:tcPr>
          <w:p>
            <w:pPr>
              <w:spacing w:after="0"/>
            </w:pPr>
            <w:r>
              <w:rPr>
                <w:sz w:val="16"/>
                <w:szCs w:val="16"/>
              </w:rPr>
              <w:t xml:space="preserve">Devrait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10.1 · POL-002.17</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 CSF2:GV.PO-01</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10.2 · POL-002.18</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11.1 · POL-002.19</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ISO22:6.3, CSF2:PR.AT</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11.2 · POL-002.20</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ISO22:5.10</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12.1 · POL-002.21</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ISO22:6.8, CSF2:RS.MA</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13.1 · POL-002.22</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14.1 · POL-002.23</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ISO22:5.36</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14.2 · POL-002.24</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15.1 · POL-002.25</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CSF2:GV.OV, ISO27001:9.1</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15.2 · POL-002.26</w:t>
            </w:r>
          </w:p>
        </w:tc>
        <w:tc>
          <w:tcPr>
            <w:tcW w:w="1077" w:type="dxa"/>
          </w:tcPr>
          <w:p>
            <w:pPr>
              <w:spacing w:after="0"/>
            </w:pPr>
            <w:r>
              <w:rPr>
                <w:sz w:val="16"/>
                <w:szCs w:val="16"/>
              </w:rPr>
              <w:t xml:space="preserve">Peut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ISO22:5.35</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16.1 · POL-002.27</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ISO22:6.4</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17.1 · POL-002.28</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 CSF2:GV.PO-02</w:t>
            </w:r>
          </w:p>
        </w:tc>
        <w:tc>
          <w:tcPr>
            <w:tcW w:w="1984" w:type="dxa"/>
          </w:tcPr>
          <w:p>
            <w:pPr>
              <w:spacing w:after="0"/>
            </w:pPr>
            <w:r>
              <w:rPr>
                <w:sz w:val="16"/>
                <w:szCs w:val="16"/>
              </w:rPr>
              <w:t xml:space="preserve">—</w:t>
            </w:r>
          </w:p>
        </w:tc>
      </w:tr>
    </w:tbl>
    <w:p>
      <w:pPr>
        <w:spacing w:after="40"/>
      </w:pPr>
      <w:r/>
    </w:p>
    <w:p>
      <w:pPr>
        <w:pStyle w:val="Heading1"/>
      </w:pPr>
      <w:r>
        <w:t xml:space="preserve">Annexe C — Hypothèses et écarts de mise en œuvre</w:t>
      </w:r>
    </w:p>
    <w:p>
      <w:pPr>
        <w:pStyle w:val="Heading2"/>
      </w:pPr>
      <w:r>
        <w:t xml:space="preserve">Hypothèses</w:t>
      </w:r>
    </w:p>
    <w:p>
      <w:pPr>
        <w:pStyle w:val="ListBullet"/>
      </w:pPr>
      <w:r>
        <w:t xml:space="preserve">Aucun schéma de classification n’a été fourni; le schéma recommandé à quatre niveaux (Public, Interne, Confidentiel, Restreint) est utilisé et doit être confirmé.</w:t>
      </w:r>
    </w:p>
    <w:sectPr>
      <w:headerReference w:type="default" r:id="rIdH"/>
      <w:footerReference w:type="default" r:id="rIdF"/>
      <w:pgSz w:w="12240" w:h="15840"/>
      <w:pgMar w:top="1247" w:right="1304" w:bottom="1134" w:left="1304" w:header="708" w:footer="708" w:gutter="0"/>
    </w:sectPr>
  </w:body>
</w:document>
</file>

<file path=word/footer1.xml><?xml version="1.0" encoding="utf-8"?>
<w:ftr xmlns:w="http://schemas.openxmlformats.org/wordprocessingml/2006/main">
  <w:p>
    <w:pPr>
      <w:tabs>
        <w:tab w:val="right" w:pos="9582"/>
      </w:tabs>
    </w:pPr>
    <w:r>
      <w:rPr>
        <w:color w:val="5F6B76"/>
        <w:sz w:val="17"/>
        <w:szCs w:val="17"/>
      </w:rPr>
      <w:t xml:space="preserve">Classification: Interne · Version 0.1</w:t>
      <w:tab/>
      <w:t xml:space="preserve">Page </w:t>
    </w:r>
    <w:r>
      <w:rPr>
        <w:color w:val="5F6B76"/>
        <w:sz w:val="17"/>
        <w:szCs w:val="17"/>
      </w:rPr>
      <w:fldChar w:fldCharType="begin"/>
    </w:r>
    <w:r>
      <w:rPr>
        <w:color w:val="5F6B76"/>
        <w:sz w:val="17"/>
        <w:szCs w:val="17"/>
      </w:rPr>
      <w:instrText xml:space="preserve"> PAGE </w:instrText>
    </w:r>
    <w:r>
      <w:rPr>
        <w:color w:val="5F6B76"/>
        <w:sz w:val="17"/>
        <w:szCs w:val="17"/>
      </w:rPr>
      <w:fldChar w:fldCharType="separate"/>
    </w:r>
    <w:r>
      <w:rPr>
        <w:color w:val="5F6B76"/>
        <w:sz w:val="17"/>
        <w:szCs w:val="17"/>
      </w:rPr>
      <w:t xml:space="preserve">1</w:t>
    </w:r>
    <w:r>
      <w:rPr>
        <w:color w:val="5F6B76"/>
        <w:sz w:val="17"/>
        <w:szCs w:val="17"/>
      </w:rPr>
      <w:fldChar w:fldCharType="end"/>
    </w:r>
    <w:r>
      <w:rPr>
        <w:color w:val="5F6B76"/>
        <w:sz w:val="17"/>
        <w:szCs w:val="17"/>
      </w:rPr>
      <w:t xml:space="preserve"> de </w:t>
    </w:r>
    <w:r>
      <w:rPr>
        <w:color w:val="5F6B76"/>
        <w:sz w:val="17"/>
        <w:szCs w:val="17"/>
      </w:rPr>
      <w:fldChar w:fldCharType="begin"/>
    </w:r>
    <w:r>
      <w:rPr>
        <w:color w:val="5F6B76"/>
        <w:sz w:val="17"/>
        <w:szCs w:val="17"/>
      </w:rPr>
      <w:instrText xml:space="preserve"> NUMPAGES </w:instrText>
    </w:r>
    <w:r>
      <w:rPr>
        <w:color w:val="5F6B76"/>
        <w:sz w:val="17"/>
        <w:szCs w:val="17"/>
      </w:rPr>
      <w:fldChar w:fldCharType="separate"/>
    </w:r>
    <w:r>
      <w:rPr>
        <w:color w:val="5F6B76"/>
        <w:sz w:val="17"/>
        <w:szCs w:val="17"/>
      </w:rPr>
      <w:t xml:space="preserve">1</w:t>
    </w:r>
    <w:r>
      <w:rPr>
        <w:color w:val="5F6B76"/>
        <w:sz w:val="17"/>
        <w:szCs w:val="17"/>
      </w:rPr>
      <w:fldChar w:fldCharType="end"/>
    </w:r>
  </w:p>
</w:ftr>
</file>

<file path=word/header1.xml><?xml version="1.0" encoding="utf-8"?>
<w:hdr xmlns:w="http://schemas.openxmlformats.org/wordprocessingml/2006/main">
  <w:p>
    <w:pPr>
      <w:tabs>
        <w:tab w:val="right" w:pos="9582"/>
      </w:tabs>
    </w:pPr>
    <w:r>
      <w:rPr>
        <w:color w:val="5F6B76"/>
        <w:sz w:val="17"/>
        <w:szCs w:val="17"/>
      </w:rPr>
      <w:t xml:space="preserve">Northstar Digital Services (fictional) — NOR-EISP-001</w:t>
    </w:r>
    <w:r>
      <w:tab/>
    </w:r>
    <w:r>
      <w:rPr>
        <w:b/>
        <w:color w:val="B42318"/>
        <w:sz w:val="17"/>
        <w:szCs w:val="17"/>
      </w:rPr>
      <w:t xml:space="preserve">ÉBAUCHE — NON APPROUVÉE</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zoom w:percent="100"/>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1"/>
        <w:szCs w:val="21"/>
        <w:lang w:val="fr-CA"/>
      </w:rPr>
    </w:rPrDefault>
    <w:pPrDefault>
      <w:pPr>
        <w:spacing w:after="100" w:line="269" w:lineRule="auto"/>
      </w:pPr>
    </w:pPrDefault>
  </w:docDefaults>
  <w:style w:type="paragraph" w:default="1" w:styleId="Normal">
    <w:name w:val="Normal"/>
    <w:qFormat/>
    <w:rPr>
      <w:rFonts w:ascii="Calibri" w:hAnsi="Calibri" w:eastAsia="Calibri" w:cs="Calibri"/>
      <w:color w:val="1F2A37"/>
      <w:sz w:val="21"/>
    </w:rPr>
  </w:style>
  <w:style w:type="paragraph" w:styleId="Title">
    <w:name w:val="Title"/>
    <w:basedOn w:val="Normal"/>
    <w:next w:val="Normal"/>
    <w:uiPriority w:val="10"/>
    <w:qFormat/>
    <w:pPr>
      <w:keepNext/>
      <w:spacing w:before="0" w:after="120"/>
    </w:pPr>
    <w:rPr>
      <w:rFonts w:ascii="Calibri" w:hAnsi="Calibri" w:eastAsia="Calibri" w:cs="Calibri"/>
      <w:b/>
      <w:color w:val="1F2A37"/>
      <w:sz w:val="44"/>
    </w:rPr>
  </w:style>
  <w:style w:type="paragraph" w:styleId="Heading1">
    <w:name w:val="heading 1"/>
    <w:basedOn w:val="Normal"/>
    <w:next w:val="Normal"/>
    <w:uiPriority w:val="9"/>
    <w:qFormat/>
    <w:pPr>
      <w:keepNext/>
      <w:spacing w:before="320" w:after="120"/>
      <w:outlineLvl w:val="0"/>
    </w:pPr>
    <w:rPr>
      <w:rFonts w:ascii="Calibri" w:hAnsi="Calibri" w:eastAsia="Calibri" w:cs="Calibri"/>
      <w:b/>
      <w:color w:val="0B4F6C"/>
      <w:sz w:val="28"/>
    </w:rPr>
  </w:style>
  <w:style w:type="paragraph" w:styleId="Heading2">
    <w:name w:val="heading 2"/>
    <w:basedOn w:val="Normal"/>
    <w:next w:val="Normal"/>
    <w:uiPriority w:val="9"/>
    <w:qFormat/>
    <w:pPr>
      <w:keepNext/>
      <w:spacing w:before="200" w:after="120"/>
      <w:outlineLvl w:val="1"/>
    </w:pPr>
    <w:rPr>
      <w:rFonts w:ascii="Calibri" w:hAnsi="Calibri" w:eastAsia="Calibri" w:cs="Calibri"/>
      <w:b/>
      <w:color w:val="0B4F6C"/>
      <w:sz w:val="24"/>
    </w:rPr>
  </w:style>
  <w:style w:type="paragraph" w:styleId="ListBullet">
    <w:name w:val="List Bullet"/>
    <w:basedOn w:val="Normal"/>
    <w:pPr>
      <w:numPr>
        <w:ilvl w:val="0"/>
        <w:numId w:val="1"/>
      </w:numPr>
    </w:pPr>
  </w:style>
  <w:style w:type="paragraph" w:styleId="TOC1">
    <w:name w:val="toc 1"/>
    <w:basedOn w:val="Normal"/>
    <w:next w:val="Normal"/>
    <w:uiPriority w:val="39"/>
    <w:pPr>
      <w:spacing w:after="60"/>
    </w:pPr>
  </w:style>
  <w:style w:type="character" w:default="1" w:styleId="DefaultParagraphFont">
    <w:name w:val="Default Paragraph Font"/>
    <w:uiPriority w:val="1"/>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S" Type="http://schemas.openxmlformats.org/officeDocument/2006/relationships/styles" Target="styles.xml"/><Relationship Id="rIdT" Type="http://schemas.openxmlformats.org/officeDocument/2006/relationships/settings" Target="settings.xml"/><Relationship Id="rIdN" Type="http://schemas.openxmlformats.org/officeDocument/2006/relationships/numbering" Target="numbering.xml"/><Relationship Id="rIdH" Type="http://schemas.openxmlformats.org/officeDocument/2006/relationships/header" Target="header1.xml"/><Relationship Id="rIdF" Type="http://schemas.openxmlformats.org/officeDocument/2006/relationships/footer" Target="footer1.xml"/></Relationships>
</file>

<file path=docProps/app.xml><?xml version="1.0" encoding="utf-8"?>
<Properties xmlns="http://schemas.openxmlformats.org/officeDocument/2006/extended-properties">
  <Application>CyberRiskGuardian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Politique de sécurité de l’information de l’entreprise</dc:title>
  <dc:subject>NOR-EISP-001</dc:subject>
  <dc:creator>CyberRiskGuardian</dc:creator>
  <cp:keywords>isp=POL-002; writer=EISP; library=2026.10-2</cp:keywords>
  <dc:description>Ébauche produite avec un logiciel d’aide à la décision (CyberRiskGuardian Security Policy Writer). Elle ne constitue pas un avis juridique et n’est pas en vigueur tant qu’elle n’a pas été approuvée et publiée dans la gestion des PSI par les personnes</dc:description>
  <dc:identifier>crg-isp|sample|POL-002|v0.1|fr|draft|5d71fabe596622f8</dc:identifier>
  <dc:language>fr-CA</dc:language>
  <cp:category>Politique de sécurité de l’information — ÉBAUCHE</cp:category>
  <cp:version>0.1</cp:version>
  <cp:lastModifiedBy>CyberRiskGuardian</cp:lastModifiedBy>
  <dcterms:created xsi:type="dcterms:W3CDTF">2026-10-19T20:35:40Z</dcterms:created>
  <dcterms:modified xsi:type="dcterms:W3CDTF">2026-10-19T20:35:40Z</dcterms:modified>
</cp:coreProperties>
</file>