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Acceptable Use Policy</w:t>
      </w:r>
    </w:p>
    <w:p>
      <w:r>
        <w:rPr>
          <w:color w:val="5F6B76"/>
          <w:sz w:val="22"/>
          <w:szCs w:val="22"/>
        </w:rPr>
        <w:t xml:space="preserve">Northstar Digital Services (fictional)  ·  NOR-POL-AUP-001  ·  Policy</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DRAFT — NOT APPROVED</w:t>
            </w:r>
          </w:p>
        </w:tc>
      </w:tr>
    </w:tbl>
    <w:p>
      <w:r/>
    </w:p>
    <w:p>
      <w:pPr>
        <w:pStyle w:val="Heading2"/>
      </w:pPr>
      <w:r>
        <w:t xml:space="preserve">Document control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Document number</w:t>
            </w:r>
          </w:p>
        </w:tc>
        <w:tc>
          <w:tcPr>
            <w:tcW w:w="6520" w:type="dxa"/>
          </w:tcPr>
          <w:p>
            <w:pPr>
              <w:spacing w:after="0"/>
            </w:pPr>
            <w:r>
              <w:rPr>
                <w:sz w:val="18"/>
                <w:szCs w:val="18"/>
              </w:rPr>
              <w:t xml:space="preserve">NOR-POL-AUP-001</w:t>
            </w:r>
          </w:p>
        </w:tc>
      </w:tr>
      <w:tr>
        <w:trPr>
          <w:cantSplit/>
        </w:trPr>
        <w:tc>
          <w:tcPr>
            <w:tcW w:w="2835" w:type="dxa"/>
            <w:shd w:val="clear" w:color="auto" w:fill="E8EEF2"/>
          </w:tcPr>
          <w:p>
            <w:pPr>
              <w:spacing w:after="0"/>
            </w:pPr>
            <w:r>
              <w:rPr>
                <w:b/>
                <w:sz w:val="18"/>
                <w:szCs w:val="18"/>
              </w:rPr>
              <w:t xml:space="preserve">ISP record</w:t>
            </w:r>
          </w:p>
        </w:tc>
        <w:tc>
          <w:tcPr>
            <w:tcW w:w="6520" w:type="dxa"/>
          </w:tcPr>
          <w:p>
            <w:pPr>
              <w:spacing w:after="0"/>
            </w:pPr>
            <w:r>
              <w:rPr>
                <w:sz w:val="18"/>
                <w:szCs w:val="18"/>
              </w:rPr>
              <w:t xml:space="preserve">POL-003</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Status</w:t>
            </w:r>
          </w:p>
        </w:tc>
        <w:tc>
          <w:tcPr>
            <w:tcW w:w="6520" w:type="dxa"/>
          </w:tcPr>
          <w:p>
            <w:pPr>
              <w:spacing w:after="0"/>
            </w:pPr>
            <w:r>
              <w:rPr>
                <w:sz w:val="18"/>
                <w:szCs w:val="18"/>
              </w:rPr>
              <w:t xml:space="preserve">Draft — not approved; not in force</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Internal</w:t>
            </w:r>
          </w:p>
        </w:tc>
      </w:tr>
      <w:tr>
        <w:trPr>
          <w:cantSplit/>
        </w:trPr>
        <w:tc>
          <w:tcPr>
            <w:tcW w:w="2835" w:type="dxa"/>
            <w:shd w:val="clear" w:color="auto" w:fill="E8EEF2"/>
          </w:tcPr>
          <w:p>
            <w:pPr>
              <w:spacing w:after="0"/>
            </w:pPr>
            <w:r>
              <w:rPr>
                <w:b/>
                <w:sz w:val="18"/>
                <w:szCs w:val="18"/>
              </w:rPr>
              <w:t xml:space="preserve">Policy owner</w:t>
            </w:r>
          </w:p>
        </w:tc>
        <w:tc>
          <w:tcPr>
            <w:tcW w:w="6520" w:type="dxa"/>
          </w:tcPr>
          <w:p>
            <w:pPr>
              <w:spacing w:after="0"/>
            </w:pPr>
            <w:r>
              <w:rPr>
                <w:sz w:val="18"/>
                <w:szCs w:val="18"/>
              </w:rPr>
              <w:t xml:space="preserve">The IT Manager</w:t>
            </w:r>
          </w:p>
        </w:tc>
      </w:tr>
      <w:tr>
        <w:trPr>
          <w:cantSplit/>
        </w:trPr>
        <w:tc>
          <w:tcPr>
            <w:tcW w:w="2835" w:type="dxa"/>
            <w:shd w:val="clear" w:color="auto" w:fill="E8EEF2"/>
          </w:tcPr>
          <w:p>
            <w:pPr>
              <w:spacing w:after="0"/>
            </w:pPr>
            <w:r>
              <w:rPr>
                <w:b/>
                <w:sz w:val="18"/>
                <w:szCs w:val="18"/>
              </w:rPr>
              <w:t xml:space="preserve">Approval authority</w:t>
            </w:r>
          </w:p>
        </w:tc>
        <w:tc>
          <w:tcPr>
            <w:tcW w:w="6520" w:type="dxa"/>
          </w:tcPr>
          <w:p>
            <w:pPr>
              <w:spacing w:after="0"/>
            </w:pPr>
            <w:r>
              <w:rPr>
                <w:b/>
                <w:sz w:val="18"/>
                <w:szCs w:val="18"/>
                <w:highlight w:val="yellow"/>
              </w:rPr>
              <w:t xml:space="preserve">[APPROVER: approval authority]</w:t>
            </w:r>
          </w:p>
        </w:tc>
      </w:tr>
      <w:tr>
        <w:trPr>
          <w:cantSplit/>
        </w:trPr>
        <w:tc>
          <w:tcPr>
            <w:tcW w:w="2835" w:type="dxa"/>
            <w:shd w:val="clear" w:color="auto" w:fill="E8EEF2"/>
          </w:tcPr>
          <w:p>
            <w:pPr>
              <w:spacing w:after="0"/>
            </w:pPr>
            <w:r>
              <w:rPr>
                <w:b/>
                <w:sz w:val="18"/>
                <w:szCs w:val="18"/>
              </w:rPr>
              <w:t xml:space="preserve">Review cycle</w:t>
            </w:r>
          </w:p>
        </w:tc>
        <w:tc>
          <w:tcPr>
            <w:tcW w:w="6520" w:type="dxa"/>
          </w:tcPr>
          <w:p>
            <w:pPr>
              <w:spacing w:after="0"/>
            </w:pPr>
            <w:r>
              <w:rPr>
                <w:sz w:val="18"/>
                <w:szCs w:val="18"/>
              </w:rPr>
              <w:t xml:space="preserve">12 months</w:t>
            </w:r>
          </w:p>
        </w:tc>
      </w:tr>
      <w:tr>
        <w:trPr>
          <w:cantSplit/>
        </w:trPr>
        <w:tc>
          <w:tcPr>
            <w:tcW w:w="2835" w:type="dxa"/>
            <w:shd w:val="clear" w:color="auto" w:fill="E8EEF2"/>
          </w:tcPr>
          <w:p>
            <w:pPr>
              <w:spacing w:after="0"/>
            </w:pPr>
            <w:r>
              <w:rPr>
                <w:b/>
                <w:sz w:val="18"/>
                <w:szCs w:val="18"/>
              </w:rPr>
              <w:t xml:space="preserve">Effective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Next review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Language</w:t>
            </w:r>
          </w:p>
        </w:tc>
        <w:tc>
          <w:tcPr>
            <w:tcW w:w="6520" w:type="dxa"/>
          </w:tcPr>
          <w:p>
            <w:pPr>
              <w:spacing w:after="0"/>
            </w:pPr>
            <w:r>
              <w:rPr>
                <w:sz w:val="18"/>
                <w:szCs w:val="18"/>
              </w:rPr>
              <w:t xml:space="preserve">English</w:t>
            </w:r>
          </w:p>
        </w:tc>
      </w:tr>
      <w:tr>
        <w:trPr>
          <w:cantSplit/>
        </w:trPr>
        <w:tc>
          <w:tcPr>
            <w:tcW w:w="2835" w:type="dxa"/>
            <w:shd w:val="clear" w:color="auto" w:fill="E8EEF2"/>
          </w:tcPr>
          <w:p>
            <w:pPr>
              <w:spacing w:after="0"/>
            </w:pPr>
            <w:r>
              <w:rPr>
                <w:b/>
                <w:sz w:val="18"/>
                <w:szCs w:val="18"/>
              </w:rPr>
              <w:t xml:space="preserve">Produced with</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Exported on</w:t>
            </w:r>
          </w:p>
        </w:tc>
        <w:tc>
          <w:tcPr>
            <w:tcW w:w="6520" w:type="dxa"/>
          </w:tcPr>
          <w:p>
            <w:pPr>
              <w:spacing w:after="0"/>
            </w:pPr>
            <w:r>
              <w:rPr>
                <w:sz w:val="18"/>
                <w:szCs w:val="18"/>
              </w:rPr>
              <w:t xml:space="preserve">2026-10-19</w:t>
            </w:r>
          </w:p>
        </w:tc>
      </w:tr>
    </w:tbl>
    <w:p>
      <w:pPr>
        <w:spacing w:after="40"/>
      </w:pPr>
      <w:r/>
    </w:p>
    <w:p>
      <w:pPr>
        <w:pStyle w:val="Heading2"/>
      </w:pPr>
      <w:r>
        <w:t xml:space="preserve">Approval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Role</w:t>
            </w:r>
          </w:p>
        </w:tc>
        <w:tc>
          <w:tcPr>
            <w:tcW w:w="3175" w:type="dxa"/>
            <w:shd w:val="clear" w:color="auto" w:fill="0B4F6C"/>
          </w:tcPr>
          <w:p>
            <w:pPr>
              <w:spacing w:after="0"/>
            </w:pPr>
            <w:r>
              <w:rPr>
                <w:b/>
                <w:color w:val="FFFFFF"/>
                <w:sz w:val="18"/>
                <w:szCs w:val="18"/>
              </w:rPr>
              <w:t xml:space="preserve">Name</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Approval authority</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Policy owner</w:t>
            </w:r>
          </w:p>
        </w:tc>
        <w:tc>
          <w:tcPr>
            <w:tcW w:w="3175" w:type="dxa"/>
          </w:tcPr>
          <w:p>
            <w:pPr>
              <w:spacing w:after="0"/>
            </w:pPr>
            <w:r>
              <w:rPr>
                <w:sz w:val="18"/>
                <w:szCs w:val="18"/>
              </w:rPr>
              <w:t xml:space="preserve">The IT Manager</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Draft produced with decision-support software (CyberRiskGuardian Security Policy Writer). It is not legal advice and is not in force until approved and published in ISP management by the authorized persons. Control references indicate the topics addressed; a mapping, a statement or an acknowledgement is never evidence of compliance.</w:t>
      </w:r>
    </w:p>
    <w:p>
      <w:r>
        <w:br w:type="page"/>
      </w:r>
    </w:p>
    <w:p>
      <w:pPr>
        <w:pStyle w:val="Heading2"/>
      </w:pPr>
      <w:r>
        <w:t xml:space="preserve">Contents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Right-click and choose “Update Field” (or press F9) to build the table of contents.</w:t>
      </w:r>
      <w:r>
        <w:rPr>
          <w:i/>
          <w:color w:val="5F6B76"/>
        </w:rPr>
        <w:fldChar w:fldCharType="end"/>
      </w:r>
    </w:p>
    <w:p>
      <w:r/>
    </w:p>
    <w:p>
      <w:pPr>
        <w:pStyle w:val="Heading1"/>
      </w:pPr>
      <w:r>
        <w:t xml:space="preserve">1. Purpose</w:t>
      </w:r>
    </w:p>
    <w:p>
      <w:bookmarkStart w:id="1" w:name="_crgt_purpose_1"/>
      <w:r>
        <w:t xml:space="preserve">This policy sets the rules that every user of Northstar’s information and technology must follow, so that these resources are used lawfully, safely and for the purposes of Northstar.</w:t>
      </w:r>
      <w:bookmarkEnd w:id="1"/>
    </w:p>
    <w:p>
      <w:pPr>
        <w:pStyle w:val="Heading1"/>
      </w:pPr>
      <w:r>
        <w:t xml:space="preserve">2. Scope</w:t>
      </w:r>
    </w:p>
    <w:p>
      <w:bookmarkStart w:id="2" w:name="_crgt_scope_1"/>
      <w:r>
        <w:t xml:space="preserve">This policy applies to all employees, contractors, consultants, temporary staff and other persons who access Northstar’s information or information systems, wherever they work.</w:t>
      </w:r>
      <w:bookmarkEnd w:id="2"/>
    </w:p>
    <w:p>
      <w:bookmarkStart w:id="3" w:name="_crgt_scope_2"/>
      <w:r>
        <w:t xml:space="preserve">It covers information in all forms and all systems owned, leased, operated or used on behalf of Northstar, including cloud services and systems operated by suppliers.</w:t>
      </w:r>
      <w:bookmarkEnd w:id="3"/>
    </w:p>
    <w:p>
      <w:pPr>
        <w:pStyle w:val="Heading1"/>
      </w:pPr>
      <w:r>
        <w:t xml:space="preserve">3. Authority and related documents</w:t>
      </w:r>
    </w:p>
    <w:p>
      <w:bookmarkStart w:id="4" w:name="_crgt_C1_1"/>
      <w:r>
        <w:t xml:space="preserve">This policy is issued under the Enterprise Information Security Policy, which prevails in case of inconsistency. Detailed parameters may be set in standards and procedures approved under this policy.</w:t>
      </w:r>
      <w:bookmarkEnd w:id="4"/>
    </w:p>
    <w:p>
      <w:pPr>
        <w:pStyle w:val="Heading1"/>
      </w:pPr>
      <w:r>
        <w:t xml:space="preserve">4. Roles and responsibilities</w:t>
      </w:r>
    </w:p>
    <w:p>
      <w:pPr>
        <w:tabs>
          <w:tab w:val="left" w:pos="680"/>
        </w:tabs>
        <w:ind w:left="680" w:hanging="680"/>
      </w:pPr>
      <w:bookmarkStart w:id="5" w:name="_crgs_POL_003_1"/>
      <w:r>
        <w:rPr>
          <w:b/>
          <w:color w:val="0B4F6C"/>
        </w:rPr>
        <w:t xml:space="preserve">4.1</w:t>
        <w:tab/>
      </w:r>
      <w:r>
        <w:t xml:space="preserve">Users read, acknowledge and follow this policy and report suspected incidents.</w:t>
      </w:r>
      <w:bookmarkEnd w:id="5"/>
    </w:p>
    <w:p>
      <w:pPr>
        <w:tabs>
          <w:tab w:val="left" w:pos="680"/>
        </w:tabs>
        <w:ind w:left="680" w:hanging="680"/>
      </w:pPr>
      <w:bookmarkStart w:id="6" w:name="_crgs_POL_003_2"/>
      <w:r>
        <w:rPr>
          <w:b/>
          <w:color w:val="0B4F6C"/>
        </w:rPr>
        <w:t xml:space="preserve">4.2</w:t>
        <w:tab/>
      </w:r>
      <w:r>
        <w:t xml:space="preserve">Managers make sure their staff know this policy and address misuse.</w:t>
      </w:r>
      <w:bookmarkEnd w:id="6"/>
    </w:p>
    <w:p>
      <w:pPr>
        <w:tabs>
          <w:tab w:val="left" w:pos="680"/>
        </w:tabs>
        <w:ind w:left="680" w:hanging="680"/>
      </w:pPr>
      <w:bookmarkStart w:id="7" w:name="_crgs_POL_003_3"/>
      <w:r>
        <w:rPr>
          <w:b/>
          <w:color w:val="0B4F6C"/>
        </w:rPr>
        <w:t xml:space="preserve">4.3</w:t>
        <w:tab/>
      </w:r>
      <w:r>
        <w:t xml:space="preserve">Human resources obtains acknowledgements at onboarding and keeps a record of them.</w:t>
      </w:r>
      <w:bookmarkEnd w:id="7"/>
    </w:p>
    <w:p>
      <w:pPr>
        <w:tabs>
          <w:tab w:val="left" w:pos="680"/>
        </w:tabs>
        <w:ind w:left="680" w:hanging="680"/>
      </w:pPr>
      <w:bookmarkStart w:id="8" w:name="_crgs_POL_003_4"/>
      <w:r>
        <w:rPr>
          <w:b/>
          <w:color w:val="0B4F6C"/>
        </w:rPr>
        <w:t xml:space="preserve">4.4</w:t>
        <w:tab/>
      </w:r>
      <w:r>
        <w:t xml:space="preserve">The IT Manager maintains this policy and the technical measures that support it.</w:t>
      </w:r>
      <w:bookmarkEnd w:id="8"/>
    </w:p>
    <w:p>
      <w:pPr>
        <w:pStyle w:val="Heading1"/>
      </w:pPr>
      <w:r>
        <w:t xml:space="preserve">5. General use</w:t>
      </w:r>
    </w:p>
    <w:p>
      <w:pPr>
        <w:tabs>
          <w:tab w:val="left" w:pos="680"/>
        </w:tabs>
        <w:ind w:left="680" w:hanging="680"/>
      </w:pPr>
      <w:bookmarkStart w:id="9" w:name="_crgs_POL_003_5"/>
      <w:r>
        <w:rPr>
          <w:b/>
          <w:color w:val="0B4F6C"/>
        </w:rPr>
        <w:t xml:space="preserve">5.1</w:t>
        <w:tab/>
      </w:r>
      <w:r>
        <w:t xml:space="preserve">Users must use Northstar’s information and technology for authorized business purposes and only to the extent of the access granted to them.</w:t>
      </w:r>
      <w:bookmarkEnd w:id="9"/>
    </w:p>
    <w:p>
      <w:pPr>
        <w:tabs>
          <w:tab w:val="left" w:pos="680"/>
        </w:tabs>
        <w:ind w:left="680" w:hanging="680"/>
      </w:pPr>
      <w:bookmarkStart w:id="10" w:name="_crgs_POL_003_6"/>
      <w:r>
        <w:rPr>
          <w:b/>
          <w:color w:val="0B4F6C"/>
        </w:rPr>
        <w:t xml:space="preserve">5.2</w:t>
        <w:tab/>
      </w:r>
      <w:r>
        <w:rPr>
          <w:b/>
          <w:highlight w:val="yellow"/>
        </w:rPr>
        <w:t xml:space="preserve">[DECISION: State whether limited personal use of work technology is permitted.]</w:t>
      </w:r>
      <w:bookmarkEnd w:id="10"/>
    </w:p>
    <w:p>
      <w:pPr>
        <w:tabs>
          <w:tab w:val="left" w:pos="680"/>
        </w:tabs>
        <w:ind w:left="680" w:hanging="680"/>
      </w:pPr>
      <w:bookmarkStart w:id="11" w:name="_crgs_POL_003_7"/>
      <w:r>
        <w:rPr>
          <w:b/>
          <w:color w:val="0B4F6C"/>
        </w:rPr>
        <w:t xml:space="preserve">5.3</w:t>
        <w:tab/>
      </w:r>
      <w:r>
        <w:t xml:space="preserve">Users must protect information according to its classification, including when printing, sharing, storing or discussing it.</w:t>
      </w:r>
      <w:bookmarkEnd w:id="11"/>
    </w:p>
    <w:p>
      <w:pPr>
        <w:tabs>
          <w:tab w:val="left" w:pos="680"/>
        </w:tabs>
        <w:ind w:left="680" w:hanging="680"/>
      </w:pPr>
      <w:bookmarkStart w:id="12" w:name="_crgs_POL_003_8"/>
      <w:r>
        <w:rPr>
          <w:b/>
          <w:color w:val="0B4F6C"/>
        </w:rPr>
        <w:t xml:space="preserve">5.4</w:t>
        <w:tab/>
      </w:r>
      <w:r>
        <w:t xml:space="preserve">Users must lock their screen when they leave their device and must not leave confidential information unattended on desks, printers or screens.</w:t>
      </w:r>
      <w:bookmarkEnd w:id="12"/>
    </w:p>
    <w:p>
      <w:pPr>
        <w:pStyle w:val="Heading1"/>
      </w:pPr>
      <w:r>
        <w:t xml:space="preserve">6. Accounts and credentials</w:t>
      </w:r>
    </w:p>
    <w:p>
      <w:pPr>
        <w:tabs>
          <w:tab w:val="left" w:pos="680"/>
        </w:tabs>
        <w:ind w:left="680" w:hanging="680"/>
      </w:pPr>
      <w:bookmarkStart w:id="13" w:name="_crgs_POL_003_9"/>
      <w:r>
        <w:rPr>
          <w:b/>
          <w:color w:val="0B4F6C"/>
        </w:rPr>
        <w:t xml:space="preserve">6.1</w:t>
        <w:tab/>
      </w:r>
      <w:r>
        <w:t xml:space="preserve">Users must not share their accounts, passwords, tokens or other authenticators, and must not use another person’s account.</w:t>
      </w:r>
      <w:bookmarkEnd w:id="13"/>
    </w:p>
    <w:p>
      <w:pPr>
        <w:tabs>
          <w:tab w:val="left" w:pos="680"/>
        </w:tabs>
        <w:ind w:left="680" w:hanging="680"/>
      </w:pPr>
      <w:bookmarkStart w:id="14" w:name="_crgs_POL_003_10"/>
      <w:r>
        <w:rPr>
          <w:b/>
          <w:color w:val="0B4F6C"/>
        </w:rPr>
        <w:t xml:space="preserve">6.2</w:t>
        <w:tab/>
      </w:r>
      <w:r>
        <w:t xml:space="preserve">Users must use unique passwords for Northstar accounts, store them only in a password manager approved by the IT Manager, and change them immediately if they may have been disclosed.</w:t>
      </w:r>
      <w:bookmarkEnd w:id="14"/>
    </w:p>
    <w:p>
      <w:pPr>
        <w:pStyle w:val="Heading1"/>
      </w:pPr>
      <w:r>
        <w:t xml:space="preserve">7. Prohibited activities</w:t>
      </w:r>
    </w:p>
    <w:p>
      <w:pPr>
        <w:tabs>
          <w:tab w:val="left" w:pos="680"/>
        </w:tabs>
        <w:ind w:left="680" w:hanging="680"/>
      </w:pPr>
      <w:bookmarkStart w:id="15" w:name="_crgs_POL_003_11"/>
      <w:r>
        <w:rPr>
          <w:b/>
          <w:color w:val="0B4F6C"/>
        </w:rPr>
        <w:t xml:space="preserve">7.1</w:t>
        <w:tab/>
      </w:r>
      <w:r>
        <w:t xml:space="preserve">Users must not: (a) attempt to bypass or disable security controls; (b) install unapproved software or connect unapproved devices to Northstar systems; (c) access, copy or disclose information without authorization; (d) scan, probe or test systems without written authorization from the IT Manager; (e) use Northstar resources for illegal, harassing, discriminatory or offensive activities; (f) infringe copyright or licence terms; (g) send Northstar information to personal email or storage accounts.</w:t>
      </w:r>
      <w:bookmarkEnd w:id="15"/>
    </w:p>
    <w:p>
      <w:pPr>
        <w:tabs>
          <w:tab w:val="left" w:pos="680"/>
        </w:tabs>
        <w:ind w:left="680" w:hanging="680"/>
      </w:pPr>
      <w:bookmarkStart w:id="16" w:name="_crgs_POL_003_12"/>
      <w:r>
        <w:rPr>
          <w:b/>
          <w:color w:val="0B4F6C"/>
        </w:rPr>
        <w:t xml:space="preserve">7.2</w:t>
        <w:tab/>
      </w:r>
      <w:r>
        <w:t xml:space="preserve">Users must not speak publicly or on social media on behalf of Northstar unless authorized to do so.</w:t>
      </w:r>
      <w:bookmarkEnd w:id="16"/>
    </w:p>
    <w:p>
      <w:pPr>
        <w:pStyle w:val="Heading1"/>
      </w:pPr>
      <w:r>
        <w:t xml:space="preserve">8. Email, messaging and internet</w:t>
      </w:r>
    </w:p>
    <w:p>
      <w:pPr>
        <w:tabs>
          <w:tab w:val="left" w:pos="680"/>
        </w:tabs>
        <w:ind w:left="680" w:hanging="680"/>
      </w:pPr>
      <w:bookmarkStart w:id="17" w:name="_crgs_POL_003_13"/>
      <w:r>
        <w:rPr>
          <w:b/>
          <w:color w:val="0B4F6C"/>
        </w:rPr>
        <w:t xml:space="preserve">8.1</w:t>
        <w:tab/>
      </w:r>
      <w:r>
        <w:t xml:space="preserve">Users must treat unexpected requests for credentials, payments or changes to banking details as suspicious and verify them through a separate, known channel before acting.</w:t>
      </w:r>
      <w:bookmarkEnd w:id="17"/>
    </w:p>
    <w:p>
      <w:pPr>
        <w:tabs>
          <w:tab w:val="left" w:pos="680"/>
        </w:tabs>
        <w:ind w:left="680" w:hanging="680"/>
      </w:pPr>
      <w:bookmarkStart w:id="18" w:name="_crgs_POL_003_14"/>
      <w:r>
        <w:rPr>
          <w:b/>
          <w:color w:val="0B4F6C"/>
        </w:rPr>
        <w:t xml:space="preserve">8.2</w:t>
        <w:tab/>
      </w:r>
      <w:r>
        <w:t xml:space="preserve">Users must report suspected phishing messages using the reporting method provided by the IT Manager.</w:t>
      </w:r>
      <w:bookmarkEnd w:id="18"/>
    </w:p>
    <w:p>
      <w:pPr>
        <w:pStyle w:val="Heading1"/>
      </w:pPr>
      <w:r>
        <w:t xml:space="preserve">9. Devices and departure</w:t>
      </w:r>
    </w:p>
    <w:p>
      <w:pPr>
        <w:tabs>
          <w:tab w:val="left" w:pos="680"/>
        </w:tabs>
        <w:ind w:left="680" w:hanging="680"/>
      </w:pPr>
      <w:bookmarkStart w:id="19" w:name="_crgs_POL_003_15"/>
      <w:r>
        <w:rPr>
          <w:b/>
          <w:color w:val="0B4F6C"/>
        </w:rPr>
        <w:t xml:space="preserve">9.1</w:t>
        <w:tab/>
      </w:r>
      <w:r>
        <w:t xml:space="preserve">Users must protect Northstar devices against loss and theft, and report a lost or stolen device immediately.</w:t>
      </w:r>
      <w:bookmarkEnd w:id="19"/>
    </w:p>
    <w:p>
      <w:pPr>
        <w:tabs>
          <w:tab w:val="left" w:pos="680"/>
        </w:tabs>
        <w:ind w:left="680" w:hanging="680"/>
      </w:pPr>
      <w:bookmarkStart w:id="20" w:name="_crgs_POL_003_16"/>
      <w:r>
        <w:rPr>
          <w:b/>
          <w:color w:val="0B4F6C"/>
        </w:rPr>
        <w:t xml:space="preserve">9.2</w:t>
        <w:tab/>
      </w:r>
      <w:r>
        <w:t xml:space="preserve">Personal devices must not be used to access Northstar email or data.</w:t>
      </w:r>
      <w:bookmarkEnd w:id="20"/>
    </w:p>
    <w:p>
      <w:pPr>
        <w:tabs>
          <w:tab w:val="left" w:pos="680"/>
        </w:tabs>
        <w:ind w:left="680" w:hanging="680"/>
      </w:pPr>
      <w:bookmarkStart w:id="21" w:name="_crgs_POL_003_17"/>
      <w:r>
        <w:rPr>
          <w:b/>
          <w:color w:val="0B4F6C"/>
        </w:rPr>
        <w:t xml:space="preserve">9.3</w:t>
        <w:tab/>
      </w:r>
      <w:r>
        <w:t xml:space="preserve">When leaving Northstar or changing role, users must return all assets and information and must not keep copies of Northstar information.</w:t>
      </w:r>
      <w:bookmarkEnd w:id="21"/>
    </w:p>
    <w:p>
      <w:pPr>
        <w:pStyle w:val="Heading1"/>
      </w:pPr>
      <w:r>
        <w:t xml:space="preserve">10. Monitoring and privacy</w:t>
      </w:r>
    </w:p>
    <w:p>
      <w:pPr>
        <w:tabs>
          <w:tab w:val="left" w:pos="680"/>
        </w:tabs>
        <w:ind w:left="680" w:hanging="680"/>
      </w:pPr>
      <w:bookmarkStart w:id="22" w:name="_crgs_POL_003_18"/>
      <w:r>
        <w:rPr>
          <w:b/>
          <w:color w:val="0B4F6C"/>
        </w:rPr>
        <w:t xml:space="preserve">10.1</w:t>
        <w:tab/>
      </w:r>
      <w:r>
        <w:rPr>
          <w:b/>
          <w:highlight w:val="yellow"/>
        </w:rPr>
        <w:t xml:space="preserve">[DECISION: State whether and how system use is monitored (legal review required).]</w:t>
      </w:r>
      <w:bookmarkEnd w:id="22"/>
    </w:p>
    <w:p>
      <w:pPr>
        <w:pStyle w:val="Heading1"/>
      </w:pPr>
      <w:r>
        <w:t xml:space="preserve">11. Acknowledgement</w:t>
      </w:r>
    </w:p>
    <w:p>
      <w:pPr>
        <w:tabs>
          <w:tab w:val="left" w:pos="680"/>
        </w:tabs>
        <w:ind w:left="680" w:hanging="680"/>
      </w:pPr>
      <w:bookmarkStart w:id="23" w:name="_crgs_POL_003_19"/>
      <w:r>
        <w:rPr>
          <w:b/>
          <w:color w:val="0B4F6C"/>
        </w:rPr>
        <w:t xml:space="preserve">11.1</w:t>
        <w:tab/>
      </w:r>
      <w:r>
        <w:t xml:space="preserve">Users must acknowledge this policy before receiving access and each time it changes materially.</w:t>
      </w:r>
      <w:bookmarkEnd w:id="23"/>
    </w:p>
    <w:p>
      <w:pPr>
        <w:pStyle w:val="Heading1"/>
      </w:pPr>
      <w:r>
        <w:t xml:space="preserve">12. Exceptions</w:t>
      </w:r>
    </w:p>
    <w:p>
      <w:pPr>
        <w:tabs>
          <w:tab w:val="left" w:pos="680"/>
        </w:tabs>
        <w:ind w:left="680" w:hanging="680"/>
      </w:pPr>
      <w:bookmarkStart w:id="24" w:name="_crgs_POL_003_20"/>
      <w:r>
        <w:rPr>
          <w:b/>
          <w:color w:val="0B4F6C"/>
        </w:rPr>
        <w:t xml:space="preserve">12.1</w:t>
        <w:tab/>
      </w:r>
      <w:r>
        <w:t xml:space="preserve">Any departure from this policy requires an exception approved in advance through the exception process set out in the Enterprise Information Security Policy. An exception states the requirement not met, the reason, its duration, the compensating controls and the residual risk.</w:t>
      </w:r>
      <w:bookmarkEnd w:id="24"/>
    </w:p>
    <w:p>
      <w:pPr>
        <w:tabs>
          <w:tab w:val="left" w:pos="680"/>
        </w:tabs>
        <w:ind w:left="680" w:hanging="680"/>
      </w:pPr>
      <w:bookmarkStart w:id="25" w:name="_crgs_POL_003_21"/>
      <w:r>
        <w:rPr>
          <w:b/>
          <w:color w:val="0B4F6C"/>
        </w:rPr>
        <w:t xml:space="preserve">12.2</w:t>
        <w:tab/>
      </w:r>
      <w:r>
        <w:t xml:space="preserve">An exception cannot set aside a legal, regulatory or contractual obligation.</w:t>
      </w:r>
      <w:bookmarkEnd w:id="25"/>
    </w:p>
    <w:p>
      <w:pPr>
        <w:pStyle w:val="Heading1"/>
      </w:pPr>
      <w:r>
        <w:t xml:space="preserve">13. Compliance monitoring and non-conformance</w:t>
      </w:r>
    </w:p>
    <w:p>
      <w:bookmarkStart w:id="26" w:name="_crgt_C11_1"/>
      <w:r>
        <w:t xml:space="preserve">Having this policy is not evidence that its requirements are met; compliance is demonstrated by evidence that controls operate effectively.</w:t>
      </w:r>
      <w:bookmarkEnd w:id="26"/>
    </w:p>
    <w:p>
      <w:pPr>
        <w:tabs>
          <w:tab w:val="left" w:pos="680"/>
        </w:tabs>
        <w:ind w:left="680" w:hanging="680"/>
      </w:pPr>
      <w:bookmarkStart w:id="27" w:name="_crgs_POL_003_22"/>
      <w:r>
        <w:rPr>
          <w:b/>
          <w:color w:val="0B4F6C"/>
        </w:rPr>
        <w:t xml:space="preserve">13.1</w:t>
        <w:tab/>
      </w:r>
      <w:r>
        <w:t xml:space="preserve">The IT Manager monitors the application of this policy and reports significant non-conformities and trends to </w:t>
      </w:r>
      <w:r>
        <w:rPr>
          <w:b/>
          <w:highlight w:val="yellow"/>
        </w:rPr>
        <w:t xml:space="preserve">[DECISION: security governance committee or body]</w:t>
      </w:r>
      <w:r>
        <w:t xml:space="preserve">.</w:t>
      </w:r>
      <w:bookmarkEnd w:id="27"/>
    </w:p>
    <w:p>
      <w:pPr>
        <w:tabs>
          <w:tab w:val="left" w:pos="680"/>
        </w:tabs>
        <w:ind w:left="680" w:hanging="680"/>
      </w:pPr>
      <w:bookmarkStart w:id="28" w:name="_crgs_POL_003_23"/>
      <w:r>
        <w:rPr>
          <w:b/>
          <w:color w:val="0B4F6C"/>
        </w:rPr>
        <w:t xml:space="preserve">13.2</w:t>
        <w:tab/>
      </w:r>
      <w:r>
        <w:t xml:space="preserve">Non-compliance may lead to the withdrawal of access and to administrative or disciplinary measures proportionate to its seriousness, in accordance with applicable employment rules and contracts.</w:t>
      </w:r>
      <w:bookmarkEnd w:id="28"/>
    </w:p>
    <w:p>
      <w:pPr>
        <w:pStyle w:val="Heading1"/>
      </w:pPr>
      <w:r>
        <w:t xml:space="preserve">14. Review</w:t>
      </w:r>
    </w:p>
    <w:p>
      <w:pPr>
        <w:tabs>
          <w:tab w:val="left" w:pos="680"/>
        </w:tabs>
        <w:ind w:left="680" w:hanging="680"/>
      </w:pPr>
      <w:bookmarkStart w:id="29" w:name="_crgs_POL_003_24"/>
      <w:r>
        <w:rPr>
          <w:b/>
          <w:color w:val="0B4F6C"/>
        </w:rPr>
        <w:t xml:space="preserve">14.1</w:t>
        <w:tab/>
      </w:r>
      <w:r>
        <w:t xml:space="preserve">This policy is reviewed </w:t>
      </w:r>
      <w:r>
        <w:rPr>
          <w:b/>
          <w:highlight w:val="yellow"/>
        </w:rPr>
        <w:t xml:space="preserve">[DECISION: policy review cycle]</w:t>
      </w:r>
      <w:r>
        <w:t xml:space="preserve"> and whenever a significant change occurs, such as a new legal requirement, a major incident, a significant technology or organizational change, or a new use of artificial intelligence.</w:t>
      </w:r>
      <w:bookmarkEnd w:id="29"/>
    </w:p>
    <w:p>
      <w:r>
        <w:br w:type="page"/>
      </w:r>
    </w:p>
    <w:p>
      <w:pPr>
        <w:pStyle w:val="Heading1"/>
      </w:pPr>
      <w:r>
        <w:t xml:space="preserve">Appendix A — Open decisions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Where</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Decision or information needed</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5.2 (POL-003.6)</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State whether limited personal use of work technology is permitted.</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10.1 (POL-003.18)</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State whether and how system use is monitored (legal review required).</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13.1 (POL-003.22)</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security governance committee or body</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14.1 (POL-003.24)</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policy review cycle</w:t>
            </w:r>
          </w:p>
        </w:tc>
      </w:tr>
    </w:tbl>
    <w:p>
      <w:pPr>
        <w:spacing w:after="40"/>
      </w:pPr>
      <w:r/>
    </w:p>
    <w:p>
      <w:pPr>
        <w:pStyle w:val="Heading1"/>
      </w:pPr>
      <w:r>
        <w:t xml:space="preserve">Appendix B — Statements and traceability</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Statement</w:t>
            </w:r>
          </w:p>
        </w:tc>
        <w:tc>
          <w:tcPr>
            <w:tcW w:w="1077" w:type="dxa"/>
            <w:shd w:val="clear" w:color="auto" w:fill="0B4F6C"/>
          </w:tcPr>
          <w:p>
            <w:pPr>
              <w:spacing w:after="0"/>
            </w:pPr>
            <w:r>
              <w:rPr>
                <w:b/>
                <w:color w:val="FFFFFF"/>
                <w:sz w:val="16"/>
                <w:szCs w:val="16"/>
              </w:rPr>
              <w:t xml:space="preserve">Modality</w:t>
            </w:r>
          </w:p>
        </w:tc>
        <w:tc>
          <w:tcPr>
            <w:tcW w:w="2041" w:type="dxa"/>
            <w:shd w:val="clear" w:color="auto" w:fill="0B4F6C"/>
          </w:tcPr>
          <w:p>
            <w:pPr>
              <w:spacing w:after="0"/>
            </w:pPr>
            <w:r>
              <w:rPr>
                <w:b/>
                <w:color w:val="FFFFFF"/>
                <w:sz w:val="16"/>
                <w:szCs w:val="16"/>
              </w:rPr>
              <w:t xml:space="preserve">Basis</w:t>
            </w:r>
          </w:p>
        </w:tc>
        <w:tc>
          <w:tcPr>
            <w:tcW w:w="2381" w:type="dxa"/>
            <w:shd w:val="clear" w:color="auto" w:fill="0B4F6C"/>
          </w:tcPr>
          <w:p>
            <w:pPr>
              <w:spacing w:after="0"/>
            </w:pPr>
            <w:r>
              <w:rPr>
                <w:b/>
                <w:color w:val="FFFFFF"/>
                <w:sz w:val="16"/>
                <w:szCs w:val="16"/>
              </w:rPr>
              <w:t xml:space="preserve">Controls (CRGO)</w:t>
            </w:r>
          </w:p>
        </w:tc>
        <w:tc>
          <w:tcPr>
            <w:tcW w:w="1984" w:type="dxa"/>
            <w:shd w:val="clear" w:color="auto" w:fill="0B4F6C"/>
          </w:tcPr>
          <w:p>
            <w:pPr>
              <w:spacing w:after="0"/>
            </w:pPr>
            <w:r>
              <w:rPr>
                <w:b/>
                <w:color w:val="FFFFFF"/>
                <w:sz w:val="16"/>
                <w:szCs w:val="16"/>
              </w:rPr>
              <w:t xml:space="preserve">Review</w:t>
            </w:r>
          </w:p>
        </w:tc>
      </w:tr>
      <w:tr>
        <w:trPr>
          <w:cantSplit/>
        </w:trPr>
        <w:tc>
          <w:tcPr>
            <w:tcW w:w="1871" w:type="dxa"/>
          </w:tcPr>
          <w:p>
            <w:pPr>
              <w:spacing w:after="0"/>
            </w:pPr>
            <w:r>
              <w:rPr>
                <w:sz w:val="16"/>
                <w:szCs w:val="16"/>
              </w:rPr>
              <w:t xml:space="preserve">4.1 · POL-003.1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4.2 · POL-003.2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4.3 · POL-003.3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4.4 · POL-003.4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5.1 · POL-003.5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ISO22:5.10</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5.2 · POL-003.6</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5.3 · POL-003.7</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ISO22:5.13</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5.4 · POL-003.8</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ISO22:7.7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6.1 · POL-003.9</w:t>
            </w:r>
          </w:p>
        </w:tc>
        <w:tc>
          <w:tcPr>
            <w:tcW w:w="1077" w:type="dxa"/>
          </w:tcPr>
          <w:p>
            <w:pPr>
              <w:spacing w:after="0"/>
            </w:pPr>
            <w:r>
              <w:rPr>
                <w:sz w:val="16"/>
                <w:szCs w:val="16"/>
              </w:rPr>
              <w:t xml:space="preserve">Must not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6.2 · POL-003.10</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POL-003.11</w:t>
            </w:r>
          </w:p>
        </w:tc>
        <w:tc>
          <w:tcPr>
            <w:tcW w:w="1077" w:type="dxa"/>
          </w:tcPr>
          <w:p>
            <w:pPr>
              <w:spacing w:after="0"/>
            </w:pPr>
            <w:r>
              <w:rPr>
                <w:sz w:val="16"/>
                <w:szCs w:val="16"/>
              </w:rPr>
              <w:t xml:space="preserve">Must not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ISO22:5.10, ISO22:8.19</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7.2 · POL-003.12</w:t>
            </w:r>
          </w:p>
        </w:tc>
        <w:tc>
          <w:tcPr>
            <w:tcW w:w="1077" w:type="dxa"/>
          </w:tcPr>
          <w:p>
            <w:pPr>
              <w:spacing w:after="0"/>
            </w:pPr>
            <w:r>
              <w:rPr>
                <w:sz w:val="16"/>
                <w:szCs w:val="16"/>
              </w:rPr>
              <w:t xml:space="preserve">Must not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POL-003.13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ISO22:6.3</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8.2 · POL-003.14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ISO22:6.8</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POL-003.15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ISO22:8.1</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9.2 · POL-003.16</w:t>
            </w:r>
          </w:p>
        </w:tc>
        <w:tc>
          <w:tcPr>
            <w:tcW w:w="1077" w:type="dxa"/>
          </w:tcPr>
          <w:p>
            <w:pPr>
              <w:spacing w:after="0"/>
            </w:pPr>
            <w:r>
              <w:rPr>
                <w:sz w:val="16"/>
                <w:szCs w:val="16"/>
              </w:rPr>
              <w:t xml:space="preserve">Must not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9.3 · POL-003.17</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ISO22:5.11</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10.1 · POL-003.18</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11.1 · POL-003.19</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ISO22:6.2</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12.1 · POL-003.20</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ISO22:5.36, CSF2:GV.RM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12.2 · POL-003.21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13.1 · POL-003.22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ISO22:5.36, CSF2:GV.OV</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13.2 · POL-003.23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ISO22:6.4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14.1 · POL-003.24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 CSF2:GV.PO-02</w:t>
            </w:r>
          </w:p>
        </w:tc>
        <w:tc>
          <w:tcPr>
            <w:tcW w:w="1984" w:type="dxa"/>
          </w:tcPr>
          <w:p>
            <w:pPr>
              <w:spacing w:after="0"/>
            </w:pPr>
            <w:r>
              <w:rPr>
                <w:sz w:val="16"/>
                <w:szCs w:val="16"/>
              </w:rPr>
              <w:t xml:space="preserve">—</w:t>
            </w:r>
          </w:p>
        </w:tc>
      </w:tr>
    </w:tbl>
    <w:p>
      <w:pPr>
        <w:spacing w:after="40"/>
      </w:pPr>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Internal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of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NOR-POL-AUP-001</w:t>
    </w:r>
    <w:r>
      <w:tab/>
    </w:r>
    <w:r>
      <w:rPr>
        <w:b/>
        <w:color w:val="B42318"/>
        <w:sz w:val="17"/>
        <w:szCs w:val="17"/>
      </w:rPr>
      <w:t xml:space="preserve">DRAFT — NOT APPROVED</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en-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dc:title>
  <dc:subject>NOR-POL-AUP-001</dc:subject>
  <dc:creator>CyberRiskGuardian</dc:creator>
  <cp:keywords>isp=POL-003; writer=AUP; library=2026.10-2</cp:keywords>
  <dc:description>Draft produced with decision-support software (CyberRiskGuardian Security Policy Writer). It is not legal advice and is not in force until approved and published in ISP management by the authorized persons. Control references indicate the topics addr</dc:description>
  <dc:identifier>crg-isp|sample|POL-003|v0.1|en|draft|77fb3298799b7016</dc:identifier>
  <dc:language>en-CA</dc:language>
  <cp:category>Information security policy — DRAFT</cp:category>
  <cp:version>0.1</cp:version>
  <cp:lastModifiedBy>CyberRiskGuardian</cp:lastModifiedBy>
  <dcterms:created xsi:type="dcterms:W3CDTF">2026-10-19T20:35:40Z</dcterms:created>
  <dcterms:modified xsi:type="dcterms:W3CDTF">2026-10-19T20:35:40Z</dcterms:modified>
</cp:coreProperties>
</file>