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Politique d’utilisation acceptable</w:t>
      </w:r>
    </w:p>
    <w:p>
      <w:r>
        <w:rPr>
          <w:color w:val="5F6B76"/>
          <w:sz w:val="22"/>
          <w:szCs w:val="22"/>
        </w:rPr>
        <w:t xml:space="preserve">Northstar Digital Services (fictional)  ·  NOR-POL-AUP-001  ·  Politique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ÉBAUCHE — NON APPROUVÉE</w:t>
            </w:r>
          </w:p>
        </w:tc>
      </w:tr>
    </w:tbl>
    <w:p>
      <w:r/>
    </w:p>
    <w:p>
      <w:pPr>
        <w:pStyle w:val="Heading2"/>
      </w:pPr>
      <w:r>
        <w:t xml:space="preserve">Contrôle du document</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Numéro du document</w:t>
            </w:r>
          </w:p>
        </w:tc>
        <w:tc>
          <w:tcPr>
            <w:tcW w:w="6520" w:type="dxa"/>
          </w:tcPr>
          <w:p>
            <w:pPr>
              <w:spacing w:after="0"/>
            </w:pPr>
            <w:r>
              <w:rPr>
                <w:sz w:val="18"/>
                <w:szCs w:val="18"/>
              </w:rPr>
              <w:t xml:space="preserve">NOR-POL-AUP-001</w:t>
            </w:r>
          </w:p>
        </w:tc>
      </w:tr>
      <w:tr>
        <w:trPr>
          <w:cantSplit/>
        </w:trPr>
        <w:tc>
          <w:tcPr>
            <w:tcW w:w="2835" w:type="dxa"/>
            <w:shd w:val="clear" w:color="auto" w:fill="E8EEF2"/>
          </w:tcPr>
          <w:p>
            <w:pPr>
              <w:spacing w:after="0"/>
            </w:pPr>
            <w:r>
              <w:rPr>
                <w:b/>
                <w:sz w:val="18"/>
                <w:szCs w:val="18"/>
              </w:rPr>
              <w:t xml:space="preserve">Dossier GPSI</w:t>
            </w:r>
          </w:p>
        </w:tc>
        <w:tc>
          <w:tcPr>
            <w:tcW w:w="6520" w:type="dxa"/>
          </w:tcPr>
          <w:p>
            <w:pPr>
              <w:spacing w:after="0"/>
            </w:pPr>
            <w:r>
              <w:rPr>
                <w:sz w:val="18"/>
                <w:szCs w:val="18"/>
              </w:rPr>
              <w:t xml:space="preserve">POL-004</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Statut</w:t>
            </w:r>
          </w:p>
        </w:tc>
        <w:tc>
          <w:tcPr>
            <w:tcW w:w="6520" w:type="dxa"/>
          </w:tcPr>
          <w:p>
            <w:pPr>
              <w:spacing w:after="0"/>
            </w:pPr>
            <w:r>
              <w:rPr>
                <w:sz w:val="18"/>
                <w:szCs w:val="18"/>
              </w:rPr>
              <w:t xml:space="preserve">Ébauche — non approuvée; non en vigueur</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Interne</w:t>
            </w:r>
          </w:p>
        </w:tc>
      </w:tr>
      <w:tr>
        <w:trPr>
          <w:cantSplit/>
        </w:trPr>
        <w:tc>
          <w:tcPr>
            <w:tcW w:w="2835" w:type="dxa"/>
            <w:shd w:val="clear" w:color="auto" w:fill="E8EEF2"/>
          </w:tcPr>
          <w:p>
            <w:pPr>
              <w:spacing w:after="0"/>
            </w:pPr>
            <w:r>
              <w:rPr>
                <w:b/>
                <w:sz w:val="18"/>
                <w:szCs w:val="18"/>
              </w:rPr>
              <w:t xml:space="preserve">Responsable de la politique</w:t>
            </w:r>
          </w:p>
        </w:tc>
        <w:tc>
          <w:tcPr>
            <w:tcW w:w="6520" w:type="dxa"/>
          </w:tcPr>
          <w:p>
            <w:pPr>
              <w:spacing w:after="0"/>
            </w:pPr>
            <w:r>
              <w:rPr>
                <w:sz w:val="18"/>
                <w:szCs w:val="18"/>
              </w:rPr>
              <w:t xml:space="preserve">Le gestionnaire des TI</w:t>
            </w:r>
          </w:p>
        </w:tc>
      </w:tr>
      <w:tr>
        <w:trPr>
          <w:cantSplit/>
        </w:trPr>
        <w:tc>
          <w:tcPr>
            <w:tcW w:w="2835" w:type="dxa"/>
            <w:shd w:val="clear" w:color="auto" w:fill="E8EEF2"/>
          </w:tcPr>
          <w:p>
            <w:pPr>
              <w:spacing w:after="0"/>
            </w:pPr>
            <w:r>
              <w:rPr>
                <w:b/>
                <w:sz w:val="18"/>
                <w:szCs w:val="18"/>
              </w:rPr>
              <w:t xml:space="preserve">Autorité d’approbation</w:t>
            </w:r>
          </w:p>
        </w:tc>
        <w:tc>
          <w:tcPr>
            <w:tcW w:w="6520" w:type="dxa"/>
          </w:tcPr>
          <w:p>
            <w:pPr>
              <w:spacing w:after="0"/>
            </w:pPr>
            <w:r>
              <w:rPr>
                <w:b/>
                <w:sz w:val="18"/>
                <w:szCs w:val="18"/>
                <w:highlight w:val="yellow"/>
              </w:rPr>
              <w:t xml:space="preserve">[APPROBATEUR : autorité d’approbation]</w:t>
            </w:r>
          </w:p>
        </w:tc>
      </w:tr>
      <w:tr>
        <w:trPr>
          <w:cantSplit/>
        </w:trPr>
        <w:tc>
          <w:tcPr>
            <w:tcW w:w="2835" w:type="dxa"/>
            <w:shd w:val="clear" w:color="auto" w:fill="E8EEF2"/>
          </w:tcPr>
          <w:p>
            <w:pPr>
              <w:spacing w:after="0"/>
            </w:pPr>
            <w:r>
              <w:rPr>
                <w:b/>
                <w:sz w:val="18"/>
                <w:szCs w:val="18"/>
              </w:rPr>
              <w:t xml:space="preserve">Cycle de révision</w:t>
            </w:r>
          </w:p>
        </w:tc>
        <w:tc>
          <w:tcPr>
            <w:tcW w:w="6520" w:type="dxa"/>
          </w:tcPr>
          <w:p>
            <w:pPr>
              <w:spacing w:after="0"/>
            </w:pPr>
            <w:r>
              <w:rPr>
                <w:sz w:val="18"/>
                <w:szCs w:val="18"/>
              </w:rPr>
              <w:t xml:space="preserve">12 mois</w:t>
            </w:r>
          </w:p>
        </w:tc>
      </w:tr>
      <w:tr>
        <w:trPr>
          <w:cantSplit/>
        </w:trPr>
        <w:tc>
          <w:tcPr>
            <w:tcW w:w="2835" w:type="dxa"/>
            <w:shd w:val="clear" w:color="auto" w:fill="E8EEF2"/>
          </w:tcPr>
          <w:p>
            <w:pPr>
              <w:spacing w:after="0"/>
            </w:pPr>
            <w:r>
              <w:rPr>
                <w:b/>
                <w:sz w:val="18"/>
                <w:szCs w:val="18"/>
              </w:rPr>
              <w:t xml:space="preserve">Date d’entrée en vigueur</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Prochaine révision</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Langue</w:t>
            </w:r>
          </w:p>
        </w:tc>
        <w:tc>
          <w:tcPr>
            <w:tcW w:w="6520" w:type="dxa"/>
          </w:tcPr>
          <w:p>
            <w:pPr>
              <w:spacing w:after="0"/>
            </w:pPr>
            <w:r>
              <w:rPr>
                <w:sz w:val="18"/>
                <w:szCs w:val="18"/>
              </w:rPr>
              <w:t xml:space="preserve">Français</w:t>
            </w:r>
          </w:p>
        </w:tc>
      </w:tr>
      <w:tr>
        <w:trPr>
          <w:cantSplit/>
        </w:trPr>
        <w:tc>
          <w:tcPr>
            <w:tcW w:w="2835" w:type="dxa"/>
            <w:shd w:val="clear" w:color="auto" w:fill="E8EEF2"/>
          </w:tcPr>
          <w:p>
            <w:pPr>
              <w:spacing w:after="0"/>
            </w:pPr>
            <w:r>
              <w:rPr>
                <w:b/>
                <w:sz w:val="18"/>
                <w:szCs w:val="18"/>
              </w:rPr>
              <w:t xml:space="preserve">Produit avec</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Exporté le</w:t>
            </w:r>
          </w:p>
        </w:tc>
        <w:tc>
          <w:tcPr>
            <w:tcW w:w="6520" w:type="dxa"/>
          </w:tcPr>
          <w:p>
            <w:pPr>
              <w:spacing w:after="0"/>
            </w:pPr>
            <w:r>
              <w:rPr>
                <w:sz w:val="18"/>
                <w:szCs w:val="18"/>
              </w:rPr>
              <w:t xml:space="preserve">2026-10-19</w:t>
            </w:r>
          </w:p>
        </w:tc>
      </w:tr>
    </w:tbl>
    <w:p>
      <w:pPr>
        <w:spacing w:after="40"/>
      </w:pPr>
      <w:r/>
    </w:p>
    <w:p>
      <w:pPr>
        <w:pStyle w:val="Heading2"/>
      </w:pPr>
      <w:r>
        <w:t xml:space="preserve">Approbation</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Rôle</w:t>
            </w:r>
          </w:p>
        </w:tc>
        <w:tc>
          <w:tcPr>
            <w:tcW w:w="3175" w:type="dxa"/>
            <w:shd w:val="clear" w:color="auto" w:fill="0B4F6C"/>
          </w:tcPr>
          <w:p>
            <w:pPr>
              <w:spacing w:after="0"/>
            </w:pPr>
            <w:r>
              <w:rPr>
                <w:b/>
                <w:color w:val="FFFFFF"/>
                <w:sz w:val="18"/>
                <w:szCs w:val="18"/>
              </w:rPr>
              <w:t xml:space="preserve">Nom</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Autorité d’approbation</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Responsable de la politique</w:t>
            </w:r>
          </w:p>
        </w:tc>
        <w:tc>
          <w:tcPr>
            <w:tcW w:w="3175" w:type="dxa"/>
          </w:tcPr>
          <w:p>
            <w:pPr>
              <w:spacing w:after="0"/>
            </w:pPr>
            <w:r>
              <w:rPr>
                <w:sz w:val="18"/>
                <w:szCs w:val="18"/>
              </w:rPr>
              <w:t xml:space="preserve">Le gestionnaire des TI</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Ébauche produite avec un logiciel d’aide à la décision (CyberRiskGuardian Security Policy Writer). Elle ne constitue pas un avis juridique et n’est pas en vigueur tant qu’elle n’a pas été approuvée et publiée dans la gestion des PSI par les personnes autorisées. Les renvois aux mesures indiquent les sujets traités; une correspondance, un énoncé ou une attestation ne prouve jamais la conformité.</w:t>
      </w:r>
    </w:p>
    <w:p>
      <w:r>
        <w:br w:type="page"/>
      </w:r>
    </w:p>
    <w:p>
      <w:pPr>
        <w:pStyle w:val="Heading2"/>
      </w:pPr>
      <w:r>
        <w:t xml:space="preserve">Table des matières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Cliquez avec le bouton droit et choisissez « Mettre à jour les champs » (ou F9) pour générer la table des matières.</w:t>
      </w:r>
      <w:r>
        <w:rPr>
          <w:i/>
          <w:color w:val="5F6B76"/>
        </w:rPr>
        <w:fldChar w:fldCharType="end"/>
      </w:r>
    </w:p>
    <w:p>
      <w:r/>
    </w:p>
    <w:p>
      <w:pPr>
        <w:pStyle w:val="Heading1"/>
      </w:pPr>
      <w:r>
        <w:t xml:space="preserve">1. Objet</w:t>
      </w:r>
    </w:p>
    <w:p>
      <w:bookmarkStart w:id="1" w:name="_crgt_purpose_1"/>
      <w:r>
        <w:t xml:space="preserve">La présente politique fixe les règles que doit suivre tout utilisateur de l’information et des technologies de Northstar, afin que ces ressources soient utilisées légalement, de façon sécuritaire et aux fins de Northstar.</w:t>
      </w:r>
      <w:bookmarkEnd w:id="1"/>
    </w:p>
    <w:p>
      <w:pPr>
        <w:pStyle w:val="Heading1"/>
      </w:pPr>
      <w:r>
        <w:t xml:space="preserve">2. Portée</w:t>
      </w:r>
    </w:p>
    <w:p>
      <w:bookmarkStart w:id="2" w:name="_crgt_scope_1"/>
      <w:r>
        <w:t xml:space="preserve">La présente politique s’applique à tous les employés, contractuels, consultants, personnes temporaires et autres personnes qui accèdent à l’information ou aux systèmes d’information de Northstar, où qu’elles travaillent.</w:t>
      </w:r>
      <w:bookmarkEnd w:id="2"/>
    </w:p>
    <w:p>
      <w:bookmarkStart w:id="3" w:name="_crgt_scope_2"/>
      <w:r>
        <w:t xml:space="preserve">Elle vise l’information sous toutes ses formes et tous les systèmes possédés, loués, exploités ou utilisés pour le compte de Northstar, y compris les services infonuagiques et les systèmes exploités par des fournisseurs.</w:t>
      </w:r>
      <w:bookmarkEnd w:id="3"/>
    </w:p>
    <w:p>
      <w:pPr>
        <w:pStyle w:val="Heading1"/>
      </w:pPr>
      <w:r>
        <w:t xml:space="preserve">3. Autorité et documents connexes</w:t>
      </w:r>
    </w:p>
    <w:p>
      <w:bookmarkStart w:id="4" w:name="_crgt_C1_1"/>
      <w:r>
        <w:t xml:space="preserve">La présente politique est adoptée en vertu de la Politique de sécurité de l’information de l’entreprise, qui prévaut en cas d’incohérence. Des paramètres détaillés peuvent être fixés dans des normes et procédures approuvées en vertu de la présente politique.</w:t>
      </w:r>
      <w:bookmarkEnd w:id="4"/>
    </w:p>
    <w:p>
      <w:pPr>
        <w:pStyle w:val="Heading1"/>
      </w:pPr>
      <w:r>
        <w:t xml:space="preserve">4. Rôles et responsabilités</w:t>
      </w:r>
    </w:p>
    <w:p>
      <w:pPr>
        <w:tabs>
          <w:tab w:val="left" w:pos="680"/>
        </w:tabs>
        <w:ind w:left="680" w:hanging="680"/>
      </w:pPr>
      <w:bookmarkStart w:id="5" w:name="_crgs_POL_004_1"/>
      <w:r>
        <w:rPr>
          <w:b/>
          <w:color w:val="0B4F6C"/>
        </w:rPr>
        <w:t xml:space="preserve">4.1</w:t>
        <w:tab/>
      </w:r>
      <w:r>
        <w:t xml:space="preserve">Les utilisateurs lisent, reconnaissent et respectent la présente politique et signalent les incidents soupçonnés.</w:t>
      </w:r>
      <w:bookmarkEnd w:id="5"/>
    </w:p>
    <w:p>
      <w:pPr>
        <w:tabs>
          <w:tab w:val="left" w:pos="680"/>
        </w:tabs>
        <w:ind w:left="680" w:hanging="680"/>
      </w:pPr>
      <w:bookmarkStart w:id="6" w:name="_crgs_POL_004_2"/>
      <w:r>
        <w:rPr>
          <w:b/>
          <w:color w:val="0B4F6C"/>
        </w:rPr>
        <w:t xml:space="preserve">4.2</w:t>
        <w:tab/>
      </w:r>
      <w:r>
        <w:t xml:space="preserve">Les gestionnaires s’assurent que leur personnel connaît la présente politique et interviennent en cas de mauvais usage.</w:t>
      </w:r>
      <w:bookmarkEnd w:id="6"/>
    </w:p>
    <w:p>
      <w:pPr>
        <w:tabs>
          <w:tab w:val="left" w:pos="680"/>
        </w:tabs>
        <w:ind w:left="680" w:hanging="680"/>
      </w:pPr>
      <w:bookmarkStart w:id="7" w:name="_crgs_POL_004_3"/>
      <w:r>
        <w:rPr>
          <w:b/>
          <w:color w:val="0B4F6C"/>
        </w:rPr>
        <w:t xml:space="preserve">4.3</w:t>
        <w:tab/>
      </w:r>
      <w:r>
        <w:t xml:space="preserve">Les ressources humaines obtiennent les attestations à l’accueil et les consignent.</w:t>
      </w:r>
      <w:bookmarkEnd w:id="7"/>
    </w:p>
    <w:p>
      <w:pPr>
        <w:tabs>
          <w:tab w:val="left" w:pos="680"/>
        </w:tabs>
        <w:ind w:left="680" w:hanging="680"/>
      </w:pPr>
      <w:bookmarkStart w:id="8" w:name="_crgs_POL_004_4"/>
      <w:r>
        <w:rPr>
          <w:b/>
          <w:color w:val="0B4F6C"/>
        </w:rPr>
        <w:t xml:space="preserve">4.4</w:t>
        <w:tab/>
      </w:r>
      <w:r>
        <w:t xml:space="preserve">Le gestionnaire des TI tient à jour la présente politique et les mesures techniques qui la soutiennent.</w:t>
      </w:r>
      <w:bookmarkEnd w:id="8"/>
    </w:p>
    <w:p>
      <w:pPr>
        <w:pStyle w:val="Heading1"/>
      </w:pPr>
      <w:r>
        <w:t xml:space="preserve">5. Utilisation générale</w:t>
      </w:r>
    </w:p>
    <w:p>
      <w:pPr>
        <w:tabs>
          <w:tab w:val="left" w:pos="680"/>
        </w:tabs>
        <w:ind w:left="680" w:hanging="680"/>
      </w:pPr>
      <w:bookmarkStart w:id="9" w:name="_crgs_POL_004_5"/>
      <w:r>
        <w:rPr>
          <w:b/>
          <w:color w:val="0B4F6C"/>
        </w:rPr>
        <w:t xml:space="preserve">5.1</w:t>
        <w:tab/>
      </w:r>
      <w:r>
        <w:t xml:space="preserve">Les utilisateurs doivent utiliser l’information et les technologies de Northstar à des fins professionnelles autorisées et dans la seule mesure des accès qui leur sont accordés.</w:t>
      </w:r>
      <w:bookmarkEnd w:id="9"/>
    </w:p>
    <w:p>
      <w:pPr>
        <w:tabs>
          <w:tab w:val="left" w:pos="680"/>
        </w:tabs>
        <w:ind w:left="680" w:hanging="680"/>
      </w:pPr>
      <w:bookmarkStart w:id="10" w:name="_crgs_POL_004_6"/>
      <w:r>
        <w:rPr>
          <w:b/>
          <w:color w:val="0B4F6C"/>
        </w:rPr>
        <w:t xml:space="preserve">5.2</w:t>
        <w:tab/>
      </w:r>
      <w:r>
        <w:rPr>
          <w:b/>
          <w:highlight w:val="yellow"/>
        </w:rPr>
        <w:t xml:space="preserve">[DÉCISION : Préciser si une utilisation personnelle limitée des technologies de travail est permise.]</w:t>
      </w:r>
      <w:bookmarkEnd w:id="10"/>
    </w:p>
    <w:p>
      <w:pPr>
        <w:tabs>
          <w:tab w:val="left" w:pos="680"/>
        </w:tabs>
        <w:ind w:left="680" w:hanging="680"/>
      </w:pPr>
      <w:bookmarkStart w:id="11" w:name="_crgs_POL_004_7"/>
      <w:r>
        <w:rPr>
          <w:b/>
          <w:color w:val="0B4F6C"/>
        </w:rPr>
        <w:t xml:space="preserve">5.3</w:t>
        <w:tab/>
      </w:r>
      <w:r>
        <w:t xml:space="preserve">Les utilisateurs doivent protéger l’information selon sa classification, y compris lorsqu’ils l’impriment, la partagent, la conservent ou en discutent.</w:t>
      </w:r>
      <w:bookmarkEnd w:id="11"/>
    </w:p>
    <w:p>
      <w:pPr>
        <w:tabs>
          <w:tab w:val="left" w:pos="680"/>
        </w:tabs>
        <w:ind w:left="680" w:hanging="680"/>
      </w:pPr>
      <w:bookmarkStart w:id="12" w:name="_crgs_POL_004_8"/>
      <w:r>
        <w:rPr>
          <w:b/>
          <w:color w:val="0B4F6C"/>
        </w:rPr>
        <w:t xml:space="preserve">5.4</w:t>
        <w:tab/>
      </w:r>
      <w:r>
        <w:t xml:space="preserve">Les utilisateurs doivent verrouiller leur écran lorsqu’ils s’éloignent de leur appareil et ne doivent pas laisser d’information confidentielle sans surveillance sur un bureau, une imprimante ou un écran.</w:t>
      </w:r>
      <w:bookmarkEnd w:id="12"/>
    </w:p>
    <w:p>
      <w:pPr>
        <w:pStyle w:val="Heading1"/>
      </w:pPr>
      <w:r>
        <w:t xml:space="preserve">6. Comptes et authentifiants</w:t>
      </w:r>
    </w:p>
    <w:p>
      <w:pPr>
        <w:tabs>
          <w:tab w:val="left" w:pos="680"/>
        </w:tabs>
        <w:ind w:left="680" w:hanging="680"/>
      </w:pPr>
      <w:bookmarkStart w:id="13" w:name="_crgs_POL_004_9"/>
      <w:r>
        <w:rPr>
          <w:b/>
          <w:color w:val="0B4F6C"/>
        </w:rPr>
        <w:t xml:space="preserve">6.1</w:t>
        <w:tab/>
      </w:r>
      <w:r>
        <w:t xml:space="preserve">Les utilisateurs ne doivent pas partager leurs comptes, mots de passe, jetons ou autres authentifiants, ni utiliser le compte d’une autre personne.</w:t>
      </w:r>
      <w:bookmarkEnd w:id="13"/>
    </w:p>
    <w:p>
      <w:pPr>
        <w:tabs>
          <w:tab w:val="left" w:pos="680"/>
        </w:tabs>
        <w:ind w:left="680" w:hanging="680"/>
      </w:pPr>
      <w:bookmarkStart w:id="14" w:name="_crgs_POL_004_10"/>
      <w:r>
        <w:rPr>
          <w:b/>
          <w:color w:val="0B4F6C"/>
        </w:rPr>
        <w:t xml:space="preserve">6.2</w:t>
        <w:tab/>
      </w:r>
      <w:r>
        <w:t xml:space="preserve">Les utilisateurs doivent utiliser des mots de passe uniques pour les comptes de Northstar, les conserver uniquement dans un gestionnaire de mots de passe approuvé par le gestionnaire des TI et les changer immédiatement s’ils ont pu être divulgués.</w:t>
      </w:r>
      <w:bookmarkEnd w:id="14"/>
    </w:p>
    <w:p>
      <w:pPr>
        <w:pStyle w:val="Heading1"/>
      </w:pPr>
      <w:r>
        <w:t xml:space="preserve">7. Activités interdites</w:t>
      </w:r>
    </w:p>
    <w:p>
      <w:pPr>
        <w:tabs>
          <w:tab w:val="left" w:pos="680"/>
        </w:tabs>
        <w:ind w:left="680" w:hanging="680"/>
      </w:pPr>
      <w:bookmarkStart w:id="15" w:name="_crgs_POL_004_11"/>
      <w:r>
        <w:rPr>
          <w:b/>
          <w:color w:val="0B4F6C"/>
        </w:rPr>
        <w:t xml:space="preserve">7.1</w:t>
        <w:tab/>
      </w:r>
      <w:r>
        <w:t xml:space="preserve">Les utilisateurs ne doivent pas : a) tenter de contourner ou de désactiver des mesures de sécurité; b) installer des logiciels non approuvés ou brancher des appareils non approuvés aux systèmes de Northstar; c) accéder à de l’information, la copier ou la communiquer sans autorisation; d) balayer, sonder ou tester des systèmes sans l’autorisation écrite du gestionnaire des TI; e) utiliser les ressources de Northstar à des fins illégales, harcelantes, discriminatoires ou offensantes; f) enfreindre des droits d’auteur ou des conditions de licence; g) envoyer de l’information de Northstar vers une messagerie ou un stockage personnels.</w:t>
      </w:r>
      <w:bookmarkEnd w:id="15"/>
    </w:p>
    <w:p>
      <w:pPr>
        <w:tabs>
          <w:tab w:val="left" w:pos="680"/>
        </w:tabs>
        <w:ind w:left="680" w:hanging="680"/>
      </w:pPr>
      <w:bookmarkStart w:id="16" w:name="_crgs_POL_004_12"/>
      <w:r>
        <w:rPr>
          <w:b/>
          <w:color w:val="0B4F6C"/>
        </w:rPr>
        <w:t xml:space="preserve">7.2</w:t>
        <w:tab/>
      </w:r>
      <w:r>
        <w:t xml:space="preserve">Les utilisateurs ne doivent pas s’exprimer publiquement ou dans les médias sociaux au nom de Northstar sans y être autorisés.</w:t>
      </w:r>
      <w:bookmarkEnd w:id="16"/>
    </w:p>
    <w:p>
      <w:pPr>
        <w:pStyle w:val="Heading1"/>
      </w:pPr>
      <w:r>
        <w:t xml:space="preserve">8. Courriel, messagerie et Internet</w:t>
      </w:r>
    </w:p>
    <w:p>
      <w:pPr>
        <w:tabs>
          <w:tab w:val="left" w:pos="680"/>
        </w:tabs>
        <w:ind w:left="680" w:hanging="680"/>
      </w:pPr>
      <w:bookmarkStart w:id="17" w:name="_crgs_POL_004_13"/>
      <w:r>
        <w:rPr>
          <w:b/>
          <w:color w:val="0B4F6C"/>
        </w:rPr>
        <w:t xml:space="preserve">8.1</w:t>
        <w:tab/>
      </w:r>
      <w:r>
        <w:t xml:space="preserve">Les utilisateurs doivent considérer comme suspectes les demandes inattendues d’authentifiants, de paiements ou de modification de coordonnées bancaires et les vérifier par un canal distinct et connu avant d’agir.</w:t>
      </w:r>
      <w:bookmarkEnd w:id="17"/>
    </w:p>
    <w:p>
      <w:pPr>
        <w:tabs>
          <w:tab w:val="left" w:pos="680"/>
        </w:tabs>
        <w:ind w:left="680" w:hanging="680"/>
      </w:pPr>
      <w:bookmarkStart w:id="18" w:name="_crgs_POL_004_14"/>
      <w:r>
        <w:rPr>
          <w:b/>
          <w:color w:val="0B4F6C"/>
        </w:rPr>
        <w:t xml:space="preserve">8.2</w:t>
        <w:tab/>
      </w:r>
      <w:r>
        <w:t xml:space="preserve">Les utilisateurs doivent signaler les messages d’hameçonnage soupçonnés selon la méthode fournie par le gestionnaire des TI.</w:t>
      </w:r>
      <w:bookmarkEnd w:id="18"/>
    </w:p>
    <w:p>
      <w:pPr>
        <w:pStyle w:val="Heading1"/>
      </w:pPr>
      <w:r>
        <w:t xml:space="preserve">9. Appareils et départ</w:t>
      </w:r>
    </w:p>
    <w:p>
      <w:pPr>
        <w:tabs>
          <w:tab w:val="left" w:pos="680"/>
        </w:tabs>
        <w:ind w:left="680" w:hanging="680"/>
      </w:pPr>
      <w:bookmarkStart w:id="19" w:name="_crgs_POL_004_15"/>
      <w:r>
        <w:rPr>
          <w:b/>
          <w:color w:val="0B4F6C"/>
        </w:rPr>
        <w:t xml:space="preserve">9.1</w:t>
        <w:tab/>
      </w:r>
      <w:r>
        <w:t xml:space="preserve">Les utilisateurs doivent protéger les appareils de Northstar contre la perte et le vol et signaler immédiatement un appareil perdu ou volé.</w:t>
      </w:r>
      <w:bookmarkEnd w:id="19"/>
    </w:p>
    <w:p>
      <w:pPr>
        <w:tabs>
          <w:tab w:val="left" w:pos="680"/>
        </w:tabs>
        <w:ind w:left="680" w:hanging="680"/>
      </w:pPr>
      <w:bookmarkStart w:id="20" w:name="_crgs_POL_004_16"/>
      <w:r>
        <w:rPr>
          <w:b/>
          <w:color w:val="0B4F6C"/>
        </w:rPr>
        <w:t xml:space="preserve">9.2</w:t>
        <w:tab/>
      </w:r>
      <w:r>
        <w:t xml:space="preserve">Les appareils personnels ne doivent pas être utilisés pour accéder au courriel ou aux données de Northstar.</w:t>
      </w:r>
      <w:bookmarkEnd w:id="20"/>
    </w:p>
    <w:p>
      <w:pPr>
        <w:tabs>
          <w:tab w:val="left" w:pos="680"/>
        </w:tabs>
        <w:ind w:left="680" w:hanging="680"/>
      </w:pPr>
      <w:bookmarkStart w:id="21" w:name="_crgs_POL_004_17"/>
      <w:r>
        <w:rPr>
          <w:b/>
          <w:color w:val="0B4F6C"/>
        </w:rPr>
        <w:t xml:space="preserve">9.3</w:t>
        <w:tab/>
      </w:r>
      <w:r>
        <w:t xml:space="preserve">Au départ de Northstar ou lors d’un changement de fonctions, les utilisateurs doivent restituer tous les actifs et l’information et ne doivent pas en conserver de copie.</w:t>
      </w:r>
      <w:bookmarkEnd w:id="21"/>
    </w:p>
    <w:p>
      <w:pPr>
        <w:pStyle w:val="Heading1"/>
      </w:pPr>
      <w:r>
        <w:t xml:space="preserve">10. Surveillance et vie privée</w:t>
      </w:r>
    </w:p>
    <w:p>
      <w:pPr>
        <w:tabs>
          <w:tab w:val="left" w:pos="680"/>
        </w:tabs>
        <w:ind w:left="680" w:hanging="680"/>
      </w:pPr>
      <w:bookmarkStart w:id="22" w:name="_crgs_POL_004_18"/>
      <w:r>
        <w:rPr>
          <w:b/>
          <w:color w:val="0B4F6C"/>
        </w:rPr>
        <w:t xml:space="preserve">10.1</w:t>
        <w:tab/>
      </w:r>
      <w:r>
        <w:rPr>
          <w:b/>
          <w:highlight w:val="yellow"/>
        </w:rPr>
        <w:t xml:space="preserve">[DÉCISION : Préciser si et comment l’utilisation des systèmes est surveillée (révision juridique requise).]</w:t>
      </w:r>
      <w:bookmarkEnd w:id="22"/>
    </w:p>
    <w:p>
      <w:pPr>
        <w:pStyle w:val="Heading1"/>
      </w:pPr>
      <w:r>
        <w:t xml:space="preserve">11. Attestation</w:t>
      </w:r>
    </w:p>
    <w:p>
      <w:pPr>
        <w:tabs>
          <w:tab w:val="left" w:pos="680"/>
        </w:tabs>
        <w:ind w:left="680" w:hanging="680"/>
      </w:pPr>
      <w:bookmarkStart w:id="23" w:name="_crgs_POL_004_19"/>
      <w:r>
        <w:rPr>
          <w:b/>
          <w:color w:val="0B4F6C"/>
        </w:rPr>
        <w:t xml:space="preserve">11.1</w:t>
        <w:tab/>
      </w:r>
      <w:r>
        <w:t xml:space="preserve">Les utilisateurs doivent attester avoir pris connaissance de la présente politique avant d’obtenir un accès et chaque fois qu’elle change de façon importante.</w:t>
      </w:r>
      <w:bookmarkEnd w:id="23"/>
    </w:p>
    <w:p>
      <w:pPr>
        <w:pStyle w:val="Heading1"/>
      </w:pPr>
      <w:r>
        <w:t xml:space="preserve">12. Dérogations</w:t>
      </w:r>
    </w:p>
    <w:p>
      <w:pPr>
        <w:tabs>
          <w:tab w:val="left" w:pos="680"/>
        </w:tabs>
        <w:ind w:left="680" w:hanging="680"/>
      </w:pPr>
      <w:bookmarkStart w:id="24" w:name="_crgs_POL_004_20"/>
      <w:r>
        <w:rPr>
          <w:b/>
          <w:color w:val="0B4F6C"/>
        </w:rPr>
        <w:t xml:space="preserve">12.1</w:t>
        <w:tab/>
      </w:r>
      <w:r>
        <w:t xml:space="preserve">Tout écart à la présente politique exige une dérogation approuvée au préalable selon le processus de dérogation prévu à la Politique de sécurité de l’information de l’entreprise. La dérogation précise l’exigence non respectée, la raison, sa durée, les mesures compensatoires et le risque résiduel.</w:t>
      </w:r>
      <w:bookmarkEnd w:id="24"/>
    </w:p>
    <w:p>
      <w:pPr>
        <w:tabs>
          <w:tab w:val="left" w:pos="680"/>
        </w:tabs>
        <w:ind w:left="680" w:hanging="680"/>
      </w:pPr>
      <w:bookmarkStart w:id="25" w:name="_crgs_POL_004_21"/>
      <w:r>
        <w:rPr>
          <w:b/>
          <w:color w:val="0B4F6C"/>
        </w:rPr>
        <w:t xml:space="preserve">12.2</w:t>
        <w:tab/>
      </w:r>
      <w:r>
        <w:t xml:space="preserve">Une dérogation ne peut écarter une obligation légale, réglementaire ou contractuelle.</w:t>
      </w:r>
      <w:bookmarkEnd w:id="25"/>
    </w:p>
    <w:p>
      <w:pPr>
        <w:pStyle w:val="Heading1"/>
      </w:pPr>
      <w:r>
        <w:t xml:space="preserve">13. Suivi de la conformité et non-conformité</w:t>
      </w:r>
    </w:p>
    <w:p>
      <w:bookmarkStart w:id="26" w:name="_crgt_C11_1"/>
      <w:r>
        <w:t xml:space="preserve">L’existence de la présente politique ne prouve pas que ses exigences sont respectées; la conformité se démontre par des preuves que les mesures fonctionnent efficacement.</w:t>
      </w:r>
      <w:bookmarkEnd w:id="26"/>
    </w:p>
    <w:p>
      <w:pPr>
        <w:tabs>
          <w:tab w:val="left" w:pos="680"/>
        </w:tabs>
        <w:ind w:left="680" w:hanging="680"/>
      </w:pPr>
      <w:bookmarkStart w:id="27" w:name="_crgs_POL_004_22"/>
      <w:r>
        <w:rPr>
          <w:b/>
          <w:color w:val="0B4F6C"/>
        </w:rPr>
        <w:t xml:space="preserve">13.1</w:t>
        <w:tab/>
      </w:r>
      <w:r>
        <w:t xml:space="preserve">Le gestionnaire des TI assure le suivi de l’application de la présente politique et signale les non-conformités importantes et les tendances à </w:t>
      </w:r>
      <w:r>
        <w:rPr>
          <w:b/>
          <w:highlight w:val="yellow"/>
        </w:rPr>
        <w:t xml:space="preserve">[DÉCISION : comité ou instance de gouvernance de la sécurité]</w:t>
      </w:r>
      <w:r>
        <w:t xml:space="preserve">.</w:t>
      </w:r>
      <w:bookmarkEnd w:id="27"/>
    </w:p>
    <w:p>
      <w:pPr>
        <w:tabs>
          <w:tab w:val="left" w:pos="680"/>
        </w:tabs>
        <w:ind w:left="680" w:hanging="680"/>
      </w:pPr>
      <w:bookmarkStart w:id="28" w:name="_crgs_POL_004_23"/>
      <w:r>
        <w:rPr>
          <w:b/>
          <w:color w:val="0B4F6C"/>
        </w:rPr>
        <w:t xml:space="preserve">13.2</w:t>
        <w:tab/>
      </w:r>
      <w:r>
        <w:t xml:space="preserve">Le non-respect peut entraîner le retrait des accès et des mesures administratives ou disciplinaires proportionnées à sa gravité, conformément aux règles d’emploi et aux contrats applicables.</w:t>
      </w:r>
      <w:bookmarkEnd w:id="28"/>
    </w:p>
    <w:p>
      <w:pPr>
        <w:pStyle w:val="Heading1"/>
      </w:pPr>
      <w:r>
        <w:t xml:space="preserve">14. Révision</w:t>
      </w:r>
    </w:p>
    <w:p>
      <w:pPr>
        <w:tabs>
          <w:tab w:val="left" w:pos="680"/>
        </w:tabs>
        <w:ind w:left="680" w:hanging="680"/>
      </w:pPr>
      <w:bookmarkStart w:id="29" w:name="_crgs_POL_004_24"/>
      <w:r>
        <w:rPr>
          <w:b/>
          <w:color w:val="0B4F6C"/>
        </w:rPr>
        <w:t xml:space="preserve">14.1</w:t>
        <w:tab/>
      </w:r>
      <w:r>
        <w:t xml:space="preserve">La présente politique est révisée </w:t>
      </w:r>
      <w:r>
        <w:rPr>
          <w:b/>
          <w:highlight w:val="yellow"/>
        </w:rPr>
        <w:t xml:space="preserve">[DÉCISION : cycle de révision des politiques]</w:t>
      </w:r>
      <w:r>
        <w:t xml:space="preserve"> et lors de tout changement important, notamment une nouvelle exigence légale, un incident majeur, un changement technologique ou organisationnel important ou une nouvelle utilisation de l’intelligence artificielle.</w:t>
      </w:r>
      <w:bookmarkEnd w:id="29"/>
    </w:p>
    <w:p>
      <w:r>
        <w:br w:type="page"/>
      </w:r>
    </w:p>
    <w:p>
      <w:pPr>
        <w:pStyle w:val="Heading1"/>
      </w:pPr>
      <w:r>
        <w:t xml:space="preserve">Annexe A — Décisions ouvertes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Emplacement</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Décision ou information requise</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5.2 (POL-004.6)</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Préciser si une utilisation personnelle limitée des technologies de travail est permise.</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10.1 (POL-004.18)</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Préciser si et comment l’utilisation des systèmes est surveillée (révision juridique requise).</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13.1 (POL-004.22)</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comité ou instance de gouvernance de la sécurité</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14.1 (POL-004.24)</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cycle de révision des politiques</w:t>
            </w:r>
          </w:p>
        </w:tc>
      </w:tr>
    </w:tbl>
    <w:p>
      <w:pPr>
        <w:spacing w:after="40"/>
      </w:pPr>
      <w:r/>
    </w:p>
    <w:p>
      <w:pPr>
        <w:pStyle w:val="Heading1"/>
      </w:pPr>
      <w:r>
        <w:t xml:space="preserve">Annexe B — Énoncés et traçabilité</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Énoncé</w:t>
            </w:r>
          </w:p>
        </w:tc>
        <w:tc>
          <w:tcPr>
            <w:tcW w:w="1077" w:type="dxa"/>
            <w:shd w:val="clear" w:color="auto" w:fill="0B4F6C"/>
          </w:tcPr>
          <w:p>
            <w:pPr>
              <w:spacing w:after="0"/>
            </w:pPr>
            <w:r>
              <w:rPr>
                <w:b/>
                <w:color w:val="FFFFFF"/>
                <w:sz w:val="16"/>
                <w:szCs w:val="16"/>
              </w:rPr>
              <w:t xml:space="preserve">Modalité</w:t>
            </w:r>
          </w:p>
        </w:tc>
        <w:tc>
          <w:tcPr>
            <w:tcW w:w="2041" w:type="dxa"/>
            <w:shd w:val="clear" w:color="auto" w:fill="0B4F6C"/>
          </w:tcPr>
          <w:p>
            <w:pPr>
              <w:spacing w:after="0"/>
            </w:pPr>
            <w:r>
              <w:rPr>
                <w:b/>
                <w:color w:val="FFFFFF"/>
                <w:sz w:val="16"/>
                <w:szCs w:val="16"/>
              </w:rPr>
              <w:t xml:space="preserve">Fondement</w:t>
            </w:r>
          </w:p>
        </w:tc>
        <w:tc>
          <w:tcPr>
            <w:tcW w:w="2381" w:type="dxa"/>
            <w:shd w:val="clear" w:color="auto" w:fill="0B4F6C"/>
          </w:tcPr>
          <w:p>
            <w:pPr>
              <w:spacing w:after="0"/>
            </w:pPr>
            <w:r>
              <w:rPr>
                <w:b/>
                <w:color w:val="FFFFFF"/>
                <w:sz w:val="16"/>
                <w:szCs w:val="16"/>
              </w:rPr>
              <w:t xml:space="preserve">Mesures (CRGO)</w:t>
            </w:r>
          </w:p>
        </w:tc>
        <w:tc>
          <w:tcPr>
            <w:tcW w:w="1984" w:type="dxa"/>
            <w:shd w:val="clear" w:color="auto" w:fill="0B4F6C"/>
          </w:tcPr>
          <w:p>
            <w:pPr>
              <w:spacing w:after="0"/>
            </w:pPr>
            <w:r>
              <w:rPr>
                <w:b/>
                <w:color w:val="FFFFFF"/>
                <w:sz w:val="16"/>
                <w:szCs w:val="16"/>
              </w:rPr>
              <w:t xml:space="preserve">Révision</w:t>
            </w:r>
          </w:p>
        </w:tc>
      </w:tr>
      <w:tr>
        <w:trPr>
          <w:cantSplit/>
        </w:trPr>
        <w:tc>
          <w:tcPr>
            <w:tcW w:w="1871" w:type="dxa"/>
          </w:tcPr>
          <w:p>
            <w:pPr>
              <w:spacing w:after="0"/>
            </w:pPr>
            <w:r>
              <w:rPr>
                <w:sz w:val="16"/>
                <w:szCs w:val="16"/>
              </w:rPr>
              <w:t xml:space="preserve">4.1 · POL-004.1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POL-004.2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POL-004.3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POL-004.4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POL-004.5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POL-004.6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POL-004.7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POL-004.8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ISO22:7.7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POL-004.9</w:t>
            </w:r>
          </w:p>
        </w:tc>
        <w:tc>
          <w:tcPr>
            <w:tcW w:w="1077" w:type="dxa"/>
          </w:tcPr>
          <w:p>
            <w:pPr>
              <w:spacing w:after="0"/>
            </w:pPr>
            <w:r>
              <w:rPr>
                <w:sz w:val="16"/>
                <w:szCs w:val="16"/>
              </w:rPr>
              <w:t xml:space="preserve">Ne doit pas</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POL-004.10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POL-004.11</w:t>
            </w:r>
          </w:p>
        </w:tc>
        <w:tc>
          <w:tcPr>
            <w:tcW w:w="1077" w:type="dxa"/>
          </w:tcPr>
          <w:p>
            <w:pPr>
              <w:spacing w:after="0"/>
            </w:pPr>
            <w:r>
              <w:rPr>
                <w:sz w:val="16"/>
                <w:szCs w:val="16"/>
              </w:rPr>
              <w:t xml:space="preserve">Ne doit pas</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ISO22:5.10, ISO22:8.19</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POL-004.12</w:t>
            </w:r>
          </w:p>
        </w:tc>
        <w:tc>
          <w:tcPr>
            <w:tcW w:w="1077" w:type="dxa"/>
          </w:tcPr>
          <w:p>
            <w:pPr>
              <w:spacing w:after="0"/>
            </w:pPr>
            <w:r>
              <w:rPr>
                <w:sz w:val="16"/>
                <w:szCs w:val="16"/>
              </w:rPr>
              <w:t xml:space="preserve">Ne doit pas</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POL-004.13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POL-004.14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POL-004.15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9.2 · POL-004.16</w:t>
            </w:r>
          </w:p>
        </w:tc>
        <w:tc>
          <w:tcPr>
            <w:tcW w:w="1077" w:type="dxa"/>
          </w:tcPr>
          <w:p>
            <w:pPr>
              <w:spacing w:after="0"/>
            </w:pPr>
            <w:r>
              <w:rPr>
                <w:sz w:val="16"/>
                <w:szCs w:val="16"/>
              </w:rPr>
              <w:t xml:space="preserve">Ne doit pas</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9.3 · POL-004.17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POL-004.18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POL-004.19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12.1 · POL-004.20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12.2 · POL-004.21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13.1 · POL-004.22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13.2 · POL-004.23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14.1 · POL-004.24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Interne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de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NOR-POL-AUP-001</w:t>
    </w:r>
    <w:r>
      <w:tab/>
    </w:r>
    <w:r>
      <w:rPr>
        <w:b/>
        <w:color w:val="B42318"/>
        <w:sz w:val="17"/>
        <w:szCs w:val="17"/>
      </w:rPr>
      <w:t xml:space="preserve">ÉBAUCHE — NON APPROUVÉE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fr-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d’utilisation acceptable</dc:title>
  <dc:subject>NOR-POL-AUP-001</dc:subject>
  <dc:creator>CyberRiskGuardian</dc:creator>
  <cp:keywords>isp=POL-004; writer=AUP; library=2026.10-2</cp:keywords>
  <dc:description>Ébauche produite avec un logiciel d’aide à la décision (CyberRiskGuardian Security Policy Writer). Elle ne constitue pas un avis juridique et n’est pas en vigueur tant qu’elle n’a pas été approuvée et publiée dans la gestion des PSI par les personnes</dc:description>
  <dc:identifier>crg-isp|sample|POL-004|v0.1|fr|draft|4bfaf7005e10bb08</dc:identifier>
  <dc:language>fr-CA</dc:language>
  <cp:category>Politique de sécurité de l’information — ÉBAUCHE</cp:category>
  <cp:version>0.1</cp:version>
  <cp:lastModifiedBy>CyberRiskGuardian</cp:lastModifiedBy>
  <dcterms:created xsi:type="dcterms:W3CDTF">2026-10-19T20:35:40Z</dcterms:created>
  <dcterms:modified xsi:type="dcterms:W3CDTF">2026-10-19T20:35:40Z</dcterms:modified>
</cp:coreProperties>
</file>