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Identity and Access Management Policy</w:t>
      </w:r>
    </w:p>
    <w:p>
      <w:r>
        <w:rPr>
          <w:color w:val="5F6B76"/>
          <w:sz w:val="22"/>
          <w:szCs w:val="22"/>
        </w:rPr>
        <w:t xml:space="preserve">Northstar Digital Services (fictional)  ·  NOR-POL-IAM-001  ·  Policy</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NOR-POL-IAM-001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POL-005</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policy ensures that only identified, authenticated and authorized people, devices and services access Northstar’s information and systems, with the least privilege necessary. Access is a business decision implemented through technology.</w:t>
      </w:r>
      <w:bookmarkEnd w:id="1"/>
    </w:p>
    <w:p>
      <w:pPr>
        <w:pStyle w:val="Heading1"/>
      </w:pPr>
      <w:r>
        <w:t xml:space="preserve">2. Scope</w:t>
      </w:r>
    </w:p>
    <w:p>
      <w:bookmarkStart w:id="2" w:name="_crgt_scope_1"/>
      <w:r>
        <w:t xml:space="preserve">This policy applies to all employees, contractors, consultants, temporary staff and other persons who access Northstar’s information or information systems, wherever they work.</w:t>
      </w:r>
      <w:bookmarkEnd w:id="2"/>
    </w:p>
    <w:p>
      <w:bookmarkStart w:id="3" w:name="_crgt_scope_2"/>
      <w:r>
        <w:t xml:space="preserve">It covers information in all forms and all systems owned, leased, operated or used on behalf of Northstar, including cloud services and systems operated by suppliers.</w:t>
      </w:r>
      <w:bookmarkEnd w:id="3"/>
    </w:p>
    <w:p>
      <w:bookmarkStart w:id="4" w:name="_crgt_scope_3"/>
      <w:r>
        <w:t xml:space="preserve">It covers user, privileged, service, shared-function and third-party accounts on all systems, including cloud and software-as-a-service applications.</w:t>
      </w:r>
      <w:bookmarkEnd w:id="4"/>
    </w:p>
    <w:p>
      <w:pPr>
        <w:pStyle w:val="Heading1"/>
      </w:pPr>
      <w:r>
        <w:t xml:space="preserve">3. Authority and related documents</w:t>
      </w:r>
    </w:p>
    <w:p>
      <w:bookmarkStart w:id="5" w:name="_crgt_C1_1"/>
      <w:r>
        <w:t xml:space="preserve">This policy is issued under the Enterprise Information Security Policy, which prevails in case of inconsistency. Detailed parameters may be set in standards and procedures approved under this policy.</w:t>
      </w:r>
      <w:bookmarkEnd w:id="5"/>
    </w:p>
    <w:p>
      <w:pPr>
        <w:pStyle w:val="Heading1"/>
      </w:pPr>
      <w:r>
        <w:t xml:space="preserve">4. Roles and responsibilities</w:t>
      </w:r>
    </w:p>
    <w:p>
      <w:pPr>
        <w:tabs>
          <w:tab w:val="left" w:pos="680"/>
        </w:tabs>
        <w:ind w:left="680" w:hanging="680"/>
      </w:pPr>
      <w:bookmarkStart w:id="6" w:name="_crgs_POL_005_1"/>
      <w:r>
        <w:rPr>
          <w:b/>
          <w:color w:val="0B4F6C"/>
        </w:rPr>
        <w:t xml:space="preserve">4.1</w:t>
        <w:tab/>
      </w:r>
      <w:r>
        <w:t xml:space="preserve">Information and system owners define who may have access, approve access requests and recertify access.</w:t>
      </w:r>
      <w:bookmarkEnd w:id="6"/>
    </w:p>
    <w:p>
      <w:pPr>
        <w:tabs>
          <w:tab w:val="left" w:pos="680"/>
        </w:tabs>
        <w:ind w:left="680" w:hanging="680"/>
      </w:pPr>
      <w:bookmarkStart w:id="7" w:name="_crgs_POL_005_2"/>
      <w:r>
        <w:rPr>
          <w:b/>
          <w:color w:val="0B4F6C"/>
        </w:rPr>
        <w:t xml:space="preserve">4.2</w:t>
        <w:tab/>
      </w:r>
      <w:r>
        <w:t xml:space="preserve">Managers request access for their staff based on their duties and report role changes and departures without delay.</w:t>
      </w:r>
      <w:bookmarkEnd w:id="7"/>
    </w:p>
    <w:p>
      <w:pPr>
        <w:tabs>
          <w:tab w:val="left" w:pos="680"/>
        </w:tabs>
        <w:ind w:left="680" w:hanging="680"/>
      </w:pPr>
      <w:bookmarkStart w:id="8" w:name="_crgs_POL_005_3"/>
      <w:r>
        <w:rPr>
          <w:b/>
          <w:color w:val="0B4F6C"/>
        </w:rPr>
        <w:t xml:space="preserve">4.3</w:t>
        <w:tab/>
      </w:r>
      <w:r>
        <w:t xml:space="preserve">Human resources notifies joiners, movers and leavers to the access administration function.</w:t>
      </w:r>
      <w:bookmarkEnd w:id="8"/>
    </w:p>
    <w:p>
      <w:pPr>
        <w:tabs>
          <w:tab w:val="left" w:pos="680"/>
        </w:tabs>
        <w:ind w:left="680" w:hanging="680"/>
      </w:pPr>
      <w:bookmarkStart w:id="9" w:name="_crgs_POL_005_4"/>
      <w:r>
        <w:rPr>
          <w:b/>
          <w:color w:val="0B4F6C"/>
        </w:rPr>
        <w:t xml:space="preserve">4.4</w:t>
        <w:tab/>
      </w:r>
      <w:r>
        <w:t xml:space="preserve">The access administration function provisions, modifies and removes access only on approved requests and keeps records.</w:t>
      </w:r>
      <w:bookmarkEnd w:id="9"/>
    </w:p>
    <w:p>
      <w:pPr>
        <w:tabs>
          <w:tab w:val="left" w:pos="680"/>
        </w:tabs>
        <w:ind w:left="680" w:hanging="680"/>
      </w:pPr>
      <w:bookmarkStart w:id="10" w:name="_crgs_POL_005_5"/>
      <w:r>
        <w:rPr>
          <w:b/>
          <w:color w:val="0B4F6C"/>
        </w:rPr>
        <w:t xml:space="preserve">4.5</w:t>
        <w:tab/>
      </w:r>
      <w:r>
        <w:t xml:space="preserve">The IT Manager sets authentication standards, oversees privileged access and reports on access risks.</w:t>
      </w:r>
      <w:bookmarkEnd w:id="10"/>
    </w:p>
    <w:p>
      <w:pPr>
        <w:pStyle w:val="Heading1"/>
      </w:pPr>
      <w:r>
        <w:t xml:space="preserve">5. Identities and accounts</w:t>
      </w:r>
    </w:p>
    <w:p>
      <w:pPr>
        <w:tabs>
          <w:tab w:val="left" w:pos="680"/>
        </w:tabs>
        <w:ind w:left="680" w:hanging="680"/>
      </w:pPr>
      <w:bookmarkStart w:id="11" w:name="_crgs_POL_005_6"/>
      <w:r>
        <w:rPr>
          <w:b/>
          <w:color w:val="0B4F6C"/>
        </w:rPr>
        <w:t xml:space="preserve">5.1</w:t>
        <w:tab/>
      </w:r>
      <w:r>
        <w:t xml:space="preserve">Each person must have a unique identity. Shared accounts are prohibited except where technically unavoidable, approved by the system owner, assigned to a named custodian and logged.</w:t>
      </w:r>
      <w:bookmarkEnd w:id="11"/>
    </w:p>
    <w:p>
      <w:pPr>
        <w:tabs>
          <w:tab w:val="left" w:pos="680"/>
        </w:tabs>
        <w:ind w:left="680" w:hanging="680"/>
      </w:pPr>
      <w:bookmarkStart w:id="12" w:name="_crgs_POL_005_7"/>
      <w:r>
        <w:rPr>
          <w:b/>
          <w:color w:val="0B4F6C"/>
        </w:rPr>
        <w:t xml:space="preserve">5.2</w:t>
        <w:tab/>
      </w:r>
      <w:r>
        <w:t xml:space="preserve">Service and other non-human accounts must have a named owner, a documented purpose, only the permissions required, and credentials that are protected and rotated according to the authentication standard.</w:t>
      </w:r>
      <w:bookmarkEnd w:id="12"/>
    </w:p>
    <w:p>
      <w:pPr>
        <w:pStyle w:val="Heading1"/>
      </w:pPr>
      <w:r>
        <w:t xml:space="preserve">6. Granting, changing and removing access</w:t>
      </w:r>
    </w:p>
    <w:p>
      <w:pPr>
        <w:tabs>
          <w:tab w:val="left" w:pos="680"/>
        </w:tabs>
        <w:ind w:left="680" w:hanging="680"/>
      </w:pPr>
      <w:bookmarkStart w:id="13" w:name="_crgs_POL_005_8"/>
      <w:r>
        <w:rPr>
          <w:b/>
          <w:color w:val="0B4F6C"/>
        </w:rPr>
        <w:t xml:space="preserve">6.1</w:t>
        <w:tab/>
      </w:r>
      <w:r>
        <w:t xml:space="preserve">Access must be granted only on a documented request approved by </w:t>
      </w:r>
      <w:r>
        <w:rPr>
          <w:b/>
          <w:highlight w:val="yellow"/>
        </w:rPr>
        <w:t xml:space="preserve">[DECISION: role(s) that approve access requests]</w:t>
      </w:r>
      <w:r>
        <w:t xml:space="preserve">, based on business need and least privilege.</w:t>
      </w:r>
      <w:bookmarkEnd w:id="13"/>
    </w:p>
    <w:p>
      <w:pPr>
        <w:tabs>
          <w:tab w:val="left" w:pos="680"/>
        </w:tabs>
        <w:ind w:left="680" w:hanging="680"/>
      </w:pPr>
      <w:bookmarkStart w:id="14" w:name="_crgs_POL_005_9"/>
      <w:r>
        <w:rPr>
          <w:b/>
          <w:color w:val="0B4F6C"/>
        </w:rPr>
        <w:t xml:space="preserve">6.2</w:t>
        <w:tab/>
      </w:r>
      <w:r>
        <w:t xml:space="preserve">Access should be assigned through roles or groups defined by owners rather than to individuals directly.</w:t>
      </w:r>
      <w:bookmarkEnd w:id="14"/>
    </w:p>
    <w:p>
      <w:pPr>
        <w:tabs>
          <w:tab w:val="left" w:pos="680"/>
        </w:tabs>
        <w:ind w:left="680" w:hanging="680"/>
      </w:pPr>
      <w:bookmarkStart w:id="15" w:name="_crgs_POL_005_10"/>
      <w:r>
        <w:rPr>
          <w:b/>
          <w:color w:val="0B4F6C"/>
        </w:rPr>
        <w:t xml:space="preserve">6.3</w:t>
        <w:tab/>
      </w:r>
      <w:r>
        <w:t xml:space="preserve">When a person changes role, access no longer required must be removed, and any new access must be requested and approved as for a new access request.</w:t>
      </w:r>
      <w:bookmarkEnd w:id="15"/>
    </w:p>
    <w:p>
      <w:pPr>
        <w:tabs>
          <w:tab w:val="left" w:pos="680"/>
        </w:tabs>
        <w:ind w:left="680" w:hanging="680"/>
      </w:pPr>
      <w:bookmarkStart w:id="16" w:name="_crgs_POL_005_11"/>
      <w:r>
        <w:rPr>
          <w:b/>
          <w:color w:val="0B4F6C"/>
        </w:rPr>
        <w:t xml:space="preserve">6.4</w:t>
        <w:tab/>
      </w:r>
      <w:r>
        <w:t xml:space="preserve">All access of a departing person must be disabled within </w:t>
      </w:r>
      <w:r>
        <w:rPr>
          <w:b/>
          <w:highlight w:val="yellow"/>
        </w:rPr>
        <w:t xml:space="preserve">[DECISION: deadline to disable access after departure]</w:t>
      </w:r>
      <w:r>
        <w:t xml:space="preserve">.</w:t>
      </w:r>
      <w:bookmarkEnd w:id="16"/>
    </w:p>
    <w:p>
      <w:pPr>
        <w:tabs>
          <w:tab w:val="left" w:pos="680"/>
        </w:tabs>
        <w:ind w:left="680" w:hanging="680"/>
      </w:pPr>
      <w:bookmarkStart w:id="17" w:name="_crgs_POL_005_12"/>
      <w:r>
        <w:rPr>
          <w:b/>
          <w:color w:val="0B4F6C"/>
        </w:rPr>
        <w:t xml:space="preserve">6.5</w:t>
        <w:tab/>
      </w:r>
      <w:r>
        <w:t xml:space="preserve">Accounts unused for </w:t>
      </w:r>
      <w:r>
        <w:rPr>
          <w:b/>
          <w:highlight w:val="yellow"/>
        </w:rPr>
        <w:t xml:space="preserve">[VALUE: number of days of inactivity]</w:t>
      </w:r>
      <w:r>
        <w:t xml:space="preserve"> must be disabled unless an exception is approved.</w:t>
      </w:r>
      <w:bookmarkEnd w:id="17"/>
    </w:p>
    <w:p>
      <w:pPr>
        <w:pStyle w:val="Heading1"/>
      </w:pPr>
      <w:r>
        <w:t xml:space="preserve">7. Authentication</w:t>
      </w:r>
    </w:p>
    <w:p>
      <w:pPr>
        <w:tabs>
          <w:tab w:val="left" w:pos="680"/>
        </w:tabs>
        <w:ind w:left="680" w:hanging="680"/>
      </w:pPr>
      <w:bookmarkStart w:id="18" w:name="_crgs_POL_005_13"/>
      <w:r>
        <w:rPr>
          <w:b/>
          <w:color w:val="0B4F6C"/>
        </w:rPr>
        <w:t xml:space="preserve">7.1</w:t>
        <w:tab/>
      </w:r>
      <w:r>
        <w:t xml:space="preserve">Multi-factor authentication must be used for </w:t>
      </w:r>
      <w:r>
        <w:rPr>
          <w:b/>
          <w:highlight w:val="yellow"/>
        </w:rPr>
        <w:t xml:space="preserve">[DECISION: scope of mandatory multi-factor authentication]</w:t>
      </w:r>
      <w:r>
        <w:t xml:space="preserve">.</w:t>
      </w:r>
      <w:bookmarkEnd w:id="18"/>
    </w:p>
    <w:p>
      <w:pPr>
        <w:tabs>
          <w:tab w:val="left" w:pos="680"/>
        </w:tabs>
        <w:ind w:left="680" w:hanging="680"/>
      </w:pPr>
      <w:bookmarkStart w:id="19" w:name="_crgs_POL_005_14"/>
      <w:r>
        <w:rPr>
          <w:b/>
          <w:color w:val="0B4F6C"/>
        </w:rPr>
        <w:t xml:space="preserve">7.2</w:t>
        <w:tab/>
      </w:r>
      <w:r>
        <w:t xml:space="preserve">Passwords must meet the authentication standard approved by the IT Manager, which favours length, blocks known-compromised passwords and does not require periodic changes unless compromise is suspected.</w:t>
      </w:r>
      <w:bookmarkEnd w:id="19"/>
    </w:p>
    <w:p>
      <w:pPr>
        <w:tabs>
          <w:tab w:val="left" w:pos="680"/>
        </w:tabs>
        <w:ind w:left="680" w:hanging="680"/>
      </w:pPr>
      <w:bookmarkStart w:id="20" w:name="_crgs_POL_005_15"/>
      <w:r>
        <w:rPr>
          <w:b/>
          <w:color w:val="0B4F6C"/>
        </w:rPr>
        <w:t xml:space="preserve">7.3</w:t>
        <w:tab/>
      </w:r>
      <w:r>
        <w:t xml:space="preserve">Default passwords must be changed before a system or device is put into service.</w:t>
      </w:r>
      <w:bookmarkEnd w:id="20"/>
    </w:p>
    <w:p>
      <w:pPr>
        <w:pStyle w:val="Heading1"/>
      </w:pPr>
      <w:r>
        <w:t xml:space="preserve">8. Privileged access</w:t>
      </w:r>
    </w:p>
    <w:p>
      <w:pPr>
        <w:tabs>
          <w:tab w:val="left" w:pos="680"/>
        </w:tabs>
        <w:ind w:left="680" w:hanging="680"/>
      </w:pPr>
      <w:bookmarkStart w:id="21" w:name="_crgs_POL_005_16"/>
      <w:r>
        <w:rPr>
          <w:b/>
          <w:color w:val="0B4F6C"/>
        </w:rPr>
        <w:t xml:space="preserve">8.1</w:t>
        <w:tab/>
      </w:r>
      <w:r>
        <w:t xml:space="preserve">Administrators must use a separate privileged account for administrative tasks and their regular account for email, browsing and other daily work.</w:t>
      </w:r>
      <w:bookmarkEnd w:id="21"/>
    </w:p>
    <w:p>
      <w:pPr>
        <w:tabs>
          <w:tab w:val="left" w:pos="680"/>
        </w:tabs>
        <w:ind w:left="680" w:hanging="680"/>
      </w:pPr>
      <w:bookmarkStart w:id="22" w:name="_crgs_POL_005_17"/>
      <w:r>
        <w:rPr>
          <w:b/>
          <w:color w:val="0B4F6C"/>
        </w:rPr>
        <w:t xml:space="preserve">8.2</w:t>
        <w:tab/>
      </w:r>
      <w:r>
        <w:t xml:space="preserve">Privileged access must be limited in number, approved by the IT Manager in addition to the system owner, logged, and granted for the shortest time practical.</w:t>
      </w:r>
      <w:bookmarkEnd w:id="22"/>
    </w:p>
    <w:p>
      <w:pPr>
        <w:tabs>
          <w:tab w:val="left" w:pos="680"/>
        </w:tabs>
        <w:ind w:left="680" w:hanging="680"/>
      </w:pPr>
      <w:bookmarkStart w:id="23" w:name="_crgs_POL_005_18"/>
      <w:r>
        <w:rPr>
          <w:b/>
          <w:color w:val="0B4F6C"/>
        </w:rPr>
        <w:t xml:space="preserve">8.3</w:t>
        <w:tab/>
      </w:r>
      <w:r>
        <w:t xml:space="preserve">Emergency (“break-glass”) accounts must be protected, used only under documented conditions, and every use must be reviewed after the fact.</w:t>
      </w:r>
      <w:bookmarkEnd w:id="23"/>
    </w:p>
    <w:p>
      <w:pPr>
        <w:tabs>
          <w:tab w:val="left" w:pos="680"/>
        </w:tabs>
        <w:ind w:left="680" w:hanging="680"/>
      </w:pPr>
      <w:bookmarkStart w:id="24" w:name="_crgs_POL_005_19"/>
      <w:r>
        <w:rPr>
          <w:b/>
          <w:color w:val="0B4F6C"/>
        </w:rPr>
        <w:t xml:space="preserve">8.4</w:t>
        <w:tab/>
      </w:r>
      <w:r>
        <w:t xml:space="preserve">No single person should be able to both request and approve their own privileged access, or to perform and conceal a critical transaction.</w:t>
      </w:r>
      <w:bookmarkEnd w:id="24"/>
    </w:p>
    <w:p>
      <w:pPr>
        <w:pStyle w:val="Heading1"/>
      </w:pPr>
      <w:r>
        <w:t xml:space="preserve">9. Access reviews</w:t>
      </w:r>
    </w:p>
    <w:p>
      <w:pPr>
        <w:tabs>
          <w:tab w:val="left" w:pos="680"/>
        </w:tabs>
        <w:ind w:left="680" w:hanging="680"/>
      </w:pPr>
      <w:bookmarkStart w:id="25" w:name="_crgs_POL_005_20"/>
      <w:r>
        <w:rPr>
          <w:b/>
          <w:color w:val="0B4F6C"/>
        </w:rPr>
        <w:t xml:space="preserve">9.1</w:t>
        <w:tab/>
      </w:r>
      <w:r>
        <w:t xml:space="preserve">Owners must review and recertify access </w:t>
      </w:r>
      <w:r>
        <w:rPr>
          <w:b/>
          <w:highlight w:val="yellow"/>
        </w:rPr>
        <w:t xml:space="preserve">[DECISION: access review frequency]</w:t>
      </w:r>
      <w:r>
        <w:t xml:space="preserve">; access that is no longer justified must be removed.</w:t>
      </w:r>
      <w:bookmarkEnd w:id="25"/>
    </w:p>
    <w:p>
      <w:pPr>
        <w:pStyle w:val="Heading1"/>
      </w:pPr>
      <w:r>
        <w:t xml:space="preserve">10. Third-party access</w:t>
      </w:r>
    </w:p>
    <w:p>
      <w:pPr>
        <w:tabs>
          <w:tab w:val="left" w:pos="680"/>
        </w:tabs>
        <w:ind w:left="680" w:hanging="680"/>
      </w:pPr>
      <w:bookmarkStart w:id="26" w:name="_crgs_POL_005_21"/>
      <w:r>
        <w:rPr>
          <w:b/>
          <w:color w:val="0B4F6C"/>
        </w:rPr>
        <w:t xml:space="preserve">10.1</w:t>
        <w:tab/>
      </w:r>
      <w:r>
        <w:t xml:space="preserve">Supplier and contractor access must be sponsored by a named Northstar manager, limited to the contract’s purpose and duration, and removed when the engagement ends.</w:t>
      </w:r>
      <w:bookmarkEnd w:id="26"/>
    </w:p>
    <w:p>
      <w:pPr>
        <w:pStyle w:val="Heading1"/>
      </w:pPr>
      <w:r>
        <w:t xml:space="preserve">11. Exceptions</w:t>
      </w:r>
    </w:p>
    <w:p>
      <w:pPr>
        <w:tabs>
          <w:tab w:val="left" w:pos="680"/>
        </w:tabs>
        <w:ind w:left="680" w:hanging="680"/>
      </w:pPr>
      <w:bookmarkStart w:id="27" w:name="_crgs_POL_005_22"/>
      <w:r>
        <w:rPr>
          <w:b/>
          <w:color w:val="0B4F6C"/>
        </w:rPr>
        <w:t xml:space="preserve">11.1</w:t>
        <w:tab/>
      </w:r>
      <w:r>
        <w:t xml:space="preserve">Any departure from this policy requires an exception approved in advance through the exception process set out in the Enterprise Information Security Policy. An exception states the requirement not met, the reason, its duration, the compensating controls and the residual risk.</w:t>
      </w:r>
      <w:bookmarkEnd w:id="27"/>
    </w:p>
    <w:p>
      <w:pPr>
        <w:tabs>
          <w:tab w:val="left" w:pos="680"/>
        </w:tabs>
        <w:ind w:left="680" w:hanging="680"/>
      </w:pPr>
      <w:bookmarkStart w:id="28" w:name="_crgs_POL_005_23"/>
      <w:r>
        <w:rPr>
          <w:b/>
          <w:color w:val="0B4F6C"/>
        </w:rPr>
        <w:t xml:space="preserve">11.2</w:t>
        <w:tab/>
      </w:r>
      <w:r>
        <w:t xml:space="preserve">An exception cannot set aside a legal, regulatory or contractual obligation.</w:t>
      </w:r>
      <w:bookmarkEnd w:id="28"/>
    </w:p>
    <w:p>
      <w:pPr>
        <w:pStyle w:val="Heading1"/>
      </w:pPr>
      <w:r>
        <w:t xml:space="preserve">12. Compliance monitoring and non-conformance</w:t>
      </w:r>
    </w:p>
    <w:p>
      <w:bookmarkStart w:id="29" w:name="_crgt_C10_1"/>
      <w:r>
        <w:t xml:space="preserve">Having this policy is not evidence that its requirements are met; compliance is demonstrated by evidence that controls operate effectively.</w:t>
      </w:r>
      <w:bookmarkEnd w:id="29"/>
    </w:p>
    <w:p>
      <w:pPr>
        <w:tabs>
          <w:tab w:val="left" w:pos="680"/>
        </w:tabs>
        <w:ind w:left="680" w:hanging="680"/>
      </w:pPr>
      <w:bookmarkStart w:id="30" w:name="_crgs_POL_005_24"/>
      <w:r>
        <w:rPr>
          <w:b/>
          <w:color w:val="0B4F6C"/>
        </w:rPr>
        <w:t xml:space="preserve">12.1</w:t>
        <w:tab/>
      </w:r>
      <w:r>
        <w:t xml:space="preserve">The IT Manager monitors the application of this policy and reports significant non-conformities and trends to </w:t>
      </w:r>
      <w:r>
        <w:rPr>
          <w:b/>
          <w:highlight w:val="yellow"/>
        </w:rPr>
        <w:t xml:space="preserve">[DECISION: security governance committee or body]</w:t>
      </w:r>
      <w:r>
        <w:t xml:space="preserve">.</w:t>
      </w:r>
      <w:bookmarkEnd w:id="30"/>
    </w:p>
    <w:p>
      <w:pPr>
        <w:tabs>
          <w:tab w:val="left" w:pos="680"/>
        </w:tabs>
        <w:ind w:left="680" w:hanging="680"/>
      </w:pPr>
      <w:bookmarkStart w:id="31" w:name="_crgs_POL_005_25"/>
      <w:r>
        <w:rPr>
          <w:b/>
          <w:color w:val="0B4F6C"/>
        </w:rPr>
        <w:t xml:space="preserve">12.2</w:t>
        <w:tab/>
      </w:r>
      <w:r>
        <w:t xml:space="preserve">Non-compliance may lead to the withdrawal of access and to administrative or disciplinary measures proportionate to its seriousness, in accordance with applicable employment rules and contracts.</w:t>
      </w:r>
      <w:bookmarkEnd w:id="31"/>
    </w:p>
    <w:p>
      <w:pPr>
        <w:pStyle w:val="Heading1"/>
      </w:pPr>
      <w:r>
        <w:t xml:space="preserve">13. Review</w:t>
      </w:r>
    </w:p>
    <w:p>
      <w:pPr>
        <w:tabs>
          <w:tab w:val="left" w:pos="680"/>
        </w:tabs>
        <w:ind w:left="680" w:hanging="680"/>
      </w:pPr>
      <w:bookmarkStart w:id="32" w:name="_crgs_POL_005_26"/>
      <w:r>
        <w:rPr>
          <w:b/>
          <w:color w:val="0B4F6C"/>
        </w:rPr>
        <w:t xml:space="preserve">13.1</w:t>
        <w:tab/>
      </w:r>
      <w:r>
        <w:t xml:space="preserve">This policy is reviewed </w:t>
      </w:r>
      <w:r>
        <w:rPr>
          <w:b/>
          <w:highlight w:val="yellow"/>
        </w:rPr>
        <w:t xml:space="preserve">[DECISION: policy review cycle]</w:t>
      </w:r>
      <w:r>
        <w:t xml:space="preserve"> and whenever a significant change occurs, such as a new legal requirement, a major incident, a significant technology or organizational change, or a new use of artificial intelligence.</w:t>
      </w:r>
      <w:bookmarkEnd w:id="32"/>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6.1 (POL-005.8)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role(s) that approve access requests</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6.4 (POL-005.11)</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deadline to disable access after departure</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6.5 (POL-005.12)</w:t>
            </w:r>
          </w:p>
        </w:tc>
        <w:tc>
          <w:tcPr>
            <w:tcW w:w="1474" w:type="dxa"/>
          </w:tcPr>
          <w:p>
            <w:pPr>
              <w:spacing w:after="0"/>
            </w:pPr>
            <w:r>
              <w:rPr>
                <w:sz w:val="17"/>
                <w:szCs w:val="17"/>
              </w:rPr>
              <w:t xml:space="preserve">VALUE</w:t>
            </w:r>
          </w:p>
        </w:tc>
        <w:tc>
          <w:tcPr>
            <w:tcW w:w="5329" w:type="dxa"/>
          </w:tcPr>
          <w:p>
            <w:pPr>
              <w:spacing w:after="0"/>
            </w:pPr>
            <w:r>
              <w:rPr>
                <w:sz w:val="17"/>
                <w:szCs w:val="17"/>
              </w:rPr>
              <w:t xml:space="preserve">number of days of inactivity</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7.1 (POL-005.13)</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scope of mandatory multi-factor authentication</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9.1 (POL-005.20)</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access review frequency</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12.1 (POL-005.24)</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13.1 (POL-005.26)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4.1 · POL-005.1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POL-005.2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POL-005.3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POL-005.4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4.5 · POL-005.5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POL-005.6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POL-005.7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ISO22:5.16, 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POL-005.8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ISO22:5.15, ISO22:5.18,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POL-005.9</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POL-005.10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POL-005.11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ISO22:5.18, ISO22:6.5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POL-005.12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POL-005.13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ISO22:8.5,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POL-005.14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POL-005.15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POL-005.16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POL-005.17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ISO22:8.2,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POL-005.18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8.4 · POL-005.19</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POL-005.20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ISO22:5.18,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POL-005.21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ISO22:5.19</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POL-005.22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11.2 · POL-005.23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POL-005.24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12.2 · POL-005.25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POL-005.26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NOR-POL-IAM-001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Access Management Policy</dc:title>
  <dc:subject>NOR-POL-IAM-001</dc:subject>
  <dc:creator>CyberRiskGuardian</dc:creator>
  <cp:keywords>isp=POL-005; writer=IAM;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crg-isp|sample|POL-005|v0.1|en|draft|aa0744a9c885a389</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