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Politique de gestion des identités et des accès</w:t>
      </w:r>
    </w:p>
    <w:p>
      <w:r>
        <w:rPr>
          <w:color w:val="5F6B76"/>
          <w:sz w:val="22"/>
          <w:szCs w:val="22"/>
        </w:rPr>
        <w:t xml:space="preserve">Northstar Digital Services (fictional)  ·  NOR-POL-IAM-001  ·  Politique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NOR-POL-IAM-001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POL-006</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politique garantit que seuls des personnes, appareils et services identifiés, authentifiés et autorisés accèdent à l’information et aux systèmes de Northstar, avec le moindre privilège nécessaire. L’accès est une décision d’affaires mise en œuvre par la technologie.</w:t>
      </w:r>
      <w:bookmarkEnd w:id="1"/>
    </w:p>
    <w:p>
      <w:pPr>
        <w:pStyle w:val="Heading1"/>
      </w:pPr>
      <w:r>
        <w:t xml:space="preserve">2. Portée</w:t>
      </w:r>
    </w:p>
    <w:p>
      <w:bookmarkStart w:id="2" w:name="_crgt_scope_1"/>
      <w:r>
        <w:t xml:space="preserve">La présente politique s’applique à tous les employés, contractuels, consultants, personnes temporaires et autres personnes qui accèdent à l’information ou aux systèmes d’information de Northstar, où qu’elles travaillent.</w:t>
      </w:r>
      <w:bookmarkEnd w:id="2"/>
    </w:p>
    <w:p>
      <w:bookmarkStart w:id="3" w:name="_crgt_scope_2"/>
      <w:r>
        <w:t xml:space="preserve">Elle vise l’information sous toutes ses formes et tous les systèmes possédés, loués, exploités ou utilisés pour le compte de Northstar, y compris les services infonuagiques et les systèmes exploités par des fournisseurs.</w:t>
      </w:r>
      <w:bookmarkEnd w:id="3"/>
    </w:p>
    <w:p>
      <w:bookmarkStart w:id="4" w:name="_crgt_scope_3"/>
      <w:r>
        <w:t xml:space="preserve">Elle vise les comptes d’utilisateurs, privilégiés, de service, fonctionnels et de tiers sur tous les systèmes, y compris les applications infonuagiques et SaaS.</w:t>
      </w:r>
      <w:bookmarkEnd w:id="4"/>
    </w:p>
    <w:p>
      <w:pPr>
        <w:pStyle w:val="Heading1"/>
      </w:pPr>
      <w:r>
        <w:t xml:space="preserve">3. Autorité et documents connexes</w:t>
      </w:r>
    </w:p>
    <w:p>
      <w:bookmarkStart w:id="5" w:name="_crgt_C1_1"/>
      <w:r>
        <w:t xml:space="preserve">La présente politique est adoptée en vertu de la Politique de sécurité de l’information de l’entreprise, qui prévaut en cas d’incohérence. Des paramètres détaillés peuvent être fixés dans des normes et procédures approuvées en vertu de la présente politique.</w:t>
      </w:r>
      <w:bookmarkEnd w:id="5"/>
    </w:p>
    <w:p>
      <w:pPr>
        <w:pStyle w:val="Heading1"/>
      </w:pPr>
      <w:r>
        <w:t xml:space="preserve">4. Rôles et responsabilités</w:t>
      </w:r>
    </w:p>
    <w:p>
      <w:pPr>
        <w:tabs>
          <w:tab w:val="left" w:pos="680"/>
        </w:tabs>
        <w:ind w:left="680" w:hanging="680"/>
      </w:pPr>
      <w:bookmarkStart w:id="6" w:name="_crgs_POL_006_1"/>
      <w:r>
        <w:rPr>
          <w:b/>
          <w:color w:val="0B4F6C"/>
        </w:rPr>
        <w:t xml:space="preserve">4.1</w:t>
        <w:tab/>
      </w:r>
      <w:r>
        <w:t xml:space="preserve">Les responsables de l’information et des systèmes déterminent qui peut avoir accès, approuvent les demandes d’accès et recertifient les accès.</w:t>
      </w:r>
      <w:bookmarkEnd w:id="6"/>
    </w:p>
    <w:p>
      <w:pPr>
        <w:tabs>
          <w:tab w:val="left" w:pos="680"/>
        </w:tabs>
        <w:ind w:left="680" w:hanging="680"/>
      </w:pPr>
      <w:bookmarkStart w:id="7" w:name="_crgs_POL_006_2"/>
      <w:r>
        <w:rPr>
          <w:b/>
          <w:color w:val="0B4F6C"/>
        </w:rPr>
        <w:t xml:space="preserve">4.2</w:t>
        <w:tab/>
      </w:r>
      <w:r>
        <w:t xml:space="preserve">Les gestionnaires demandent les accès de leur personnel selon ses fonctions et signalent sans délai les changements de fonctions et les départs.</w:t>
      </w:r>
      <w:bookmarkEnd w:id="7"/>
    </w:p>
    <w:p>
      <w:pPr>
        <w:tabs>
          <w:tab w:val="left" w:pos="680"/>
        </w:tabs>
        <w:ind w:left="680" w:hanging="680"/>
      </w:pPr>
      <w:bookmarkStart w:id="8" w:name="_crgs_POL_006_3"/>
      <w:r>
        <w:rPr>
          <w:b/>
          <w:color w:val="0B4F6C"/>
        </w:rPr>
        <w:t xml:space="preserve">4.3</w:t>
        <w:tab/>
      </w:r>
      <w:r>
        <w:t xml:space="preserve">Les ressources humaines avisent la fonction d’administration des accès des arrivées, mouvements et départs.</w:t>
      </w:r>
      <w:bookmarkEnd w:id="8"/>
    </w:p>
    <w:p>
      <w:pPr>
        <w:tabs>
          <w:tab w:val="left" w:pos="680"/>
        </w:tabs>
        <w:ind w:left="680" w:hanging="680"/>
      </w:pPr>
      <w:bookmarkStart w:id="9" w:name="_crgs_POL_006_4"/>
      <w:r>
        <w:rPr>
          <w:b/>
          <w:color w:val="0B4F6C"/>
        </w:rPr>
        <w:t xml:space="preserve">4.4</w:t>
        <w:tab/>
      </w:r>
      <w:r>
        <w:t xml:space="preserve">La fonction d’administration des accès attribue, modifie et retire les accès uniquement sur demande approuvée et conserve les traces.</w:t>
      </w:r>
      <w:bookmarkEnd w:id="9"/>
    </w:p>
    <w:p>
      <w:pPr>
        <w:tabs>
          <w:tab w:val="left" w:pos="680"/>
        </w:tabs>
        <w:ind w:left="680" w:hanging="680"/>
      </w:pPr>
      <w:bookmarkStart w:id="10" w:name="_crgs_POL_006_5"/>
      <w:r>
        <w:rPr>
          <w:b/>
          <w:color w:val="0B4F6C"/>
        </w:rPr>
        <w:t xml:space="preserve">4.5</w:t>
        <w:tab/>
      </w:r>
      <w:r>
        <w:t xml:space="preserve">Le gestionnaire des TI établit les normes d’authentification, supervise les accès privilégiés et rend compte des risques liés aux accès.</w:t>
      </w:r>
      <w:bookmarkEnd w:id="10"/>
    </w:p>
    <w:p>
      <w:pPr>
        <w:pStyle w:val="Heading1"/>
      </w:pPr>
      <w:r>
        <w:t xml:space="preserve">5. Identités et comptes</w:t>
      </w:r>
    </w:p>
    <w:p>
      <w:pPr>
        <w:tabs>
          <w:tab w:val="left" w:pos="680"/>
        </w:tabs>
        <w:ind w:left="680" w:hanging="680"/>
      </w:pPr>
      <w:bookmarkStart w:id="11" w:name="_crgs_POL_006_6"/>
      <w:r>
        <w:rPr>
          <w:b/>
          <w:color w:val="0B4F6C"/>
        </w:rPr>
        <w:t xml:space="preserve">5.1</w:t>
        <w:tab/>
      </w:r>
      <w:r>
        <w:t xml:space="preserve">Chaque personne doit avoir une identité unique. Les comptes partagés sont interdits, sauf lorsque techniquement inévitables, approuvés par le responsable du système, confiés à un gardien nommé et journalisés.</w:t>
      </w:r>
      <w:bookmarkEnd w:id="11"/>
    </w:p>
    <w:p>
      <w:pPr>
        <w:tabs>
          <w:tab w:val="left" w:pos="680"/>
        </w:tabs>
        <w:ind w:left="680" w:hanging="680"/>
      </w:pPr>
      <w:bookmarkStart w:id="12" w:name="_crgs_POL_006_7"/>
      <w:r>
        <w:rPr>
          <w:b/>
          <w:color w:val="0B4F6C"/>
        </w:rPr>
        <w:t xml:space="preserve">5.2</w:t>
        <w:tab/>
      </w:r>
      <w:r>
        <w:t xml:space="preserve">Les comptes de service et autres comptes non humains doivent avoir un responsable nommé, une finalité documentée, uniquement les permissions requises et des authentifiants protégés et renouvelés selon la norme d’authentification.</w:t>
      </w:r>
      <w:bookmarkEnd w:id="12"/>
    </w:p>
    <w:p>
      <w:pPr>
        <w:pStyle w:val="Heading1"/>
      </w:pPr>
      <w:r>
        <w:t xml:space="preserve">6. Attribution, modification et retrait des accès</w:t>
      </w:r>
    </w:p>
    <w:p>
      <w:pPr>
        <w:tabs>
          <w:tab w:val="left" w:pos="680"/>
        </w:tabs>
        <w:ind w:left="680" w:hanging="680"/>
      </w:pPr>
      <w:bookmarkStart w:id="13" w:name="_crgs_POL_006_8"/>
      <w:r>
        <w:rPr>
          <w:b/>
          <w:color w:val="0B4F6C"/>
        </w:rPr>
        <w:t xml:space="preserve">6.1</w:t>
        <w:tab/>
      </w:r>
      <w:r>
        <w:t xml:space="preserve">L’accès doit être accordé uniquement sur demande documentée approuvée par </w:t>
      </w:r>
      <w:r>
        <w:rPr>
          <w:b/>
          <w:highlight w:val="yellow"/>
        </w:rPr>
        <w:t xml:space="preserve">[DÉCISION : rôle(s) qui approuvent les demandes d’accès]</w:t>
      </w:r>
      <w:r>
        <w:t xml:space="preserve">, selon le besoin d’affaires et le moindre privilège.</w:t>
      </w:r>
      <w:bookmarkEnd w:id="13"/>
    </w:p>
    <w:p>
      <w:pPr>
        <w:tabs>
          <w:tab w:val="left" w:pos="680"/>
        </w:tabs>
        <w:ind w:left="680" w:hanging="680"/>
      </w:pPr>
      <w:bookmarkStart w:id="14" w:name="_crgs_POL_006_9"/>
      <w:r>
        <w:rPr>
          <w:b/>
          <w:color w:val="0B4F6C"/>
        </w:rPr>
        <w:t xml:space="preserve">6.2</w:t>
        <w:tab/>
      </w:r>
      <w:r>
        <w:t xml:space="preserve">L’accès devrait être attribué au moyen de rôles ou de groupes définis par les responsables plutôt que directement aux personnes.</w:t>
      </w:r>
      <w:bookmarkEnd w:id="14"/>
    </w:p>
    <w:p>
      <w:pPr>
        <w:tabs>
          <w:tab w:val="left" w:pos="680"/>
        </w:tabs>
        <w:ind w:left="680" w:hanging="680"/>
      </w:pPr>
      <w:bookmarkStart w:id="15" w:name="_crgs_POL_006_10"/>
      <w:r>
        <w:rPr>
          <w:b/>
          <w:color w:val="0B4F6C"/>
        </w:rPr>
        <w:t xml:space="preserve">6.3</w:t>
        <w:tab/>
      </w:r>
      <w:r>
        <w:t xml:space="preserve">Lorsqu’une personne change de fonctions, les accès qui ne sont plus requis doivent être retirés, et tout nouvel accès doit être demandé et approuvé comme une nouvelle demande d’accès.</w:t>
      </w:r>
      <w:bookmarkEnd w:id="15"/>
    </w:p>
    <w:p>
      <w:pPr>
        <w:tabs>
          <w:tab w:val="left" w:pos="680"/>
        </w:tabs>
        <w:ind w:left="680" w:hanging="680"/>
      </w:pPr>
      <w:bookmarkStart w:id="16" w:name="_crgs_POL_006_11"/>
      <w:r>
        <w:rPr>
          <w:b/>
          <w:color w:val="0B4F6C"/>
        </w:rPr>
        <w:t xml:space="preserve">6.4</w:t>
        <w:tab/>
      </w:r>
      <w:r>
        <w:t xml:space="preserve">Tous les accès d’une personne qui quitte doivent être désactivés dans un délai de </w:t>
      </w:r>
      <w:r>
        <w:rPr>
          <w:b/>
          <w:highlight w:val="yellow"/>
        </w:rPr>
        <w:t xml:space="preserve">[DÉCISION : délai de désactivation des accès après un départ]</w:t>
      </w:r>
      <w:r>
        <w:t xml:space="preserve">.</w:t>
      </w:r>
      <w:bookmarkEnd w:id="16"/>
    </w:p>
    <w:p>
      <w:pPr>
        <w:tabs>
          <w:tab w:val="left" w:pos="680"/>
        </w:tabs>
        <w:ind w:left="680" w:hanging="680"/>
      </w:pPr>
      <w:bookmarkStart w:id="17" w:name="_crgs_POL_006_12"/>
      <w:r>
        <w:rPr>
          <w:b/>
          <w:color w:val="0B4F6C"/>
        </w:rPr>
        <w:t xml:space="preserve">6.5</w:t>
        <w:tab/>
      </w:r>
      <w:r>
        <w:t xml:space="preserve">Les comptes inutilisés depuis </w:t>
      </w:r>
      <w:r>
        <w:rPr>
          <w:b/>
          <w:highlight w:val="yellow"/>
        </w:rPr>
        <w:t xml:space="preserve">[VALEUR : nombre de jours d’inactivité]</w:t>
      </w:r>
      <w:r>
        <w:t xml:space="preserve"> doivent être désactivés, sauf dérogation approuvée.</w:t>
      </w:r>
      <w:bookmarkEnd w:id="17"/>
    </w:p>
    <w:p>
      <w:pPr>
        <w:pStyle w:val="Heading1"/>
      </w:pPr>
      <w:r>
        <w:t xml:space="preserve">7. Authentification</w:t>
      </w:r>
    </w:p>
    <w:p>
      <w:pPr>
        <w:tabs>
          <w:tab w:val="left" w:pos="680"/>
        </w:tabs>
        <w:ind w:left="680" w:hanging="680"/>
      </w:pPr>
      <w:bookmarkStart w:id="18" w:name="_crgs_POL_006_13"/>
      <w:r>
        <w:rPr>
          <w:b/>
          <w:color w:val="0B4F6C"/>
        </w:rPr>
        <w:t xml:space="preserve">7.1</w:t>
        <w:tab/>
      </w:r>
      <w:r>
        <w:t xml:space="preserve">L’authentification multifacteur doit être utilisée pour </w:t>
      </w:r>
      <w:r>
        <w:rPr>
          <w:b/>
          <w:highlight w:val="yellow"/>
        </w:rPr>
        <w:t xml:space="preserve">[DÉCISION : portée de l’authentification multifacteur obligatoire]</w:t>
      </w:r>
      <w:r>
        <w:t xml:space="preserve">.</w:t>
      </w:r>
      <w:bookmarkEnd w:id="18"/>
    </w:p>
    <w:p>
      <w:pPr>
        <w:tabs>
          <w:tab w:val="left" w:pos="680"/>
        </w:tabs>
        <w:ind w:left="680" w:hanging="680"/>
      </w:pPr>
      <w:bookmarkStart w:id="19" w:name="_crgs_POL_006_14"/>
      <w:r>
        <w:rPr>
          <w:b/>
          <w:color w:val="0B4F6C"/>
        </w:rPr>
        <w:t xml:space="preserve">7.2</w:t>
        <w:tab/>
      </w:r>
      <w:r>
        <w:t xml:space="preserve">Les mots de passe doivent respecter la norme d’authentification approuvée par le gestionnaire des TI, qui privilégie la longueur, bloque les mots de passe connus comme compromis et n’exige pas de changement périodique sauf soupçon de compromission.</w:t>
      </w:r>
      <w:bookmarkEnd w:id="19"/>
    </w:p>
    <w:p>
      <w:pPr>
        <w:tabs>
          <w:tab w:val="left" w:pos="680"/>
        </w:tabs>
        <w:ind w:left="680" w:hanging="680"/>
      </w:pPr>
      <w:bookmarkStart w:id="20" w:name="_crgs_POL_006_15"/>
      <w:r>
        <w:rPr>
          <w:b/>
          <w:color w:val="0B4F6C"/>
        </w:rPr>
        <w:t xml:space="preserve">7.3</w:t>
        <w:tab/>
      </w:r>
      <w:r>
        <w:t xml:space="preserve">Les mots de passe par défaut doivent être changés avant la mise en service d’un système ou d’un appareil.</w:t>
      </w:r>
      <w:bookmarkEnd w:id="20"/>
    </w:p>
    <w:p>
      <w:pPr>
        <w:pStyle w:val="Heading1"/>
      </w:pPr>
      <w:r>
        <w:t xml:space="preserve">8. Accès privilégiés</w:t>
      </w:r>
    </w:p>
    <w:p>
      <w:pPr>
        <w:tabs>
          <w:tab w:val="left" w:pos="680"/>
        </w:tabs>
        <w:ind w:left="680" w:hanging="680"/>
      </w:pPr>
      <w:bookmarkStart w:id="21" w:name="_crgs_POL_006_16"/>
      <w:r>
        <w:rPr>
          <w:b/>
          <w:color w:val="0B4F6C"/>
        </w:rPr>
        <w:t xml:space="preserve">8.1</w:t>
        <w:tab/>
      </w:r>
      <w:r>
        <w:t xml:space="preserve">Les administrateurs doivent utiliser un compte privilégié distinct pour les tâches d’administration et leur compte ordinaire pour le courriel, la navigation et le travail courant.</w:t>
      </w:r>
      <w:bookmarkEnd w:id="21"/>
    </w:p>
    <w:p>
      <w:pPr>
        <w:tabs>
          <w:tab w:val="left" w:pos="680"/>
        </w:tabs>
        <w:ind w:left="680" w:hanging="680"/>
      </w:pPr>
      <w:bookmarkStart w:id="22" w:name="_crgs_POL_006_17"/>
      <w:r>
        <w:rPr>
          <w:b/>
          <w:color w:val="0B4F6C"/>
        </w:rPr>
        <w:t xml:space="preserve">8.2</w:t>
        <w:tab/>
      </w:r>
      <w:r>
        <w:t xml:space="preserve">Les accès privilégiés doivent être limités en nombre, approuvés par le gestionnaire des TI en plus du responsable du système, journalisés et accordés pour la durée la plus courte possible.</w:t>
      </w:r>
      <w:bookmarkEnd w:id="22"/>
    </w:p>
    <w:p>
      <w:pPr>
        <w:tabs>
          <w:tab w:val="left" w:pos="680"/>
        </w:tabs>
        <w:ind w:left="680" w:hanging="680"/>
      </w:pPr>
      <w:bookmarkStart w:id="23" w:name="_crgs_POL_006_18"/>
      <w:r>
        <w:rPr>
          <w:b/>
          <w:color w:val="0B4F6C"/>
        </w:rPr>
        <w:t xml:space="preserve">8.3</w:t>
        <w:tab/>
      </w:r>
      <w:r>
        <w:t xml:space="preserve">Les comptes d’urgence doivent être protégés, utilisés uniquement dans des conditions documentées, et chaque utilisation doit être revue a posteriori.</w:t>
      </w:r>
      <w:bookmarkEnd w:id="23"/>
    </w:p>
    <w:p>
      <w:pPr>
        <w:tabs>
          <w:tab w:val="left" w:pos="680"/>
        </w:tabs>
        <w:ind w:left="680" w:hanging="680"/>
      </w:pPr>
      <w:bookmarkStart w:id="24" w:name="_crgs_POL_006_19"/>
      <w:r>
        <w:rPr>
          <w:b/>
          <w:color w:val="0B4F6C"/>
        </w:rPr>
        <w:t xml:space="preserve">8.4</w:t>
        <w:tab/>
      </w:r>
      <w:r>
        <w:t xml:space="preserve">Aucune personne ne devrait pouvoir à la fois demander et approuver son propre accès privilégié, ni effectuer et dissimuler une opération critique.</w:t>
      </w:r>
      <w:bookmarkEnd w:id="24"/>
    </w:p>
    <w:p>
      <w:pPr>
        <w:pStyle w:val="Heading1"/>
      </w:pPr>
      <w:r>
        <w:t xml:space="preserve">9. Revues des accès</w:t>
      </w:r>
    </w:p>
    <w:p>
      <w:pPr>
        <w:tabs>
          <w:tab w:val="left" w:pos="680"/>
        </w:tabs>
        <w:ind w:left="680" w:hanging="680"/>
      </w:pPr>
      <w:bookmarkStart w:id="25" w:name="_crgs_POL_006_20"/>
      <w:r>
        <w:rPr>
          <w:b/>
          <w:color w:val="0B4F6C"/>
        </w:rPr>
        <w:t xml:space="preserve">9.1</w:t>
        <w:tab/>
      </w:r>
      <w:r>
        <w:t xml:space="preserve">Les responsables doivent revoir et recertifier les accès </w:t>
      </w:r>
      <w:r>
        <w:rPr>
          <w:b/>
          <w:highlight w:val="yellow"/>
        </w:rPr>
        <w:t xml:space="preserve">[DÉCISION : fréquence des revues d’accès]</w:t>
      </w:r>
      <w:r>
        <w:t xml:space="preserve">; les accès qui ne sont plus justifiés doivent être retirés.</w:t>
      </w:r>
      <w:bookmarkEnd w:id="25"/>
    </w:p>
    <w:p>
      <w:pPr>
        <w:pStyle w:val="Heading1"/>
      </w:pPr>
      <w:r>
        <w:t xml:space="preserve">10. Accès des tiers</w:t>
      </w:r>
    </w:p>
    <w:p>
      <w:pPr>
        <w:tabs>
          <w:tab w:val="left" w:pos="680"/>
        </w:tabs>
        <w:ind w:left="680" w:hanging="680"/>
      </w:pPr>
      <w:bookmarkStart w:id="26" w:name="_crgs_POL_006_21"/>
      <w:r>
        <w:rPr>
          <w:b/>
          <w:color w:val="0B4F6C"/>
        </w:rPr>
        <w:t xml:space="preserve">10.1</w:t>
        <w:tab/>
      </w:r>
      <w:r>
        <w:t xml:space="preserve">L’accès des fournisseurs et contractuels doit être parrainé par un gestionnaire nommé de Northstar, limité à l’objet et à la durée du contrat et retiré à la fin de l’engagement.</w:t>
      </w:r>
      <w:bookmarkEnd w:id="26"/>
    </w:p>
    <w:p>
      <w:pPr>
        <w:pStyle w:val="Heading1"/>
      </w:pPr>
      <w:r>
        <w:t xml:space="preserve">11. Dérogations</w:t>
      </w:r>
    </w:p>
    <w:p>
      <w:pPr>
        <w:tabs>
          <w:tab w:val="left" w:pos="680"/>
        </w:tabs>
        <w:ind w:left="680" w:hanging="680"/>
      </w:pPr>
      <w:bookmarkStart w:id="27" w:name="_crgs_POL_006_22"/>
      <w:r>
        <w:rPr>
          <w:b/>
          <w:color w:val="0B4F6C"/>
        </w:rPr>
        <w:t xml:space="preserve">11.1</w:t>
        <w:tab/>
      </w:r>
      <w:r>
        <w:t xml:space="preserve">Tout écart à la présente politique exige une dérogation approuvée au préalable selon le processus de dérogation prévu à la Politique de sécurité de l’information de l’entreprise. La dérogation précise l’exigence non respectée, la raison, sa durée, les mesures compensatoires et le risque résiduel.</w:t>
      </w:r>
      <w:bookmarkEnd w:id="27"/>
    </w:p>
    <w:p>
      <w:pPr>
        <w:tabs>
          <w:tab w:val="left" w:pos="680"/>
        </w:tabs>
        <w:ind w:left="680" w:hanging="680"/>
      </w:pPr>
      <w:bookmarkStart w:id="28" w:name="_crgs_POL_006_23"/>
      <w:r>
        <w:rPr>
          <w:b/>
          <w:color w:val="0B4F6C"/>
        </w:rPr>
        <w:t xml:space="preserve">11.2</w:t>
        <w:tab/>
      </w:r>
      <w:r>
        <w:t xml:space="preserve">Une dérogation ne peut écarter une obligation légale, réglementaire ou contractuelle.</w:t>
      </w:r>
      <w:bookmarkEnd w:id="28"/>
    </w:p>
    <w:p>
      <w:pPr>
        <w:pStyle w:val="Heading1"/>
      </w:pPr>
      <w:r>
        <w:t xml:space="preserve">12. Suivi de la conformité et non-conformité</w:t>
      </w:r>
    </w:p>
    <w:p>
      <w:bookmarkStart w:id="29" w:name="_crgt_C10_1"/>
      <w:r>
        <w:t xml:space="preserve">L’existence de la présente politique ne prouve pas que ses exigences sont respectées; la conformité se démontre par des preuves que les mesures fonctionnent efficacement.</w:t>
      </w:r>
      <w:bookmarkEnd w:id="29"/>
    </w:p>
    <w:p>
      <w:pPr>
        <w:tabs>
          <w:tab w:val="left" w:pos="680"/>
        </w:tabs>
        <w:ind w:left="680" w:hanging="680"/>
      </w:pPr>
      <w:bookmarkStart w:id="30" w:name="_crgs_POL_006_24"/>
      <w:r>
        <w:rPr>
          <w:b/>
          <w:color w:val="0B4F6C"/>
        </w:rPr>
        <w:t xml:space="preserve">12.1</w:t>
        <w:tab/>
      </w:r>
      <w:r>
        <w:t xml:space="preserve">Le gestionnaire des TI assure le suivi de l’application de la présente politique et signale les non-conformités importantes et les tendances à </w:t>
      </w:r>
      <w:r>
        <w:rPr>
          <w:b/>
          <w:highlight w:val="yellow"/>
        </w:rPr>
        <w:t xml:space="preserve">[DÉCISION : comité ou instance de gouvernance de la sécurité]</w:t>
      </w:r>
      <w:r>
        <w:t xml:space="preserve">.</w:t>
      </w:r>
      <w:bookmarkEnd w:id="30"/>
    </w:p>
    <w:p>
      <w:pPr>
        <w:tabs>
          <w:tab w:val="left" w:pos="680"/>
        </w:tabs>
        <w:ind w:left="680" w:hanging="680"/>
      </w:pPr>
      <w:bookmarkStart w:id="31" w:name="_crgs_POL_006_25"/>
      <w:r>
        <w:rPr>
          <w:b/>
          <w:color w:val="0B4F6C"/>
        </w:rPr>
        <w:t xml:space="preserve">12.2</w:t>
        <w:tab/>
      </w:r>
      <w:r>
        <w:t xml:space="preserve">Le non-respect peut entraîner le retrait des accès et des mesures administratives ou disciplinaires proportionnées à sa gravité, conformément aux règles d’emploi et aux contrats applicables.</w:t>
      </w:r>
      <w:bookmarkEnd w:id="31"/>
    </w:p>
    <w:p>
      <w:pPr>
        <w:pStyle w:val="Heading1"/>
      </w:pPr>
      <w:r>
        <w:t xml:space="preserve">13. Révision</w:t>
      </w:r>
    </w:p>
    <w:p>
      <w:pPr>
        <w:tabs>
          <w:tab w:val="left" w:pos="680"/>
        </w:tabs>
        <w:ind w:left="680" w:hanging="680"/>
      </w:pPr>
      <w:bookmarkStart w:id="32" w:name="_crgs_POL_006_26"/>
      <w:r>
        <w:rPr>
          <w:b/>
          <w:color w:val="0B4F6C"/>
        </w:rPr>
        <w:t xml:space="preserve">13.1</w:t>
        <w:tab/>
      </w:r>
      <w:r>
        <w:t xml:space="preserve">La présente politique est révisée </w:t>
      </w:r>
      <w:r>
        <w:rPr>
          <w:b/>
          <w:highlight w:val="yellow"/>
        </w:rPr>
        <w:t xml:space="preserve">[DÉCISION : cycle de révision des politiques]</w:t>
      </w:r>
      <w:r>
        <w:t xml:space="preserve"> et lors de tout changement important, notamment une nouvelle exigence légale, un incident majeur, un changement technologique ou organisationnel important ou une nouvelle utilisation de l’intelligence artificielle.</w:t>
      </w:r>
      <w:bookmarkEnd w:id="32"/>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6.1 (POL-006.8)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rôle(s) qui approuvent les demandes d’accès</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6.4 (POL-006.11)</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délai de désactivation des accès après un départ</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6.5 (POL-006.12)</w:t>
            </w:r>
          </w:p>
        </w:tc>
        <w:tc>
          <w:tcPr>
            <w:tcW w:w="1474" w:type="dxa"/>
          </w:tcPr>
          <w:p>
            <w:pPr>
              <w:spacing w:after="0"/>
            </w:pPr>
            <w:r>
              <w:rPr>
                <w:sz w:val="17"/>
                <w:szCs w:val="17"/>
              </w:rPr>
              <w:t xml:space="preserve">VALEUR</w:t>
            </w:r>
          </w:p>
        </w:tc>
        <w:tc>
          <w:tcPr>
            <w:tcW w:w="5329" w:type="dxa"/>
          </w:tcPr>
          <w:p>
            <w:pPr>
              <w:spacing w:after="0"/>
            </w:pPr>
            <w:r>
              <w:rPr>
                <w:sz w:val="17"/>
                <w:szCs w:val="17"/>
              </w:rPr>
              <w:t xml:space="preserve">nombre de jours d’inactivité</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7.1 (POL-006.13)</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portée de l’authentification multifacteur obligatoire</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9.1 (POL-006.20)</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fréquence des revues d’accès</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12.1 (POL-006.24)</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13.1 (POL-006.26)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4.1 · POL-006.1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POL-006.2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POL-006.3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POL-006.4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4.5 · POL-006.5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POL-006.6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POL-006.7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ISO22:5.16, 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POL-006.8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ISO22:5.15, ISO22:5.18,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POL-006.9</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POL-006.10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POL-006.11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ISO22:5.18, ISO22:6.5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POL-006.12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POL-006.13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ISO22:8.5,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POL-006.14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POL-006.15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POL-006.16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POL-006.17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ISO22:8.2,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POL-006.18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8.4 · POL-006.19</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POL-006.20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ISO22:5.18,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POL-006.21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POL-006.22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11.2 · POL-006.23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POL-006.24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12.2 · POL-006.25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POL-006.26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NOR-POL-IAM-001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gestion des identités et des accès</dc:title>
  <dc:subject>NOR-POL-IAM-001</dc:subject>
  <dc:creator>CyberRiskGuardian</dc:creator>
  <cp:keywords>isp=POL-006; writer=IAM;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crg-isp|sample|POL-006|v0.1|fr|draft|61c59f915c7371da</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