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Information Classification and Handling Policy</w:t>
      </w:r>
    </w:p>
    <w:p>
      <w:r>
        <w:rPr>
          <w:color w:val="5F6B76"/>
          <w:sz w:val="22"/>
          <w:szCs w:val="22"/>
        </w:rPr>
        <w:t xml:space="preserve">Northstar Digital Services (fictional)  ·  NOR-POL-ICH-001  ·  Policy</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DRAFT — NOT APPROVED</w:t>
            </w:r>
          </w:p>
        </w:tc>
      </w:tr>
    </w:tbl>
    <w:p>
      <w:r/>
    </w:p>
    <w:p>
      <w:pPr>
        <w:pStyle w:val="Heading2"/>
      </w:pPr>
      <w:r>
        <w:t xml:space="preserve">Document control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Document number</w:t>
            </w:r>
          </w:p>
        </w:tc>
        <w:tc>
          <w:tcPr>
            <w:tcW w:w="6520" w:type="dxa"/>
          </w:tcPr>
          <w:p>
            <w:pPr>
              <w:spacing w:after="0"/>
            </w:pPr>
            <w:r>
              <w:rPr>
                <w:sz w:val="18"/>
                <w:szCs w:val="18"/>
              </w:rPr>
              <w:t xml:space="preserve">NOR-POL-ICH-001</w:t>
            </w:r>
          </w:p>
        </w:tc>
      </w:tr>
      <w:tr>
        <w:trPr>
          <w:cantSplit/>
        </w:trPr>
        <w:tc>
          <w:tcPr>
            <w:tcW w:w="2835" w:type="dxa"/>
            <w:shd w:val="clear" w:color="auto" w:fill="E8EEF2"/>
          </w:tcPr>
          <w:p>
            <w:pPr>
              <w:spacing w:after="0"/>
            </w:pPr>
            <w:r>
              <w:rPr>
                <w:b/>
                <w:sz w:val="18"/>
                <w:szCs w:val="18"/>
              </w:rPr>
              <w:t xml:space="preserve">ISP record</w:t>
            </w:r>
          </w:p>
        </w:tc>
        <w:tc>
          <w:tcPr>
            <w:tcW w:w="6520" w:type="dxa"/>
          </w:tcPr>
          <w:p>
            <w:pPr>
              <w:spacing w:after="0"/>
            </w:pPr>
            <w:r>
              <w:rPr>
                <w:sz w:val="18"/>
                <w:szCs w:val="18"/>
              </w:rPr>
              <w:t xml:space="preserve">POL-007</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Status</w:t>
            </w:r>
          </w:p>
        </w:tc>
        <w:tc>
          <w:tcPr>
            <w:tcW w:w="6520" w:type="dxa"/>
          </w:tcPr>
          <w:p>
            <w:pPr>
              <w:spacing w:after="0"/>
            </w:pPr>
            <w:r>
              <w:rPr>
                <w:sz w:val="18"/>
                <w:szCs w:val="18"/>
              </w:rPr>
              <w:t xml:space="preserve">Draft — not approved; not in force</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Internal</w:t>
            </w:r>
          </w:p>
        </w:tc>
      </w:tr>
      <w:tr>
        <w:trPr>
          <w:cantSplit/>
        </w:trPr>
        <w:tc>
          <w:tcPr>
            <w:tcW w:w="2835" w:type="dxa"/>
            <w:shd w:val="clear" w:color="auto" w:fill="E8EEF2"/>
          </w:tcPr>
          <w:p>
            <w:pPr>
              <w:spacing w:after="0"/>
            </w:pPr>
            <w:r>
              <w:rPr>
                <w:b/>
                <w:sz w:val="18"/>
                <w:szCs w:val="18"/>
              </w:rPr>
              <w:t xml:space="preserve">Policy owner</w:t>
            </w:r>
          </w:p>
        </w:tc>
        <w:tc>
          <w:tcPr>
            <w:tcW w:w="6520" w:type="dxa"/>
          </w:tcPr>
          <w:p>
            <w:pPr>
              <w:spacing w:after="0"/>
            </w:pPr>
            <w:r>
              <w:rPr>
                <w:sz w:val="18"/>
                <w:szCs w:val="18"/>
              </w:rPr>
              <w:t xml:space="preserve">The IT Manager</w:t>
            </w:r>
          </w:p>
        </w:tc>
      </w:tr>
      <w:tr>
        <w:trPr>
          <w:cantSplit/>
        </w:trPr>
        <w:tc>
          <w:tcPr>
            <w:tcW w:w="2835" w:type="dxa"/>
            <w:shd w:val="clear" w:color="auto" w:fill="E8EEF2"/>
          </w:tcPr>
          <w:p>
            <w:pPr>
              <w:spacing w:after="0"/>
            </w:pPr>
            <w:r>
              <w:rPr>
                <w:b/>
                <w:sz w:val="18"/>
                <w:szCs w:val="18"/>
              </w:rPr>
              <w:t xml:space="preserve">Approval authority</w:t>
            </w:r>
          </w:p>
        </w:tc>
        <w:tc>
          <w:tcPr>
            <w:tcW w:w="6520" w:type="dxa"/>
          </w:tcPr>
          <w:p>
            <w:pPr>
              <w:spacing w:after="0"/>
            </w:pPr>
            <w:r>
              <w:rPr>
                <w:b/>
                <w:sz w:val="18"/>
                <w:szCs w:val="18"/>
                <w:highlight w:val="yellow"/>
              </w:rPr>
              <w:t xml:space="preserve">[APPROVER: approval authority]</w:t>
            </w:r>
          </w:p>
        </w:tc>
      </w:tr>
      <w:tr>
        <w:trPr>
          <w:cantSplit/>
        </w:trPr>
        <w:tc>
          <w:tcPr>
            <w:tcW w:w="2835" w:type="dxa"/>
            <w:shd w:val="clear" w:color="auto" w:fill="E8EEF2"/>
          </w:tcPr>
          <w:p>
            <w:pPr>
              <w:spacing w:after="0"/>
            </w:pPr>
            <w:r>
              <w:rPr>
                <w:b/>
                <w:sz w:val="18"/>
                <w:szCs w:val="18"/>
              </w:rPr>
              <w:t xml:space="preserve">Review cycle</w:t>
            </w:r>
          </w:p>
        </w:tc>
        <w:tc>
          <w:tcPr>
            <w:tcW w:w="6520" w:type="dxa"/>
          </w:tcPr>
          <w:p>
            <w:pPr>
              <w:spacing w:after="0"/>
            </w:pPr>
            <w:r>
              <w:rPr>
                <w:sz w:val="18"/>
                <w:szCs w:val="18"/>
              </w:rPr>
              <w:t xml:space="preserve">12 months</w:t>
            </w:r>
          </w:p>
        </w:tc>
      </w:tr>
      <w:tr>
        <w:trPr>
          <w:cantSplit/>
        </w:trPr>
        <w:tc>
          <w:tcPr>
            <w:tcW w:w="2835" w:type="dxa"/>
            <w:shd w:val="clear" w:color="auto" w:fill="E8EEF2"/>
          </w:tcPr>
          <w:p>
            <w:pPr>
              <w:spacing w:after="0"/>
            </w:pPr>
            <w:r>
              <w:rPr>
                <w:b/>
                <w:sz w:val="18"/>
                <w:szCs w:val="18"/>
              </w:rPr>
              <w:t xml:space="preserve">Effective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Next review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Language</w:t>
            </w:r>
          </w:p>
        </w:tc>
        <w:tc>
          <w:tcPr>
            <w:tcW w:w="6520" w:type="dxa"/>
          </w:tcPr>
          <w:p>
            <w:pPr>
              <w:spacing w:after="0"/>
            </w:pPr>
            <w:r>
              <w:rPr>
                <w:sz w:val="18"/>
                <w:szCs w:val="18"/>
              </w:rPr>
              <w:t xml:space="preserve">English</w:t>
            </w:r>
          </w:p>
        </w:tc>
      </w:tr>
      <w:tr>
        <w:trPr>
          <w:cantSplit/>
        </w:trPr>
        <w:tc>
          <w:tcPr>
            <w:tcW w:w="2835" w:type="dxa"/>
            <w:shd w:val="clear" w:color="auto" w:fill="E8EEF2"/>
          </w:tcPr>
          <w:p>
            <w:pPr>
              <w:spacing w:after="0"/>
            </w:pPr>
            <w:r>
              <w:rPr>
                <w:b/>
                <w:sz w:val="18"/>
                <w:szCs w:val="18"/>
              </w:rPr>
              <w:t xml:space="preserve">Produced with</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Exported on</w:t>
            </w:r>
          </w:p>
        </w:tc>
        <w:tc>
          <w:tcPr>
            <w:tcW w:w="6520" w:type="dxa"/>
          </w:tcPr>
          <w:p>
            <w:pPr>
              <w:spacing w:after="0"/>
            </w:pPr>
            <w:r>
              <w:rPr>
                <w:sz w:val="18"/>
                <w:szCs w:val="18"/>
              </w:rPr>
              <w:t xml:space="preserve">2026-10-19</w:t>
            </w:r>
          </w:p>
        </w:tc>
      </w:tr>
    </w:tbl>
    <w:p>
      <w:pPr>
        <w:spacing w:after="40"/>
      </w:pPr>
      <w:r/>
    </w:p>
    <w:p>
      <w:pPr>
        <w:pStyle w:val="Heading2"/>
      </w:pPr>
      <w:r>
        <w:t xml:space="preserve">Approval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Role</w:t>
            </w:r>
          </w:p>
        </w:tc>
        <w:tc>
          <w:tcPr>
            <w:tcW w:w="3175" w:type="dxa"/>
            <w:shd w:val="clear" w:color="auto" w:fill="0B4F6C"/>
          </w:tcPr>
          <w:p>
            <w:pPr>
              <w:spacing w:after="0"/>
            </w:pPr>
            <w:r>
              <w:rPr>
                <w:b/>
                <w:color w:val="FFFFFF"/>
                <w:sz w:val="18"/>
                <w:szCs w:val="18"/>
              </w:rPr>
              <w:t xml:space="preserve">Name</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Approval authority</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Policy owner</w:t>
            </w:r>
          </w:p>
        </w:tc>
        <w:tc>
          <w:tcPr>
            <w:tcW w:w="3175" w:type="dxa"/>
          </w:tcPr>
          <w:p>
            <w:pPr>
              <w:spacing w:after="0"/>
            </w:pPr>
            <w:r>
              <w:rPr>
                <w:sz w:val="18"/>
                <w:szCs w:val="18"/>
              </w:rPr>
              <w:t xml:space="preserve">The IT Manager</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Draft produced with decision-support software (CyberRiskGuardian Security Policy Writer). It is not legal advice and is not in force until approved and published in ISP management by the authorized persons. Control references indicate the topics addressed; a mapping, a statement or an acknowledgement is never evidence of compliance.</w:t>
      </w:r>
    </w:p>
    <w:p>
      <w:r>
        <w:br w:type="page"/>
      </w:r>
    </w:p>
    <w:p>
      <w:pPr>
        <w:pStyle w:val="Heading2"/>
      </w:pPr>
      <w:r>
        <w:t xml:space="preserve">Contents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Right-click and choose “Update Field” (or press F9) to build the table of contents.</w:t>
      </w:r>
      <w:r>
        <w:rPr>
          <w:i/>
          <w:color w:val="5F6B76"/>
        </w:rPr>
        <w:fldChar w:fldCharType="end"/>
      </w:r>
    </w:p>
    <w:p>
      <w:r/>
    </w:p>
    <w:p>
      <w:pPr>
        <w:pStyle w:val="Heading1"/>
      </w:pPr>
      <w:r>
        <w:t xml:space="preserve">1. Purpose</w:t>
      </w:r>
    </w:p>
    <w:p>
      <w:bookmarkStart w:id="1" w:name="_crgt_purpose_1"/>
      <w:r>
        <w:t xml:space="preserve">This policy establishes the single information classification scheme of Northstar and the minimum handling rules for each level, so that information is protected according to its sensitivity and value.</w:t>
      </w:r>
      <w:bookmarkEnd w:id="1"/>
    </w:p>
    <w:p>
      <w:pPr>
        <w:pStyle w:val="Heading1"/>
      </w:pPr>
      <w:r>
        <w:t xml:space="preserve">2. Scope</w:t>
      </w:r>
    </w:p>
    <w:p>
      <w:bookmarkStart w:id="2" w:name="_crgt_scope_1"/>
      <w:r>
        <w:t xml:space="preserve">This policy applies to all employees, contractors, consultants, temporary staff and other persons who access Northstar’s information or information systems, wherever they work.</w:t>
      </w:r>
      <w:bookmarkEnd w:id="2"/>
    </w:p>
    <w:p>
      <w:bookmarkStart w:id="3" w:name="_crgt_scope_2"/>
      <w:r>
        <w:t xml:space="preserve">It covers information in all forms and all systems owned, leased, operated or used on behalf of Northstar, including cloud services and systems operated by suppliers.</w:t>
      </w:r>
      <w:bookmarkEnd w:id="3"/>
    </w:p>
    <w:p>
      <w:pPr>
        <w:pStyle w:val="Heading1"/>
      </w:pPr>
      <w:r>
        <w:t xml:space="preserve">3. Authority and related documents</w:t>
      </w:r>
    </w:p>
    <w:p>
      <w:bookmarkStart w:id="4" w:name="_crgt_C1_1"/>
      <w:r>
        <w:t xml:space="preserve">This policy is issued under the Enterprise Information Security Policy, which prevails in case of inconsistency. Detailed parameters may be set in standards and procedures approved under this policy.</w:t>
      </w:r>
      <w:bookmarkEnd w:id="4"/>
    </w:p>
    <w:p>
      <w:pPr>
        <w:pStyle w:val="Heading1"/>
      </w:pPr>
      <w:r>
        <w:t xml:space="preserve">4. Roles and responsibilities</w:t>
      </w:r>
    </w:p>
    <w:p>
      <w:pPr>
        <w:tabs>
          <w:tab w:val="left" w:pos="680"/>
        </w:tabs>
        <w:ind w:left="680" w:hanging="680"/>
      </w:pPr>
      <w:bookmarkStart w:id="5" w:name="_crgs_POL_007_1"/>
      <w:r>
        <w:rPr>
          <w:b/>
          <w:color w:val="0B4F6C"/>
        </w:rPr>
        <w:t xml:space="preserve">4.1</w:t>
        <w:tab/>
      </w:r>
      <w:r>
        <w:t xml:space="preserve">Information owners classify their information, review the classification when its context changes, and approve sharing outside the authorized audience.</w:t>
      </w:r>
      <w:bookmarkEnd w:id="5"/>
    </w:p>
    <w:p>
      <w:pPr>
        <w:tabs>
          <w:tab w:val="left" w:pos="680"/>
        </w:tabs>
        <w:ind w:left="680" w:hanging="680"/>
      </w:pPr>
      <w:bookmarkStart w:id="6" w:name="_crgs_POL_007_2"/>
      <w:r>
        <w:rPr>
          <w:b/>
          <w:color w:val="0B4F6C"/>
        </w:rPr>
        <w:t xml:space="preserve">4.2</w:t>
        <w:tab/>
      </w:r>
      <w:r>
        <w:t xml:space="preserve">Custodians apply the safeguards required for each level.</w:t>
      </w:r>
      <w:bookmarkEnd w:id="6"/>
    </w:p>
    <w:p>
      <w:pPr>
        <w:tabs>
          <w:tab w:val="left" w:pos="680"/>
        </w:tabs>
        <w:ind w:left="680" w:hanging="680"/>
      </w:pPr>
      <w:bookmarkStart w:id="7" w:name="_crgs_POL_007_3"/>
      <w:r>
        <w:rPr>
          <w:b/>
          <w:color w:val="0B4F6C"/>
        </w:rPr>
        <w:t xml:space="preserve">4.3</w:t>
        <w:tab/>
      </w:r>
      <w:r>
        <w:t xml:space="preserve">Users handle information according to its classification.</w:t>
      </w:r>
      <w:bookmarkEnd w:id="7"/>
    </w:p>
    <w:p>
      <w:pPr>
        <w:tabs>
          <w:tab w:val="left" w:pos="680"/>
        </w:tabs>
        <w:ind w:left="680" w:hanging="680"/>
      </w:pPr>
      <w:bookmarkStart w:id="8" w:name="_crgs_POL_007_4"/>
      <w:r>
        <w:rPr>
          <w:b/>
          <w:color w:val="0B4F6C"/>
        </w:rPr>
        <w:t xml:space="preserve">4.4</w:t>
        <w:tab/>
      </w:r>
      <w:r>
        <w:t xml:space="preserve">The IT Manager maintains the handling standard and advises owners.</w:t>
      </w:r>
      <w:bookmarkEnd w:id="8"/>
    </w:p>
    <w:p>
      <w:pPr>
        <w:pStyle w:val="Heading1"/>
      </w:pPr>
      <w:r>
        <w:t xml:space="preserve">5. Classification scheme</w:t>
      </w:r>
    </w:p>
    <w:p>
      <w:bookmarkStart w:id="9" w:name="_crgt_C3_1"/>
      <w:r>
        <w:t xml:space="preserve">Level definitions</w:t>
      </w:r>
      <w:bookmarkEnd w:id="9"/>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551"/>
        <w:gridCol w:w="6804"/>
      </w:tblGrid>
      <w:tr>
        <w:trPr>
          <w:tblHeader/>
          <w:cantSplit/>
        </w:trPr>
        <w:tc>
          <w:tcPr>
            <w:tcW w:w="2551" w:type="dxa"/>
            <w:shd w:val="clear" w:color="auto" w:fill="0B4F6C"/>
          </w:tcPr>
          <w:p>
            <w:pPr>
              <w:spacing w:after="0"/>
            </w:pPr>
            <w:r>
              <w:rPr>
                <w:b/>
                <w:color w:val="FFFFFF"/>
                <w:sz w:val="18"/>
                <w:szCs w:val="18"/>
              </w:rPr>
              <w:t xml:space="preserve">Level</w:t>
            </w:r>
          </w:p>
        </w:tc>
        <w:tc>
          <w:tcPr>
            <w:tcW w:w="6804" w:type="dxa"/>
            <w:shd w:val="clear" w:color="auto" w:fill="0B4F6C"/>
          </w:tcPr>
          <w:p>
            <w:pPr>
              <w:spacing w:after="0"/>
            </w:pPr>
            <w:r>
              <w:rPr>
                <w:b/>
                <w:color w:val="FFFFFF"/>
                <w:sz w:val="18"/>
                <w:szCs w:val="18"/>
              </w:rPr>
              <w:t xml:space="preserve">Definition</w:t>
            </w:r>
          </w:p>
        </w:tc>
      </w:tr>
      <w:tr>
        <w:trPr>
          <w:cantSplit/>
        </w:trPr>
        <w:tc>
          <w:tcPr>
            <w:tcW w:w="2551" w:type="dxa"/>
          </w:tcPr>
          <w:p>
            <w:pPr>
              <w:spacing w:after="0"/>
            </w:pPr>
            <w:r>
              <w:rPr>
                <w:sz w:val="18"/>
                <w:szCs w:val="18"/>
              </w:rPr>
              <w:t xml:space="preserve">Public</w:t>
            </w:r>
          </w:p>
        </w:tc>
        <w:tc>
          <w:tcPr>
            <w:tcW w:w="6804" w:type="dxa"/>
          </w:tcPr>
          <w:p>
            <w:pPr>
              <w:spacing w:after="0"/>
            </w:pPr>
            <w:r>
              <w:rPr>
                <w:sz w:val="18"/>
                <w:szCs w:val="18"/>
              </w:rPr>
              <w:t xml:space="preserve">Information approved for public release; disclosure causes no harm.</w:t>
            </w:r>
          </w:p>
        </w:tc>
      </w:tr>
      <w:tr>
        <w:trPr>
          <w:cantSplit/>
        </w:trPr>
        <w:tc>
          <w:tcPr>
            <w:tcW w:w="2551" w:type="dxa"/>
          </w:tcPr>
          <w:p>
            <w:pPr>
              <w:spacing w:after="0"/>
            </w:pPr>
            <w:r>
              <w:rPr>
                <w:sz w:val="18"/>
                <w:szCs w:val="18"/>
              </w:rPr>
              <w:t xml:space="preserve">Internal</w:t>
            </w:r>
          </w:p>
        </w:tc>
        <w:tc>
          <w:tcPr>
            <w:tcW w:w="6804" w:type="dxa"/>
          </w:tcPr>
          <w:p>
            <w:pPr>
              <w:spacing w:after="0"/>
            </w:pPr>
            <w:r>
              <w:rPr>
                <w:sz w:val="18"/>
                <w:szCs w:val="18"/>
              </w:rPr>
              <w:t xml:space="preserve">Information for internal use; unauthorized disclosure would cause limited harm.</w:t>
            </w:r>
          </w:p>
        </w:tc>
      </w:tr>
      <w:tr>
        <w:trPr>
          <w:cantSplit/>
        </w:trPr>
        <w:tc>
          <w:tcPr>
            <w:tcW w:w="2551" w:type="dxa"/>
          </w:tcPr>
          <w:p>
            <w:pPr>
              <w:spacing w:after="0"/>
            </w:pPr>
            <w:r>
              <w:rPr>
                <w:sz w:val="18"/>
                <w:szCs w:val="18"/>
              </w:rPr>
              <w:t xml:space="preserve">Confidential</w:t>
            </w:r>
          </w:p>
        </w:tc>
        <w:tc>
          <w:tcPr>
            <w:tcW w:w="6804" w:type="dxa"/>
          </w:tcPr>
          <w:p>
            <w:pPr>
              <w:spacing w:after="0"/>
            </w:pPr>
            <w:r>
              <w:rPr>
                <w:sz w:val="18"/>
                <w:szCs w:val="18"/>
              </w:rPr>
              <w:t xml:space="preserve">Sensitive information, including personal information and client information; unauthorized disclosure would cause significant harm.</w:t>
            </w:r>
          </w:p>
        </w:tc>
      </w:tr>
      <w:tr>
        <w:trPr>
          <w:cantSplit/>
        </w:trPr>
        <w:tc>
          <w:tcPr>
            <w:tcW w:w="2551" w:type="dxa"/>
          </w:tcPr>
          <w:p>
            <w:pPr>
              <w:spacing w:after="0"/>
            </w:pPr>
            <w:r>
              <w:rPr>
                <w:sz w:val="18"/>
                <w:szCs w:val="18"/>
              </w:rPr>
              <w:t xml:space="preserve">Restricted</w:t>
            </w:r>
          </w:p>
        </w:tc>
        <w:tc>
          <w:tcPr>
            <w:tcW w:w="6804" w:type="dxa"/>
          </w:tcPr>
          <w:p>
            <w:pPr>
              <w:spacing w:after="0"/>
            </w:pPr>
            <w:r>
              <w:rPr>
                <w:sz w:val="18"/>
                <w:szCs w:val="18"/>
              </w:rPr>
              <w:t xml:space="preserve">Highly sensitive information whose compromise would cause severe harm (e.g., credentials and keys, health or financial data of individuals, critical trade secrets).</w:t>
            </w:r>
          </w:p>
        </w:tc>
      </w:tr>
    </w:tbl>
    <w:p>
      <w:pPr>
        <w:spacing w:after="40"/>
      </w:pPr>
      <w:r/>
    </w:p>
    <w:p>
      <w:pPr>
        <w:tabs>
          <w:tab w:val="left" w:pos="680"/>
        </w:tabs>
        <w:ind w:left="680" w:hanging="680"/>
      </w:pPr>
      <w:bookmarkStart w:id="10" w:name="_crgs_POL_007_5"/>
      <w:r>
        <w:rPr>
          <w:b/>
          <w:color w:val="0B4F6C"/>
        </w:rPr>
        <w:t xml:space="preserve">5.1</w:t>
        <w:tab/>
      </w:r>
      <w:r>
        <w:t xml:space="preserve">Northstar uses the following classification levels, from least to most sensitive: Public, Internal, Confidential and Restricted. No other scheme may be used.</w:t>
      </w:r>
      <w:bookmarkEnd w:id="10"/>
    </w:p>
    <w:p>
      <w:pPr>
        <w:tabs>
          <w:tab w:val="left" w:pos="680"/>
        </w:tabs>
        <w:ind w:left="680" w:hanging="680"/>
      </w:pPr>
      <w:bookmarkStart w:id="11" w:name="_crgs_POL_007_6"/>
      <w:r>
        <w:rPr>
          <w:b/>
          <w:color w:val="0B4F6C"/>
        </w:rPr>
        <w:t xml:space="preserve">5.2</w:t>
        <w:tab/>
      </w:r>
      <w:r>
        <w:t xml:space="preserve">Information that has not been classified must be handled as </w:t>
      </w:r>
      <w:r>
        <w:rPr>
          <w:b/>
          <w:highlight w:val="yellow"/>
        </w:rPr>
        <w:t xml:space="preserve">[DECISION: default classification level]</w:t>
      </w:r>
      <w:r>
        <w:t xml:space="preserve"> until its owner classifies it.</w:t>
      </w:r>
      <w:bookmarkEnd w:id="11"/>
    </w:p>
    <w:p>
      <w:pPr>
        <w:tabs>
          <w:tab w:val="left" w:pos="680"/>
        </w:tabs>
        <w:ind w:left="680" w:hanging="680"/>
      </w:pPr>
      <w:bookmarkStart w:id="12" w:name="_crgs_POL_007_7"/>
      <w:r>
        <w:rPr>
          <w:b/>
          <w:color w:val="0B4F6C"/>
        </w:rPr>
        <w:t xml:space="preserve">5.3</w:t>
        <w:tab/>
      </w:r>
      <w:r>
        <w:t xml:space="preserve">Personal information is classified at least Confidential.</w:t>
      </w:r>
      <w:bookmarkEnd w:id="12"/>
    </w:p>
    <w:p>
      <w:pPr>
        <w:tabs>
          <w:tab w:val="left" w:pos="680"/>
        </w:tabs>
        <w:ind w:left="680" w:hanging="680"/>
      </w:pPr>
      <w:bookmarkStart w:id="13" w:name="_crgs_POL_007_8"/>
      <w:r>
        <w:rPr>
          <w:b/>
          <w:color w:val="0B4F6C"/>
        </w:rPr>
        <w:t xml:space="preserve">5.4</w:t>
        <w:tab/>
      </w:r>
      <w:r>
        <w:t xml:space="preserve">Owners consider confidentiality, integrity and availability, and the higher sensitivity that results from combining information.</w:t>
      </w:r>
      <w:bookmarkEnd w:id="13"/>
    </w:p>
    <w:p>
      <w:pPr>
        <w:pStyle w:val="Heading1"/>
      </w:pPr>
      <w:r>
        <w:t xml:space="preserve">6. Handling rules</w:t>
      </w:r>
    </w:p>
    <w:p>
      <w:pPr>
        <w:tabs>
          <w:tab w:val="left" w:pos="680"/>
        </w:tabs>
        <w:ind w:left="680" w:hanging="680"/>
      </w:pPr>
      <w:bookmarkStart w:id="14" w:name="_crgs_POL_007_9"/>
      <w:r>
        <w:rPr>
          <w:b/>
          <w:color w:val="0B4F6C"/>
        </w:rPr>
        <w:t xml:space="preserve">6.1</w:t>
        <w:tab/>
      </w:r>
      <w:r>
        <w:t xml:space="preserve">Information classified Confidential or above must be shared only with persons authorized by the owner and must be encrypted when stored on portable devices or removable media and when transmitted over public networks.</w:t>
      </w:r>
      <w:bookmarkEnd w:id="14"/>
    </w:p>
    <w:p>
      <w:pPr>
        <w:tabs>
          <w:tab w:val="left" w:pos="680"/>
        </w:tabs>
        <w:ind w:left="680" w:hanging="680"/>
      </w:pPr>
      <w:bookmarkStart w:id="15" w:name="_crgs_POL_007_10"/>
      <w:r>
        <w:rPr>
          <w:b/>
          <w:color w:val="0B4F6C"/>
        </w:rPr>
        <w:t xml:space="preserve">6.2</w:t>
        <w:tab/>
      </w:r>
      <w:r>
        <w:t xml:space="preserve">Information classified Restricted must be stored only in systems approved by the IT Manager for that level, access must be logged, and any external transfer must be approved in advance by the owner.</w:t>
      </w:r>
      <w:bookmarkEnd w:id="15"/>
    </w:p>
    <w:p>
      <w:pPr>
        <w:tabs>
          <w:tab w:val="left" w:pos="680"/>
        </w:tabs>
        <w:ind w:left="680" w:hanging="680"/>
      </w:pPr>
      <w:bookmarkStart w:id="16" w:name="_crgs_POL_007_11"/>
      <w:r>
        <w:rPr>
          <w:b/>
          <w:color w:val="0B4F6C"/>
        </w:rPr>
        <w:t xml:space="preserve">6.3</w:t>
        <w:tab/>
      </w:r>
      <w:r>
        <w:t xml:space="preserve">Documents and messages classified Confidential or above should carry a visible label.</w:t>
      </w:r>
      <w:bookmarkEnd w:id="16"/>
    </w:p>
    <w:p>
      <w:pPr>
        <w:tabs>
          <w:tab w:val="left" w:pos="680"/>
        </w:tabs>
        <w:ind w:left="680" w:hanging="680"/>
      </w:pPr>
      <w:bookmarkStart w:id="17" w:name="_crgs_POL_007_12"/>
      <w:r>
        <w:rPr>
          <w:b/>
          <w:color w:val="0B4F6C"/>
        </w:rPr>
        <w:t xml:space="preserve">6.4</w:t>
        <w:tab/>
      </w:r>
      <w:r>
        <w:t xml:space="preserve">Information and media must be disposed of by secure methods appropriate to their classification; paper classified Confidential or above must be shredded and storage media sanitized or destroyed.</w:t>
      </w:r>
      <w:bookmarkEnd w:id="17"/>
    </w:p>
    <w:p>
      <w:pPr>
        <w:tabs>
          <w:tab w:val="left" w:pos="680"/>
        </w:tabs>
        <w:ind w:left="680" w:hanging="680"/>
      </w:pPr>
      <w:bookmarkStart w:id="18" w:name="_crgs_POL_007_13"/>
      <w:r>
        <w:rPr>
          <w:b/>
          <w:color w:val="0B4F6C"/>
        </w:rPr>
        <w:t xml:space="preserve">6.5</w:t>
        <w:tab/>
      </w:r>
      <w:r>
        <w:rPr>
          <w:b/>
          <w:highlight w:val="yellow"/>
        </w:rPr>
        <w:t xml:space="preserve">[DECISION: Establish a records retention schedule.]</w:t>
      </w:r>
      <w:r>
        <w:t xml:space="preserve"> Until it is approved, information must not be destroyed when it may be needed for legal, contractual or investigative purposes.</w:t>
      </w:r>
      <w:bookmarkEnd w:id="18"/>
    </w:p>
    <w:p>
      <w:pPr>
        <w:pStyle w:val="Heading1"/>
      </w:pPr>
      <w:r>
        <w:t xml:space="preserve">7. Exceptions</w:t>
      </w:r>
    </w:p>
    <w:p>
      <w:pPr>
        <w:tabs>
          <w:tab w:val="left" w:pos="680"/>
        </w:tabs>
        <w:ind w:left="680" w:hanging="680"/>
      </w:pPr>
      <w:bookmarkStart w:id="19" w:name="_crgs_POL_007_14"/>
      <w:r>
        <w:rPr>
          <w:b/>
          <w:color w:val="0B4F6C"/>
        </w:rPr>
        <w:t xml:space="preserve">7.1</w:t>
        <w:tab/>
      </w:r>
      <w:r>
        <w:t xml:space="preserve">Any departure from this policy requires an exception approved in advance through the exception process set out in the Enterprise Information Security Policy. An exception states the requirement not met, the reason, its duration, the compensating controls and the residual risk.</w:t>
      </w:r>
      <w:bookmarkEnd w:id="19"/>
    </w:p>
    <w:p>
      <w:pPr>
        <w:tabs>
          <w:tab w:val="left" w:pos="680"/>
        </w:tabs>
        <w:ind w:left="680" w:hanging="680"/>
      </w:pPr>
      <w:bookmarkStart w:id="20" w:name="_crgs_POL_007_15"/>
      <w:r>
        <w:rPr>
          <w:b/>
          <w:color w:val="0B4F6C"/>
        </w:rPr>
        <w:t xml:space="preserve">7.2</w:t>
        <w:tab/>
      </w:r>
      <w:r>
        <w:t xml:space="preserve">An exception cannot set aside a legal, regulatory or contractual obligation.</w:t>
      </w:r>
      <w:bookmarkEnd w:id="20"/>
    </w:p>
    <w:p>
      <w:pPr>
        <w:pStyle w:val="Heading1"/>
      </w:pPr>
      <w:r>
        <w:t xml:space="preserve">8. Compliance monitoring and non-conformance</w:t>
      </w:r>
    </w:p>
    <w:p>
      <w:bookmarkStart w:id="21" w:name="_crgt_C6_1"/>
      <w:r>
        <w:t xml:space="preserve">Having this policy is not evidence that its requirements are met; compliance is demonstrated by evidence that controls operate effectively.</w:t>
      </w:r>
      <w:bookmarkEnd w:id="21"/>
    </w:p>
    <w:p>
      <w:pPr>
        <w:tabs>
          <w:tab w:val="left" w:pos="680"/>
        </w:tabs>
        <w:ind w:left="680" w:hanging="680"/>
      </w:pPr>
      <w:bookmarkStart w:id="22" w:name="_crgs_POL_007_16"/>
      <w:r>
        <w:rPr>
          <w:b/>
          <w:color w:val="0B4F6C"/>
        </w:rPr>
        <w:t xml:space="preserve">8.1</w:t>
        <w:tab/>
      </w:r>
      <w:r>
        <w:t xml:space="preserve">The IT Manager monitors the application of this policy and reports significant non-conformities and trends to </w:t>
      </w:r>
      <w:r>
        <w:rPr>
          <w:b/>
          <w:highlight w:val="yellow"/>
        </w:rPr>
        <w:t xml:space="preserve">[DECISION: security governance committee or body]</w:t>
      </w:r>
      <w:r>
        <w:t xml:space="preserve">.</w:t>
      </w:r>
      <w:bookmarkEnd w:id="22"/>
    </w:p>
    <w:p>
      <w:pPr>
        <w:tabs>
          <w:tab w:val="left" w:pos="680"/>
        </w:tabs>
        <w:ind w:left="680" w:hanging="680"/>
      </w:pPr>
      <w:bookmarkStart w:id="23" w:name="_crgs_POL_007_17"/>
      <w:r>
        <w:rPr>
          <w:b/>
          <w:color w:val="0B4F6C"/>
        </w:rPr>
        <w:t xml:space="preserve">8.2</w:t>
        <w:tab/>
      </w:r>
      <w:r>
        <w:t xml:space="preserve">Non-compliance may lead to the withdrawal of access and to administrative or disciplinary measures proportionate to its seriousness, in accordance with applicable employment rules and contracts.</w:t>
      </w:r>
      <w:bookmarkEnd w:id="23"/>
    </w:p>
    <w:p>
      <w:pPr>
        <w:pStyle w:val="Heading1"/>
      </w:pPr>
      <w:r>
        <w:t xml:space="preserve">9. Review</w:t>
      </w:r>
    </w:p>
    <w:p>
      <w:pPr>
        <w:tabs>
          <w:tab w:val="left" w:pos="680"/>
        </w:tabs>
        <w:ind w:left="680" w:hanging="680"/>
      </w:pPr>
      <w:bookmarkStart w:id="24" w:name="_crgs_POL_007_18"/>
      <w:r>
        <w:rPr>
          <w:b/>
          <w:color w:val="0B4F6C"/>
        </w:rPr>
        <w:t xml:space="preserve">9.1</w:t>
        <w:tab/>
      </w:r>
      <w:r>
        <w:t xml:space="preserve">This policy is reviewed </w:t>
      </w:r>
      <w:r>
        <w:rPr>
          <w:b/>
          <w:highlight w:val="yellow"/>
        </w:rPr>
        <w:t xml:space="preserve">[DECISION: policy review cycle]</w:t>
      </w:r>
      <w:r>
        <w:t xml:space="preserve"> and whenever a significant change occurs, such as a new legal requirement, a major incident, a significant technology or organizational change, or a new use of artificial intelligence.</w:t>
      </w:r>
      <w:bookmarkEnd w:id="24"/>
    </w:p>
    <w:p>
      <w:r>
        <w:br w:type="page"/>
      </w:r>
    </w:p>
    <w:p>
      <w:pPr>
        <w:pStyle w:val="Heading1"/>
      </w:pPr>
      <w:r>
        <w:t xml:space="preserve">Appendix A — Open decisions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Where</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Decision or information needed</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5.2 (POL-007.6)</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default classification level</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6.5 (POL-007.13)</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Establish a records retention schedule.</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8.1 (POL-007.16)</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security governance committee or body</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9.1 (POL-007.18)</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policy review cycle</w:t>
            </w:r>
          </w:p>
        </w:tc>
      </w:tr>
    </w:tbl>
    <w:p>
      <w:pPr>
        <w:spacing w:after="40"/>
      </w:pPr>
      <w:r/>
    </w:p>
    <w:p>
      <w:pPr>
        <w:pStyle w:val="Heading1"/>
      </w:pPr>
      <w:r>
        <w:t xml:space="preserve">Appendix B — Statements and traceability</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Statement</w:t>
            </w:r>
          </w:p>
        </w:tc>
        <w:tc>
          <w:tcPr>
            <w:tcW w:w="1077" w:type="dxa"/>
            <w:shd w:val="clear" w:color="auto" w:fill="0B4F6C"/>
          </w:tcPr>
          <w:p>
            <w:pPr>
              <w:spacing w:after="0"/>
            </w:pPr>
            <w:r>
              <w:rPr>
                <w:b/>
                <w:color w:val="FFFFFF"/>
                <w:sz w:val="16"/>
                <w:szCs w:val="16"/>
              </w:rPr>
              <w:t xml:space="preserve">Modality</w:t>
            </w:r>
          </w:p>
        </w:tc>
        <w:tc>
          <w:tcPr>
            <w:tcW w:w="2041" w:type="dxa"/>
            <w:shd w:val="clear" w:color="auto" w:fill="0B4F6C"/>
          </w:tcPr>
          <w:p>
            <w:pPr>
              <w:spacing w:after="0"/>
            </w:pPr>
            <w:r>
              <w:rPr>
                <w:b/>
                <w:color w:val="FFFFFF"/>
                <w:sz w:val="16"/>
                <w:szCs w:val="16"/>
              </w:rPr>
              <w:t xml:space="preserve">Basis</w:t>
            </w:r>
          </w:p>
        </w:tc>
        <w:tc>
          <w:tcPr>
            <w:tcW w:w="2381" w:type="dxa"/>
            <w:shd w:val="clear" w:color="auto" w:fill="0B4F6C"/>
          </w:tcPr>
          <w:p>
            <w:pPr>
              <w:spacing w:after="0"/>
            </w:pPr>
            <w:r>
              <w:rPr>
                <w:b/>
                <w:color w:val="FFFFFF"/>
                <w:sz w:val="16"/>
                <w:szCs w:val="16"/>
              </w:rPr>
              <w:t xml:space="preserve">Controls (CRGO)</w:t>
            </w:r>
          </w:p>
        </w:tc>
        <w:tc>
          <w:tcPr>
            <w:tcW w:w="1984" w:type="dxa"/>
            <w:shd w:val="clear" w:color="auto" w:fill="0B4F6C"/>
          </w:tcPr>
          <w:p>
            <w:pPr>
              <w:spacing w:after="0"/>
            </w:pPr>
            <w:r>
              <w:rPr>
                <w:b/>
                <w:color w:val="FFFFFF"/>
                <w:sz w:val="16"/>
                <w:szCs w:val="16"/>
              </w:rPr>
              <w:t xml:space="preserve">Review</w:t>
            </w:r>
          </w:p>
        </w:tc>
      </w:tr>
      <w:tr>
        <w:trPr>
          <w:cantSplit/>
        </w:trPr>
        <w:tc>
          <w:tcPr>
            <w:tcW w:w="1871" w:type="dxa"/>
          </w:tcPr>
          <w:p>
            <w:pPr>
              <w:spacing w:after="0"/>
            </w:pPr>
            <w:r>
              <w:rPr>
                <w:sz w:val="16"/>
                <w:szCs w:val="16"/>
              </w:rPr>
              <w:t xml:space="preserve">4.1 · POL-007.1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4.2 · POL-007.2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4.3 · POL-007.3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4.4 · POL-007.4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POL-007.5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POL-007.6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5.3 · POL-007.7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5.4 · POL-007.8</w:t>
            </w:r>
          </w:p>
        </w:tc>
        <w:tc>
          <w:tcPr>
            <w:tcW w:w="1077" w:type="dxa"/>
          </w:tcPr>
          <w:p>
            <w:pPr>
              <w:spacing w:after="0"/>
            </w:pPr>
            <w:r>
              <w:rPr>
                <w:sz w:val="16"/>
                <w:szCs w:val="16"/>
              </w:rPr>
              <w:t xml:space="preserve">Should</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6.1 · POL-007.9</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ISO22:5.14, ISO22:8.24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6.2 · POL-007.10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ISO22:5.14, ISO22:8.3</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6.3 · POL-007.11</w:t>
            </w:r>
          </w:p>
        </w:tc>
        <w:tc>
          <w:tcPr>
            <w:tcW w:w="1077" w:type="dxa"/>
          </w:tcPr>
          <w:p>
            <w:pPr>
              <w:spacing w:after="0"/>
            </w:pPr>
            <w:r>
              <w:rPr>
                <w:sz w:val="16"/>
                <w:szCs w:val="16"/>
              </w:rPr>
              <w:t xml:space="preserve">Should</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ISO22:5.13</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6.4 · POL-007.12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ISO22:7.14, ISO22:8.10</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6.5 · POL-007.13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POL-007.14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 CSF2:GV.RM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POL-007.15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POL-007.16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 CSF2:GV.OV</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POL-007.17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POL-007.18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 CSF2:GV.PO-02</w:t>
            </w:r>
          </w:p>
        </w:tc>
        <w:tc>
          <w:tcPr>
            <w:tcW w:w="1984" w:type="dxa"/>
          </w:tcPr>
          <w:p>
            <w:pPr>
              <w:spacing w:after="0"/>
            </w:pPr>
            <w:r>
              <w:rPr>
                <w:sz w:val="16"/>
                <w:szCs w:val="16"/>
              </w:rPr>
              <w:t xml:space="preserve">—</w:t>
            </w:r>
          </w:p>
        </w:tc>
      </w:tr>
    </w:tbl>
    <w:p>
      <w:pPr>
        <w:spacing w:after="40"/>
      </w:pPr>
      <w:r/>
    </w:p>
    <w:p>
      <w:pPr>
        <w:pStyle w:val="Heading1"/>
      </w:pPr>
      <w:r>
        <w:t xml:space="preserve">Appendix C — Assumptions and implementation gaps</w:t>
      </w:r>
    </w:p>
    <w:p>
      <w:pPr>
        <w:pStyle w:val="Heading2"/>
      </w:pPr>
      <w:r>
        <w:t xml:space="preserve">Assumptions</w:t>
      </w:r>
    </w:p>
    <w:p>
      <w:pPr>
        <w:pStyle w:val="ListBullet"/>
      </w:pPr>
      <w:r>
        <w:t xml:space="preserve">No classification scheme was provided; the recommended four-level scheme (Public, Internal, Confidential, Restricted) is used and must be confirmed.</w:t>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Internal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of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NOR-POL-ICH-001</w:t>
    </w:r>
    <w:r>
      <w:tab/>
    </w:r>
    <w:r>
      <w:rPr>
        <w:b/>
        <w:color w:val="B42318"/>
        <w:sz w:val="17"/>
        <w:szCs w:val="17"/>
      </w:rPr>
      <w:t xml:space="preserve">DRAFT — NOT APPROVED</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n-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Classification and Handling Policy</dc:title>
  <dc:subject>NOR-POL-ICH-001</dc:subject>
  <dc:creator>CyberRiskGuardian</dc:creator>
  <cp:keywords>isp=POL-007; writer=CLASS; library=2026.10-2</cp:keywords>
  <dc:description>Draft produced with decision-support software (CyberRiskGuardian Security Policy Writer). It is not legal advice and is not in force until approved and published in ISP management by the authorized persons. Control references indicate the topics addr</dc:description>
  <dc:identifier>crg-isp|sample|POL-007|v0.1|en|draft|c797f7d888cb8125</dc:identifier>
  <dc:language>en-CA</dc:language>
  <cp:category>Information security policy — DRAFT</cp:category>
  <cp:version>0.1</cp:version>
  <cp:lastModifiedBy>CyberRiskGuardian</cp:lastModifiedBy>
  <dcterms:created xsi:type="dcterms:W3CDTF">2026-10-19T20:35:40Z</dcterms:created>
  <dcterms:modified xsi:type="dcterms:W3CDTF">2026-10-19T20:35:40Z</dcterms:modified>
</cp:coreProperties>
</file>