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Politique de classification et de manipulation de l’information</w:t>
      </w:r>
    </w:p>
    <w:p>
      <w:r>
        <w:rPr>
          <w:color w:val="5F6B76"/>
          <w:sz w:val="22"/>
          <w:szCs w:val="22"/>
        </w:rPr>
        <w:t xml:space="preserve">Northstar Digital Services (fictional)  ·  NOR-POL-ICH-001  ·  Politique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NOR-POL-ICH-001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POL-008</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politique établit le schéma unique de classification de l’information de Northstar et les règles minimales de manipulation pour chaque niveau, afin que l’information soit protégée selon sa sensibilité et sa valeur.</w:t>
      </w:r>
      <w:bookmarkEnd w:id="1"/>
    </w:p>
    <w:p>
      <w:pPr>
        <w:pStyle w:val="Heading1"/>
      </w:pPr>
      <w:r>
        <w:t xml:space="preserve">2. Portée</w:t>
      </w:r>
    </w:p>
    <w:p>
      <w:bookmarkStart w:id="2" w:name="_crgt_scope_1"/>
      <w:r>
        <w:t xml:space="preserve">La présente politique s’applique à tous les employés, contractuels, consultants, personnes temporaires et autres personnes qui accèdent à l’information ou aux systèmes d’information de Northstar, où qu’elles travaillent.</w:t>
      </w:r>
      <w:bookmarkEnd w:id="2"/>
    </w:p>
    <w:p>
      <w:bookmarkStart w:id="3" w:name="_crgt_scope_2"/>
      <w:r>
        <w:t xml:space="preserve">Elle vise l’information sous toutes ses formes et tous les systèmes possédés, loués, exploités ou utilisés pour le compte de Northstar, y compris les services infonuagiques et les systèmes exploités par des fournisseurs.</w:t>
      </w:r>
      <w:bookmarkEnd w:id="3"/>
    </w:p>
    <w:p>
      <w:pPr>
        <w:pStyle w:val="Heading1"/>
      </w:pPr>
      <w:r>
        <w:t xml:space="preserve">3. Autorité et documents connexes</w:t>
      </w:r>
    </w:p>
    <w:p>
      <w:bookmarkStart w:id="4" w:name="_crgt_C1_1"/>
      <w:r>
        <w:t xml:space="preserve">La présente politique est adoptée en vertu de la Politique de sécurité de l’information de l’entreprise, qui prévaut en cas d’incohérence. Des paramètres détaillés peuvent être fixés dans des normes et procédures approuvées en vertu de la présente politique.</w:t>
      </w:r>
      <w:bookmarkEnd w:id="4"/>
    </w:p>
    <w:p>
      <w:pPr>
        <w:pStyle w:val="Heading1"/>
      </w:pPr>
      <w:r>
        <w:t xml:space="preserve">4. Rôles et responsabilités</w:t>
      </w:r>
    </w:p>
    <w:p>
      <w:pPr>
        <w:tabs>
          <w:tab w:val="left" w:pos="680"/>
        </w:tabs>
        <w:ind w:left="680" w:hanging="680"/>
      </w:pPr>
      <w:bookmarkStart w:id="5" w:name="_crgs_POL_008_1"/>
      <w:r>
        <w:rPr>
          <w:b/>
          <w:color w:val="0B4F6C"/>
        </w:rPr>
        <w:t xml:space="preserve">4.1</w:t>
        <w:tab/>
      </w:r>
      <w:r>
        <w:t xml:space="preserve">Les responsables de l’information classifient leur information, revoient la classification lorsque le contexte change et approuvent le partage hors du public autorisé.</w:t>
      </w:r>
      <w:bookmarkEnd w:id="5"/>
    </w:p>
    <w:p>
      <w:pPr>
        <w:tabs>
          <w:tab w:val="left" w:pos="680"/>
        </w:tabs>
        <w:ind w:left="680" w:hanging="680"/>
      </w:pPr>
      <w:bookmarkStart w:id="6" w:name="_crgs_POL_008_2"/>
      <w:r>
        <w:rPr>
          <w:b/>
          <w:color w:val="0B4F6C"/>
        </w:rPr>
        <w:t xml:space="preserve">4.2</w:t>
        <w:tab/>
      </w:r>
      <w:r>
        <w:t xml:space="preserve">Les gardiens appliquent les mesures exigées pour chaque niveau.</w:t>
      </w:r>
      <w:bookmarkEnd w:id="6"/>
    </w:p>
    <w:p>
      <w:pPr>
        <w:tabs>
          <w:tab w:val="left" w:pos="680"/>
        </w:tabs>
        <w:ind w:left="680" w:hanging="680"/>
      </w:pPr>
      <w:bookmarkStart w:id="7" w:name="_crgs_POL_008_3"/>
      <w:r>
        <w:rPr>
          <w:b/>
          <w:color w:val="0B4F6C"/>
        </w:rPr>
        <w:t xml:space="preserve">4.3</w:t>
        <w:tab/>
      </w:r>
      <w:r>
        <w:t xml:space="preserve">Les utilisateurs manipulent l’information selon sa classification.</w:t>
      </w:r>
      <w:bookmarkEnd w:id="7"/>
    </w:p>
    <w:p>
      <w:pPr>
        <w:tabs>
          <w:tab w:val="left" w:pos="680"/>
        </w:tabs>
        <w:ind w:left="680" w:hanging="680"/>
      </w:pPr>
      <w:bookmarkStart w:id="8" w:name="_crgs_POL_008_4"/>
      <w:r>
        <w:rPr>
          <w:b/>
          <w:color w:val="0B4F6C"/>
        </w:rPr>
        <w:t xml:space="preserve">4.4</w:t>
        <w:tab/>
      </w:r>
      <w:r>
        <w:t xml:space="preserve">Le gestionnaire des TI tient à jour la norme de manipulation et conseille les responsables.</w:t>
      </w:r>
      <w:bookmarkEnd w:id="8"/>
    </w:p>
    <w:p>
      <w:pPr>
        <w:pStyle w:val="Heading1"/>
      </w:pPr>
      <w:r>
        <w:t xml:space="preserve">5. Schéma de classification</w:t>
      </w:r>
    </w:p>
    <w:p>
      <w:bookmarkStart w:id="9" w:name="_crgt_C3_1"/>
      <w:r>
        <w:t xml:space="preserve">Définition des niveaux</w:t>
      </w:r>
      <w:bookmarkEnd w:id="9"/>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551"/>
        <w:gridCol w:w="6804"/>
      </w:tblGrid>
      <w:tr>
        <w:trPr>
          <w:tblHeader/>
          <w:cantSplit/>
        </w:trPr>
        <w:tc>
          <w:tcPr>
            <w:tcW w:w="2551" w:type="dxa"/>
            <w:shd w:val="clear" w:color="auto" w:fill="0B4F6C"/>
          </w:tcPr>
          <w:p>
            <w:pPr>
              <w:spacing w:after="0"/>
            </w:pPr>
            <w:r>
              <w:rPr>
                <w:b/>
                <w:color w:val="FFFFFF"/>
                <w:sz w:val="18"/>
                <w:szCs w:val="18"/>
              </w:rPr>
              <w:t xml:space="preserve">Niveau</w:t>
            </w:r>
          </w:p>
        </w:tc>
        <w:tc>
          <w:tcPr>
            <w:tcW w:w="6804" w:type="dxa"/>
            <w:shd w:val="clear" w:color="auto" w:fill="0B4F6C"/>
          </w:tcPr>
          <w:p>
            <w:pPr>
              <w:spacing w:after="0"/>
            </w:pPr>
            <w:r>
              <w:rPr>
                <w:b/>
                <w:color w:val="FFFFFF"/>
                <w:sz w:val="18"/>
                <w:szCs w:val="18"/>
              </w:rPr>
              <w:t xml:space="preserve">Définition</w:t>
            </w:r>
          </w:p>
        </w:tc>
      </w:tr>
      <w:tr>
        <w:trPr>
          <w:cantSplit/>
        </w:trPr>
        <w:tc>
          <w:tcPr>
            <w:tcW w:w="2551" w:type="dxa"/>
          </w:tcPr>
          <w:p>
            <w:pPr>
              <w:spacing w:after="0"/>
            </w:pPr>
            <w:r>
              <w:rPr>
                <w:sz w:val="18"/>
                <w:szCs w:val="18"/>
              </w:rPr>
              <w:t xml:space="preserve">Public</w:t>
            </w:r>
          </w:p>
        </w:tc>
        <w:tc>
          <w:tcPr>
            <w:tcW w:w="6804" w:type="dxa"/>
          </w:tcPr>
          <w:p>
            <w:pPr>
              <w:spacing w:after="0"/>
            </w:pPr>
            <w:r>
              <w:rPr>
                <w:sz w:val="18"/>
                <w:szCs w:val="18"/>
              </w:rPr>
              <w:t xml:space="preserve">Information dont la diffusion publique est approuvée; sa divulgation ne cause aucun préjudice.</w:t>
            </w:r>
          </w:p>
        </w:tc>
      </w:tr>
      <w:tr>
        <w:trPr>
          <w:cantSplit/>
        </w:trPr>
        <w:tc>
          <w:tcPr>
            <w:tcW w:w="2551" w:type="dxa"/>
          </w:tcPr>
          <w:p>
            <w:pPr>
              <w:spacing w:after="0"/>
            </w:pPr>
            <w:r>
              <w:rPr>
                <w:sz w:val="18"/>
                <w:szCs w:val="18"/>
              </w:rPr>
              <w:t xml:space="preserve">Interne</w:t>
            </w:r>
          </w:p>
        </w:tc>
        <w:tc>
          <w:tcPr>
            <w:tcW w:w="6804" w:type="dxa"/>
          </w:tcPr>
          <w:p>
            <w:pPr>
              <w:spacing w:after="0"/>
            </w:pPr>
            <w:r>
              <w:rPr>
                <w:sz w:val="18"/>
                <w:szCs w:val="18"/>
              </w:rPr>
              <w:t xml:space="preserve">Information à usage interne; sa divulgation non autorisée causerait un préjudice limité.</w:t>
            </w:r>
          </w:p>
        </w:tc>
      </w:tr>
      <w:tr>
        <w:trPr>
          <w:cantSplit/>
        </w:trPr>
        <w:tc>
          <w:tcPr>
            <w:tcW w:w="2551" w:type="dxa"/>
          </w:tcPr>
          <w:p>
            <w:pPr>
              <w:spacing w:after="0"/>
            </w:pPr>
            <w:r>
              <w:rPr>
                <w:sz w:val="18"/>
                <w:szCs w:val="18"/>
              </w:rPr>
              <w:t xml:space="preserve">Confidentiel</w:t>
            </w:r>
          </w:p>
        </w:tc>
        <w:tc>
          <w:tcPr>
            <w:tcW w:w="6804" w:type="dxa"/>
          </w:tcPr>
          <w:p>
            <w:pPr>
              <w:spacing w:after="0"/>
            </w:pPr>
            <w:r>
              <w:rPr>
                <w:sz w:val="18"/>
                <w:szCs w:val="18"/>
              </w:rPr>
              <w:t xml:space="preserve">Information sensible, y compris les renseignements personnels et l’information des clients; sa divulgation non autorisée causerait un préjudice important.</w:t>
            </w:r>
          </w:p>
        </w:tc>
      </w:tr>
      <w:tr>
        <w:trPr>
          <w:cantSplit/>
        </w:trPr>
        <w:tc>
          <w:tcPr>
            <w:tcW w:w="2551" w:type="dxa"/>
          </w:tcPr>
          <w:p>
            <w:pPr>
              <w:spacing w:after="0"/>
            </w:pPr>
            <w:r>
              <w:rPr>
                <w:sz w:val="18"/>
                <w:szCs w:val="18"/>
              </w:rPr>
              <w:t xml:space="preserve">Restreint</w:t>
            </w:r>
          </w:p>
        </w:tc>
        <w:tc>
          <w:tcPr>
            <w:tcW w:w="6804" w:type="dxa"/>
          </w:tcPr>
          <w:p>
            <w:pPr>
              <w:spacing w:after="0"/>
            </w:pPr>
            <w:r>
              <w:rPr>
                <w:sz w:val="18"/>
                <w:szCs w:val="18"/>
              </w:rPr>
              <w:t xml:space="preserve">Information très sensible dont la compromission causerait un préjudice grave (p. ex. authentifiants et clés, données de santé ou financières de personnes, secrets commerciaux essentiels).</w:t>
            </w:r>
          </w:p>
        </w:tc>
      </w:tr>
    </w:tbl>
    <w:p>
      <w:pPr>
        <w:spacing w:after="40"/>
      </w:pPr>
      <w:r/>
    </w:p>
    <w:p>
      <w:pPr>
        <w:tabs>
          <w:tab w:val="left" w:pos="680"/>
        </w:tabs>
        <w:ind w:left="680" w:hanging="680"/>
      </w:pPr>
      <w:bookmarkStart w:id="10" w:name="_crgs_POL_008_5"/>
      <w:r>
        <w:rPr>
          <w:b/>
          <w:color w:val="0B4F6C"/>
        </w:rPr>
        <w:t xml:space="preserve">5.1</w:t>
        <w:tab/>
      </w:r>
      <w:r>
        <w:t xml:space="preserve">Northstar utilise les niveaux de classification suivants, du moins au plus sensible : Public, Interne, Confidentiel et Restreint. Aucun autre schéma ne peut être utilisé.</w:t>
      </w:r>
      <w:bookmarkEnd w:id="10"/>
    </w:p>
    <w:p>
      <w:pPr>
        <w:tabs>
          <w:tab w:val="left" w:pos="680"/>
        </w:tabs>
        <w:ind w:left="680" w:hanging="680"/>
      </w:pPr>
      <w:bookmarkStart w:id="11" w:name="_crgs_POL_008_6"/>
      <w:r>
        <w:rPr>
          <w:b/>
          <w:color w:val="0B4F6C"/>
        </w:rPr>
        <w:t xml:space="preserve">5.2</w:t>
        <w:tab/>
      </w:r>
      <w:r>
        <w:t xml:space="preserve">L’information qui n’a pas été classifiée doit être traitée comme </w:t>
      </w:r>
      <w:r>
        <w:rPr>
          <w:b/>
          <w:highlight w:val="yellow"/>
        </w:rPr>
        <w:t xml:space="preserve">[DÉCISION : niveau de classification par défaut]</w:t>
      </w:r>
      <w:r>
        <w:t xml:space="preserve"> jusqu’à ce que son responsable la classifie.</w:t>
      </w:r>
      <w:bookmarkEnd w:id="11"/>
    </w:p>
    <w:p>
      <w:pPr>
        <w:tabs>
          <w:tab w:val="left" w:pos="680"/>
        </w:tabs>
        <w:ind w:left="680" w:hanging="680"/>
      </w:pPr>
      <w:bookmarkStart w:id="12" w:name="_crgs_POL_008_7"/>
      <w:r>
        <w:rPr>
          <w:b/>
          <w:color w:val="0B4F6C"/>
        </w:rPr>
        <w:t xml:space="preserve">5.3</w:t>
        <w:tab/>
      </w:r>
      <w:r>
        <w:t xml:space="preserve">Les renseignements personnels sont classifiés au moins Confidentiel.</w:t>
      </w:r>
      <w:bookmarkEnd w:id="12"/>
    </w:p>
    <w:p>
      <w:pPr>
        <w:tabs>
          <w:tab w:val="left" w:pos="680"/>
        </w:tabs>
        <w:ind w:left="680" w:hanging="680"/>
      </w:pPr>
      <w:bookmarkStart w:id="13" w:name="_crgs_POL_008_8"/>
      <w:r>
        <w:rPr>
          <w:b/>
          <w:color w:val="0B4F6C"/>
        </w:rPr>
        <w:t xml:space="preserve">5.4</w:t>
        <w:tab/>
      </w:r>
      <w:r>
        <w:t xml:space="preserve">Les responsables tiennent compte de la confidentialité, de l’intégrité et de la disponibilité, ainsi que de la sensibilité accrue qui découle de la combinaison d’informations.</w:t>
      </w:r>
      <w:bookmarkEnd w:id="13"/>
    </w:p>
    <w:p>
      <w:pPr>
        <w:pStyle w:val="Heading1"/>
      </w:pPr>
      <w:r>
        <w:t xml:space="preserve">6. Règles de manipulation</w:t>
      </w:r>
    </w:p>
    <w:p>
      <w:pPr>
        <w:tabs>
          <w:tab w:val="left" w:pos="680"/>
        </w:tabs>
        <w:ind w:left="680" w:hanging="680"/>
      </w:pPr>
      <w:bookmarkStart w:id="14" w:name="_crgs_POL_008_9"/>
      <w:r>
        <w:rPr>
          <w:b/>
          <w:color w:val="0B4F6C"/>
        </w:rPr>
        <w:t xml:space="preserve">6.1</w:t>
        <w:tab/>
      </w:r>
      <w:r>
        <w:t xml:space="preserve">L’information classifiée Confidentiel ou plus doit être communiquée uniquement aux personnes autorisées par le responsable et doit être chiffrée lorsqu’elle est stockée sur un appareil portable ou un support amovible et lorsqu’elle est transmise sur un réseau public.</w:t>
      </w:r>
      <w:bookmarkEnd w:id="14"/>
    </w:p>
    <w:p>
      <w:pPr>
        <w:tabs>
          <w:tab w:val="left" w:pos="680"/>
        </w:tabs>
        <w:ind w:left="680" w:hanging="680"/>
      </w:pPr>
      <w:bookmarkStart w:id="15" w:name="_crgs_POL_008_10"/>
      <w:r>
        <w:rPr>
          <w:b/>
          <w:color w:val="0B4F6C"/>
        </w:rPr>
        <w:t xml:space="preserve">6.2</w:t>
        <w:tab/>
      </w:r>
      <w:r>
        <w:t xml:space="preserve">L’information classifiée Restreint doit être stockée uniquement dans des systèmes approuvés par le gestionnaire des TI pour ce niveau, l’accès doit être journalisé et tout transfert externe doit être approuvé au préalable par le responsable.</w:t>
      </w:r>
      <w:bookmarkEnd w:id="15"/>
    </w:p>
    <w:p>
      <w:pPr>
        <w:tabs>
          <w:tab w:val="left" w:pos="680"/>
        </w:tabs>
        <w:ind w:left="680" w:hanging="680"/>
      </w:pPr>
      <w:bookmarkStart w:id="16" w:name="_crgs_POL_008_11"/>
      <w:r>
        <w:rPr>
          <w:b/>
          <w:color w:val="0B4F6C"/>
        </w:rPr>
        <w:t xml:space="preserve">6.3</w:t>
        <w:tab/>
      </w:r>
      <w:r>
        <w:t xml:space="preserve">Les documents et messages classifiés Confidentiel ou plus devraient porter une mention visible.</w:t>
      </w:r>
      <w:bookmarkEnd w:id="16"/>
    </w:p>
    <w:p>
      <w:pPr>
        <w:tabs>
          <w:tab w:val="left" w:pos="680"/>
        </w:tabs>
        <w:ind w:left="680" w:hanging="680"/>
      </w:pPr>
      <w:bookmarkStart w:id="17" w:name="_crgs_POL_008_12"/>
      <w:r>
        <w:rPr>
          <w:b/>
          <w:color w:val="0B4F6C"/>
        </w:rPr>
        <w:t xml:space="preserve">6.4</w:t>
        <w:tab/>
      </w:r>
      <w:r>
        <w:t xml:space="preserve">L’information et les supports doivent être éliminés par des méthodes sécuritaires adaptées à leur classification; le papier classifié Confidentiel ou plus doit être déchiqueté et les supports de stockage assainis ou détruits.</w:t>
      </w:r>
      <w:bookmarkEnd w:id="17"/>
    </w:p>
    <w:p>
      <w:pPr>
        <w:tabs>
          <w:tab w:val="left" w:pos="680"/>
        </w:tabs>
        <w:ind w:left="680" w:hanging="680"/>
      </w:pPr>
      <w:bookmarkStart w:id="18" w:name="_crgs_POL_008_13"/>
      <w:r>
        <w:rPr>
          <w:b/>
          <w:color w:val="0B4F6C"/>
        </w:rPr>
        <w:t xml:space="preserve">6.5</w:t>
        <w:tab/>
      </w:r>
      <w:r>
        <w:rPr>
          <w:b/>
          <w:highlight w:val="yellow"/>
        </w:rPr>
        <w:t xml:space="preserve">[DÉCISION : Établir un calendrier de conservation.]</w:t>
      </w:r>
      <w:r>
        <w:t xml:space="preserve"> D’ici son approbation, l’information ne doit pas être détruite si elle peut être requise à des fins légales, contractuelles ou d’enquête.</w:t>
      </w:r>
      <w:bookmarkEnd w:id="18"/>
    </w:p>
    <w:p>
      <w:pPr>
        <w:pStyle w:val="Heading1"/>
      </w:pPr>
      <w:r>
        <w:t xml:space="preserve">7. Dérogations</w:t>
      </w:r>
    </w:p>
    <w:p>
      <w:pPr>
        <w:tabs>
          <w:tab w:val="left" w:pos="680"/>
        </w:tabs>
        <w:ind w:left="680" w:hanging="680"/>
      </w:pPr>
      <w:bookmarkStart w:id="19" w:name="_crgs_POL_008_14"/>
      <w:r>
        <w:rPr>
          <w:b/>
          <w:color w:val="0B4F6C"/>
        </w:rPr>
        <w:t xml:space="preserve">7.1</w:t>
        <w:tab/>
      </w:r>
      <w:r>
        <w:t xml:space="preserve">Tout écart à la présente politique exige une dérogation approuvée au préalable selon le processus de dérogation prévu à la Politique de sécurité de l’information de l’entreprise. La dérogation précise l’exigence non respectée, la raison, sa durée, les mesures compensatoires et le risque résiduel.</w:t>
      </w:r>
      <w:bookmarkEnd w:id="19"/>
    </w:p>
    <w:p>
      <w:pPr>
        <w:tabs>
          <w:tab w:val="left" w:pos="680"/>
        </w:tabs>
        <w:ind w:left="680" w:hanging="680"/>
      </w:pPr>
      <w:bookmarkStart w:id="20" w:name="_crgs_POL_008_15"/>
      <w:r>
        <w:rPr>
          <w:b/>
          <w:color w:val="0B4F6C"/>
        </w:rPr>
        <w:t xml:space="preserve">7.2</w:t>
        <w:tab/>
      </w:r>
      <w:r>
        <w:t xml:space="preserve">Une dérogation ne peut écarter une obligation légale, réglementaire ou contractuelle.</w:t>
      </w:r>
      <w:bookmarkEnd w:id="20"/>
    </w:p>
    <w:p>
      <w:pPr>
        <w:pStyle w:val="Heading1"/>
      </w:pPr>
      <w:r>
        <w:t xml:space="preserve">8. Suivi de la conformité et non-conformité</w:t>
      </w:r>
    </w:p>
    <w:p>
      <w:bookmarkStart w:id="21" w:name="_crgt_C6_1"/>
      <w:r>
        <w:t xml:space="preserve">L’existence de la présente politique ne prouve pas que ses exigences sont respectées; la conformité se démontre par des preuves que les mesures fonctionnent efficacement.</w:t>
      </w:r>
      <w:bookmarkEnd w:id="21"/>
    </w:p>
    <w:p>
      <w:pPr>
        <w:tabs>
          <w:tab w:val="left" w:pos="680"/>
        </w:tabs>
        <w:ind w:left="680" w:hanging="680"/>
      </w:pPr>
      <w:bookmarkStart w:id="22" w:name="_crgs_POL_008_16"/>
      <w:r>
        <w:rPr>
          <w:b/>
          <w:color w:val="0B4F6C"/>
        </w:rPr>
        <w:t xml:space="preserve">8.1</w:t>
        <w:tab/>
      </w:r>
      <w:r>
        <w:t xml:space="preserve">Le gestionnaire des TI assure le suivi de l’application de la présente politique et signale les non-conformités importantes et les tendances à </w:t>
      </w:r>
      <w:r>
        <w:rPr>
          <w:b/>
          <w:highlight w:val="yellow"/>
        </w:rPr>
        <w:t xml:space="preserve">[DÉCISION : comité ou instance de gouvernance de la sécurité]</w:t>
      </w:r>
      <w:r>
        <w:t xml:space="preserve">.</w:t>
      </w:r>
      <w:bookmarkEnd w:id="22"/>
    </w:p>
    <w:p>
      <w:pPr>
        <w:tabs>
          <w:tab w:val="left" w:pos="680"/>
        </w:tabs>
        <w:ind w:left="680" w:hanging="680"/>
      </w:pPr>
      <w:bookmarkStart w:id="23" w:name="_crgs_POL_008_17"/>
      <w:r>
        <w:rPr>
          <w:b/>
          <w:color w:val="0B4F6C"/>
        </w:rPr>
        <w:t xml:space="preserve">8.2</w:t>
        <w:tab/>
      </w:r>
      <w:r>
        <w:t xml:space="preserve">Le non-respect peut entraîner le retrait des accès et des mesures administratives ou disciplinaires proportionnées à sa gravité, conformément aux règles d’emploi et aux contrats applicables.</w:t>
      </w:r>
      <w:bookmarkEnd w:id="23"/>
    </w:p>
    <w:p>
      <w:pPr>
        <w:pStyle w:val="Heading1"/>
      </w:pPr>
      <w:r>
        <w:t xml:space="preserve">9. Révision</w:t>
      </w:r>
    </w:p>
    <w:p>
      <w:pPr>
        <w:tabs>
          <w:tab w:val="left" w:pos="680"/>
        </w:tabs>
        <w:ind w:left="680" w:hanging="680"/>
      </w:pPr>
      <w:bookmarkStart w:id="24" w:name="_crgs_POL_008_18"/>
      <w:r>
        <w:rPr>
          <w:b/>
          <w:color w:val="0B4F6C"/>
        </w:rPr>
        <w:t xml:space="preserve">9.1</w:t>
        <w:tab/>
      </w:r>
      <w:r>
        <w:t xml:space="preserve">La présente politique est révisée </w:t>
      </w:r>
      <w:r>
        <w:rPr>
          <w:b/>
          <w:highlight w:val="yellow"/>
        </w:rPr>
        <w:t xml:space="preserve">[DÉCISION : cycle de révision des politiques]</w:t>
      </w:r>
      <w:r>
        <w:t xml:space="preserve"> et lors de tout changement important, notamment une nouvelle exigence légale, un incident majeur, un changement technologique ou organisationnel important ou une nouvelle utilisation de l’intelligence artificielle.</w:t>
      </w:r>
      <w:bookmarkEnd w:id="24"/>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5.2 (POL-008.6)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niveau de classification par défaut</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6.5 (POL-008.13)</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Établir un calendrier de conservation.</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8.1 (POL-008.16)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9.1 (POL-008.18)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4.1 · POL-008.1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POL-008.2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POL-008.3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POL-008.4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POL-008.5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POL-008.6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POL-008.7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POL-008.8</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POL-008.9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ISO22:5.14, ISO22:8.24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POL-008.10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ISO22:5.14, ISO22:8.3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POL-008.11</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POL-008.12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ISO22:7.14, ISO22:8.10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POL-008.13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POL-008.14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POL-008.15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POL-008.16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POL-008.17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POL-008.18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p>
      <w:pPr>
        <w:pStyle w:val="Heading1"/>
      </w:pPr>
      <w:r>
        <w:t xml:space="preserve">Annexe C — Hypothèses et écarts de mise en œuvre</w:t>
      </w:r>
    </w:p>
    <w:p>
      <w:pPr>
        <w:pStyle w:val="Heading2"/>
      </w:pPr>
      <w:r>
        <w:t xml:space="preserve">Hypothèses</w:t>
      </w:r>
    </w:p>
    <w:p>
      <w:pPr>
        <w:pStyle w:val="ListBullet"/>
      </w:pPr>
      <w:r>
        <w:t xml:space="preserve">Aucun schéma de classification n’a été fourni; le schéma recommandé à quatre niveaux (Public, Interne, Confidentiel, Restreint) est utilisé et doit être confirmé.</w:t>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NOR-POL-ICH-001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classification et de manipulation de l’information</dc:title>
  <dc:subject>NOR-POL-ICH-001</dc:subject>
  <dc:creator>CyberRiskGuardian</dc:creator>
  <cp:keywords>isp=POL-008; writer=CLASS;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crg-isp|sample|POL-008|v0.1|fr|draft|0c8d6e57437d0ed5</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