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Security Incident Management Policy</w:t>
      </w:r>
    </w:p>
    <w:p>
      <w:r>
        <w:rPr>
          <w:color w:val="5F6B76"/>
          <w:sz w:val="22"/>
          <w:szCs w:val="22"/>
        </w:rPr>
        <w:t xml:space="preserve">Northstar Digital Services (fictional)  ·  NOR-POL-IRP-001  ·  Policy</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NOR-POL-IRP-001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POL-009</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policy ensures that security incidents affecting Northstar are reported, assessed, contained and resolved quickly, that the right people decide, and that lessons are learned.</w:t>
      </w:r>
      <w:bookmarkEnd w:id="1"/>
    </w:p>
    <w:p>
      <w:pPr>
        <w:pStyle w:val="Heading1"/>
      </w:pPr>
      <w:r>
        <w:t xml:space="preserve">2. Scope</w:t>
      </w:r>
    </w:p>
    <w:p>
      <w:bookmarkStart w:id="2" w:name="_crgt_scope_1"/>
      <w:r>
        <w:t xml:space="preserve">This policy applies to all employees, contractors, consultants, temporary staff and other persons who access Northstar’s information or information systems, wherever they work.</w:t>
      </w:r>
      <w:bookmarkEnd w:id="2"/>
    </w:p>
    <w:p>
      <w:bookmarkStart w:id="3" w:name="_crgt_scope_2"/>
      <w:r>
        <w:t xml:space="preserve">It covers information in all forms and all systems owned, leased, operated or used on behalf of Northstar, including cloud services and systems operated by suppliers.</w:t>
      </w:r>
      <w:bookmarkEnd w:id="3"/>
    </w:p>
    <w:p>
      <w:bookmarkStart w:id="4" w:name="_crgt_scope_3"/>
      <w:r>
        <w:t xml:space="preserve">It covers all security events and incidents, including those that occur at suppliers and those involving personal information.</w:t>
      </w:r>
      <w:bookmarkEnd w:id="4"/>
    </w:p>
    <w:p>
      <w:pPr>
        <w:pStyle w:val="Heading1"/>
      </w:pPr>
      <w:r>
        <w:t xml:space="preserve">3. Authority and related documents</w:t>
      </w:r>
    </w:p>
    <w:p>
      <w:bookmarkStart w:id="5" w:name="_crgt_C1_1"/>
      <w:r>
        <w:t xml:space="preserve">This policy is issued under the Enterprise Information Security Policy, which prevails in case of inconsistency. Detailed parameters may be set in standards and procedures approved under this policy.</w:t>
      </w:r>
      <w:bookmarkEnd w:id="5"/>
    </w:p>
    <w:p>
      <w:pPr>
        <w:pStyle w:val="Heading1"/>
      </w:pPr>
      <w:r>
        <w:t xml:space="preserve">4. Roles and responsibilities</w:t>
      </w:r>
    </w:p>
    <w:p>
      <w:pPr>
        <w:tabs>
          <w:tab w:val="left" w:pos="680"/>
        </w:tabs>
        <w:ind w:left="680" w:hanging="680"/>
      </w:pPr>
      <w:bookmarkStart w:id="6" w:name="_crgs_POL_009_1"/>
      <w:r>
        <w:rPr>
          <w:b/>
          <w:color w:val="0B4F6C"/>
        </w:rPr>
        <w:t xml:space="preserve">4.1</w:t>
        <w:tab/>
      </w:r>
      <w:r>
        <w:t xml:space="preserve">Every user reports suspected incidents according to this policy.</w:t>
      </w:r>
      <w:bookmarkEnd w:id="6"/>
    </w:p>
    <w:p>
      <w:pPr>
        <w:tabs>
          <w:tab w:val="left" w:pos="680"/>
        </w:tabs>
        <w:ind w:left="680" w:hanging="680"/>
      </w:pPr>
      <w:bookmarkStart w:id="7" w:name="_crgs_POL_009_2"/>
      <w:r>
        <w:rPr>
          <w:b/>
          <w:color w:val="0B4F6C"/>
        </w:rPr>
        <w:t xml:space="preserve">4.2</w:t>
        <w:tab/>
      </w:r>
      <w:r>
        <w:t xml:space="preserve">The IT Manager coordinates the incident response, leads the technical response, keeps the incident register and decision log, and reports to management.</w:t>
      </w:r>
      <w:bookmarkEnd w:id="7"/>
    </w:p>
    <w:p>
      <w:pPr>
        <w:tabs>
          <w:tab w:val="left" w:pos="680"/>
        </w:tabs>
        <w:ind w:left="680" w:hanging="680"/>
      </w:pPr>
      <w:bookmarkStart w:id="8" w:name="_crgs_POL_009_3"/>
      <w:r>
        <w:rPr>
          <w:b/>
          <w:color w:val="0B4F6C"/>
        </w:rPr>
        <w:t xml:space="preserve">4.3</w:t>
        <w:tab/>
      </w:r>
      <w:r>
        <w:t xml:space="preserve">An executive designated by </w:t>
      </w:r>
      <w:r>
        <w:rPr>
          <w:b/>
          <w:highlight w:val="yellow"/>
        </w:rPr>
        <w:t xml:space="preserve">[APPROVER: chief executive]</w:t>
      </w:r>
      <w:r>
        <w:t xml:space="preserve"> leads the organizational response to major incidents, including communications and business decisions.</w:t>
      </w:r>
      <w:bookmarkEnd w:id="8"/>
    </w:p>
    <w:p>
      <w:pPr>
        <w:tabs>
          <w:tab w:val="left" w:pos="680"/>
        </w:tabs>
        <w:ind w:left="680" w:hanging="680"/>
      </w:pPr>
      <w:bookmarkStart w:id="9" w:name="_crgs_POL_009_4"/>
      <w:r>
        <w:rPr>
          <w:b/>
          <w:color w:val="0B4F6C"/>
        </w:rPr>
        <w:t xml:space="preserve">4.4</w:t>
        <w:tab/>
      </w:r>
      <w:r>
        <w:rPr>
          <w:b/>
          <w:highlight w:val="yellow"/>
        </w:rPr>
        <w:t xml:space="preserve">[ROLE: person in charge of the protection of personal information]</w:t>
      </w:r>
      <w:r>
        <w:t xml:space="preserve"> assesses incidents involving personal information and the obligations that may follow.</w:t>
      </w:r>
      <w:bookmarkEnd w:id="9"/>
    </w:p>
    <w:p>
      <w:pPr>
        <w:pStyle w:val="Heading1"/>
      </w:pPr>
      <w:r>
        <w:t xml:space="preserve">5. Reporting</w:t>
      </w:r>
    </w:p>
    <w:p>
      <w:bookmarkStart w:id="10" w:name="_crgt_C3_1"/>
      <w:r>
        <w:t xml:space="preserve">Reporting a mistake in good faith will not, in itself, lead to disciplinary action.</w:t>
      </w:r>
      <w:bookmarkEnd w:id="10"/>
    </w:p>
    <w:p>
      <w:pPr>
        <w:tabs>
          <w:tab w:val="left" w:pos="680"/>
        </w:tabs>
        <w:ind w:left="680" w:hanging="680"/>
      </w:pPr>
      <w:bookmarkStart w:id="11" w:name="_crgs_POL_009_5"/>
      <w:r>
        <w:rPr>
          <w:b/>
          <w:color w:val="0B4F6C"/>
        </w:rPr>
        <w:t xml:space="preserve">5.1</w:t>
        <w:tab/>
      </w:r>
      <w:r>
        <w:t xml:space="preserve">Any person who observes or suspects a security incident must report it to the IT Manager within </w:t>
      </w:r>
      <w:r>
        <w:rPr>
          <w:b/>
          <w:highlight w:val="yellow"/>
        </w:rPr>
        <w:t xml:space="preserve">[DECISION: internal reporting deadline]</w:t>
      </w:r>
      <w:r>
        <w:t xml:space="preserve">.</w:t>
      </w:r>
      <w:bookmarkEnd w:id="11"/>
    </w:p>
    <w:p>
      <w:pPr>
        <w:tabs>
          <w:tab w:val="left" w:pos="680"/>
        </w:tabs>
        <w:ind w:left="680" w:hanging="680"/>
      </w:pPr>
      <w:bookmarkStart w:id="12" w:name="_crgs_POL_009_6"/>
      <w:r>
        <w:rPr>
          <w:b/>
          <w:color w:val="0B4F6C"/>
        </w:rPr>
        <w:t xml:space="preserve">5.2</w:t>
        <w:tab/>
      </w:r>
      <w:r>
        <w:t xml:space="preserve">Suppliers must report incidents affecting Northstar information or services according to their contracts and the third-party security policy.</w:t>
      </w:r>
      <w:bookmarkEnd w:id="12"/>
    </w:p>
    <w:p>
      <w:pPr>
        <w:pStyle w:val="Heading1"/>
      </w:pPr>
      <w:r>
        <w:t xml:space="preserve">6. Assessment and response</w:t>
      </w:r>
    </w:p>
    <w:p>
      <w:pPr>
        <w:tabs>
          <w:tab w:val="left" w:pos="680"/>
        </w:tabs>
        <w:ind w:left="680" w:hanging="680"/>
      </w:pPr>
      <w:bookmarkStart w:id="13" w:name="_crgs_POL_009_7"/>
      <w:r>
        <w:rPr>
          <w:b/>
          <w:color w:val="0B4F6C"/>
        </w:rPr>
        <w:t xml:space="preserve">6.1</w:t>
        <w:tab/>
      </w:r>
      <w:r>
        <w:t xml:space="preserve">The IT Manager must assess each reported event, decide whether it is an incident and assign a severity level according to the severity scale in the incident response plan: </w:t>
      </w:r>
      <w:r>
        <w:rPr>
          <w:b/>
          <w:highlight w:val="yellow"/>
        </w:rPr>
        <w:t xml:space="preserve">[TECHNICAL_DETAIL: severity scale and criteria]</w:t>
      </w:r>
      <w:r>
        <w:t xml:space="preserve">.</w:t>
      </w:r>
      <w:bookmarkEnd w:id="13"/>
    </w:p>
    <w:p>
      <w:pPr>
        <w:tabs>
          <w:tab w:val="left" w:pos="680"/>
        </w:tabs>
        <w:ind w:left="680" w:hanging="680"/>
      </w:pPr>
      <w:bookmarkStart w:id="14" w:name="_crgs_POL_009_8"/>
      <w:r>
        <w:rPr>
          <w:b/>
          <w:color w:val="0B4F6C"/>
        </w:rPr>
        <w:t xml:space="preserve">6.2</w:t>
        <w:tab/>
      </w:r>
      <w:r>
        <w:rPr>
          <w:b/>
          <w:highlight w:val="yellow"/>
        </w:rPr>
        <w:t xml:space="preserve">[DECISION: Name who may isolate systems or suspend services during an incident.]</w:t>
      </w:r>
      <w:bookmarkEnd w:id="14"/>
    </w:p>
    <w:p>
      <w:pPr>
        <w:tabs>
          <w:tab w:val="left" w:pos="680"/>
        </w:tabs>
        <w:ind w:left="680" w:hanging="680"/>
      </w:pPr>
      <w:bookmarkStart w:id="15" w:name="_crgs_POL_009_9"/>
      <w:r>
        <w:rPr>
          <w:b/>
          <w:color w:val="0B4F6C"/>
        </w:rPr>
        <w:t xml:space="preserve">6.3</w:t>
        <w:tab/>
      </w:r>
      <w:r>
        <w:t xml:space="preserve">Response follows the incident response plan: contain, eradicate, recover and verify, while preserving evidence.</w:t>
      </w:r>
      <w:bookmarkEnd w:id="15"/>
    </w:p>
    <w:p>
      <w:pPr>
        <w:tabs>
          <w:tab w:val="left" w:pos="680"/>
        </w:tabs>
        <w:ind w:left="680" w:hanging="680"/>
      </w:pPr>
      <w:bookmarkStart w:id="16" w:name="_crgs_POL_009_10"/>
      <w:r>
        <w:rPr>
          <w:b/>
          <w:color w:val="0B4F6C"/>
        </w:rPr>
        <w:t xml:space="preserve">6.4</w:t>
        <w:tab/>
      </w:r>
      <w:r>
        <w:t xml:space="preserve">Decisions taken during a major incident, with their time and author, must be recorded in a decision log.</w:t>
      </w:r>
      <w:bookmarkEnd w:id="16"/>
    </w:p>
    <w:p>
      <w:pPr>
        <w:tabs>
          <w:tab w:val="left" w:pos="680"/>
        </w:tabs>
        <w:ind w:left="680" w:hanging="680"/>
      </w:pPr>
      <w:bookmarkStart w:id="17" w:name="_crgs_POL_009_11"/>
      <w:r>
        <w:rPr>
          <w:b/>
          <w:color w:val="0B4F6C"/>
        </w:rPr>
        <w:t xml:space="preserve">6.5</w:t>
        <w:tab/>
      </w:r>
      <w:r>
        <w:t xml:space="preserve">Any decision to pay a ransom or otherwise deal with an extortion demand is reserved to </w:t>
      </w:r>
      <w:r>
        <w:rPr>
          <w:b/>
          <w:highlight w:val="yellow"/>
        </w:rPr>
        <w:t xml:space="preserve">[APPROVER: authority for extortion decisions]</w:t>
      </w:r>
      <w:r>
        <w:t xml:space="preserve">, after legal advice.</w:t>
      </w:r>
      <w:bookmarkEnd w:id="17"/>
    </w:p>
    <w:p>
      <w:pPr>
        <w:pStyle w:val="Heading1"/>
      </w:pPr>
      <w:r>
        <w:t xml:space="preserve">7. Notification and communication</w:t>
      </w:r>
    </w:p>
    <w:p>
      <w:pPr>
        <w:tabs>
          <w:tab w:val="left" w:pos="680"/>
        </w:tabs>
        <w:ind w:left="680" w:hanging="680"/>
      </w:pPr>
      <w:bookmarkStart w:id="18" w:name="_crgs_POL_009_12"/>
      <w:r>
        <w:rPr>
          <w:b/>
          <w:color w:val="0B4F6C"/>
        </w:rPr>
        <w:t xml:space="preserve">7.1</w:t>
        <w:tab/>
      </w:r>
      <w:r>
        <w:t xml:space="preserve">The IT Manager, with legal counsel and </w:t>
      </w:r>
      <w:r>
        <w:rPr>
          <w:b/>
          <w:highlight w:val="yellow"/>
        </w:rPr>
        <w:t xml:space="preserve">[ROLE: person in charge of the protection of personal information]</w:t>
      </w:r>
      <w:r>
        <w:t xml:space="preserve"> where personal information is involved, must assess without delay whether an incident must be notified to regulators, affected individuals, clients, insurers or law enforcement. Only authorized persons may communicate externally about an incident.</w:t>
      </w:r>
      <w:bookmarkEnd w:id="18"/>
    </w:p>
    <w:p>
      <w:pPr>
        <w:tabs>
          <w:tab w:val="left" w:pos="680"/>
        </w:tabs>
        <w:ind w:left="680" w:hanging="680"/>
      </w:pPr>
      <w:bookmarkStart w:id="19" w:name="_crgs_POL_009_13"/>
      <w:r>
        <w:rPr>
          <w:b/>
          <w:color w:val="0B4F6C"/>
        </w:rPr>
        <w:t xml:space="preserve">7.2</w:t>
        <w:tab/>
      </w:r>
      <w:r>
        <w:t xml:space="preserve">Every confidentiality incident involving personal information must be recorded in the register of confidentiality incidents.</w:t>
      </w:r>
      <w:bookmarkEnd w:id="19"/>
    </w:p>
    <w:p>
      <w:pPr>
        <w:tabs>
          <w:tab w:val="left" w:pos="680"/>
        </w:tabs>
        <w:ind w:left="680" w:hanging="680"/>
      </w:pPr>
      <w:bookmarkStart w:id="20" w:name="_crgs_POL_009_14"/>
      <w:r>
        <w:rPr>
          <w:b/>
          <w:color w:val="0B4F6C"/>
        </w:rPr>
        <w:t xml:space="preserve">7.3</w:t>
        <w:tab/>
      </w:r>
      <w:r>
        <w:t xml:space="preserve">Notification deadlines and thresholds under the laws confirmed as applicable are documented in the incident response plan: </w:t>
      </w:r>
      <w:r>
        <w:rPr>
          <w:b/>
          <w:highlight w:val="yellow"/>
        </w:rPr>
        <w:t xml:space="preserve">[SOURCE: notification requirements confirmed by legal review]</w:t>
      </w:r>
      <w:r>
        <w:t xml:space="preserve">.</w:t>
      </w:r>
      <w:bookmarkEnd w:id="20"/>
    </w:p>
    <w:p>
      <w:pPr>
        <w:pStyle w:val="Heading1"/>
      </w:pPr>
      <w:r>
        <w:t xml:space="preserve">8. Learning and readiness</w:t>
      </w:r>
    </w:p>
    <w:p>
      <w:pPr>
        <w:tabs>
          <w:tab w:val="left" w:pos="680"/>
        </w:tabs>
        <w:ind w:left="680" w:hanging="680"/>
      </w:pPr>
      <w:bookmarkStart w:id="21" w:name="_crgs_POL_009_15"/>
      <w:r>
        <w:rPr>
          <w:b/>
          <w:color w:val="0B4F6C"/>
        </w:rPr>
        <w:t xml:space="preserve">8.1</w:t>
        <w:tab/>
      </w:r>
      <w:r>
        <w:t xml:space="preserve">A post-incident review must be held for every major incident to identify causes and improvements; agreed actions are tracked to completion.</w:t>
      </w:r>
      <w:bookmarkEnd w:id="21"/>
    </w:p>
    <w:p>
      <w:pPr>
        <w:tabs>
          <w:tab w:val="left" w:pos="680"/>
        </w:tabs>
        <w:ind w:left="680" w:hanging="680"/>
      </w:pPr>
      <w:bookmarkStart w:id="22" w:name="_crgs_POL_009_16"/>
      <w:r>
        <w:rPr>
          <w:b/>
          <w:color w:val="0B4F6C"/>
        </w:rPr>
        <w:t xml:space="preserve">8.2</w:t>
        <w:tab/>
      </w:r>
      <w:r>
        <w:t xml:space="preserve">The incident response plan must be exercised </w:t>
      </w:r>
      <w:r>
        <w:rPr>
          <w:b/>
          <w:highlight w:val="yellow"/>
        </w:rPr>
        <w:t xml:space="preserve">[DECISION: exercise frequency]</w:t>
      </w:r>
      <w:r>
        <w:t xml:space="preserve">.</w:t>
      </w:r>
      <w:bookmarkEnd w:id="22"/>
    </w:p>
    <w:p>
      <w:pPr>
        <w:pStyle w:val="Heading1"/>
      </w:pPr>
      <w:r>
        <w:t xml:space="preserve">9. Exceptions</w:t>
      </w:r>
    </w:p>
    <w:p>
      <w:pPr>
        <w:tabs>
          <w:tab w:val="left" w:pos="680"/>
        </w:tabs>
        <w:ind w:left="680" w:hanging="680"/>
      </w:pPr>
      <w:bookmarkStart w:id="23" w:name="_crgs_POL_009_17"/>
      <w:r>
        <w:rPr>
          <w:b/>
          <w:color w:val="0B4F6C"/>
        </w:rPr>
        <w:t xml:space="preserve">9.1</w:t>
        <w:tab/>
      </w:r>
      <w:r>
        <w:t xml:space="preserve">Any departure from this policy requires an exception approved in advance through the exception process set out in the Enterprise Information Security Policy. An exception states the requirement not met, the reason, its duration, the compensating controls and the residual risk.</w:t>
      </w:r>
      <w:bookmarkEnd w:id="23"/>
    </w:p>
    <w:p>
      <w:pPr>
        <w:tabs>
          <w:tab w:val="left" w:pos="680"/>
        </w:tabs>
        <w:ind w:left="680" w:hanging="680"/>
      </w:pPr>
      <w:bookmarkStart w:id="24" w:name="_crgs_POL_009_18"/>
      <w:r>
        <w:rPr>
          <w:b/>
          <w:color w:val="0B4F6C"/>
        </w:rPr>
        <w:t xml:space="preserve">9.2</w:t>
        <w:tab/>
      </w:r>
      <w:r>
        <w:t xml:space="preserve">An exception cannot set aside a legal, regulatory or contractual obligation.</w:t>
      </w:r>
      <w:bookmarkEnd w:id="24"/>
    </w:p>
    <w:p>
      <w:pPr>
        <w:pStyle w:val="Heading1"/>
      </w:pPr>
      <w:r>
        <w:t xml:space="preserve">10. Compliance monitoring and non-conformance</w:t>
      </w:r>
    </w:p>
    <w:p>
      <w:bookmarkStart w:id="25" w:name="_crgt_C8_1"/>
      <w:r>
        <w:t xml:space="preserve">Having this policy is not evidence that its requirements are met; compliance is demonstrated by evidence that controls operate effectively.</w:t>
      </w:r>
      <w:bookmarkEnd w:id="25"/>
    </w:p>
    <w:p>
      <w:pPr>
        <w:tabs>
          <w:tab w:val="left" w:pos="680"/>
        </w:tabs>
        <w:ind w:left="680" w:hanging="680"/>
      </w:pPr>
      <w:bookmarkStart w:id="26" w:name="_crgs_POL_009_19"/>
      <w:r>
        <w:rPr>
          <w:b/>
          <w:color w:val="0B4F6C"/>
        </w:rPr>
        <w:t xml:space="preserve">10.1</w:t>
        <w:tab/>
      </w:r>
      <w:r>
        <w:t xml:space="preserve">The IT Manager monitors the application of this policy and reports significant non-conformities and trends to </w:t>
      </w:r>
      <w:r>
        <w:rPr>
          <w:b/>
          <w:highlight w:val="yellow"/>
        </w:rPr>
        <w:t xml:space="preserve">[DECISION: security governance committee or body]</w:t>
      </w:r>
      <w:r>
        <w:t xml:space="preserve">.</w:t>
      </w:r>
      <w:bookmarkEnd w:id="26"/>
    </w:p>
    <w:p>
      <w:pPr>
        <w:tabs>
          <w:tab w:val="left" w:pos="680"/>
        </w:tabs>
        <w:ind w:left="680" w:hanging="680"/>
      </w:pPr>
      <w:bookmarkStart w:id="27" w:name="_crgs_POL_009_20"/>
      <w:r>
        <w:rPr>
          <w:b/>
          <w:color w:val="0B4F6C"/>
        </w:rPr>
        <w:t xml:space="preserve">10.2</w:t>
        <w:tab/>
      </w:r>
      <w:r>
        <w:t xml:space="preserve">Non-compliance may lead to the withdrawal of access and to administrative or disciplinary measures proportionate to its seriousness, in accordance with applicable employment rules and contracts.</w:t>
      </w:r>
      <w:bookmarkEnd w:id="27"/>
    </w:p>
    <w:p>
      <w:pPr>
        <w:pStyle w:val="Heading1"/>
      </w:pPr>
      <w:r>
        <w:t xml:space="preserve">11. Review</w:t>
      </w:r>
    </w:p>
    <w:p>
      <w:pPr>
        <w:tabs>
          <w:tab w:val="left" w:pos="680"/>
        </w:tabs>
        <w:ind w:left="680" w:hanging="680"/>
      </w:pPr>
      <w:bookmarkStart w:id="28" w:name="_crgs_POL_009_21"/>
      <w:r>
        <w:rPr>
          <w:b/>
          <w:color w:val="0B4F6C"/>
        </w:rPr>
        <w:t xml:space="preserve">11.1</w:t>
        <w:tab/>
      </w:r>
      <w:r>
        <w:t xml:space="preserve">This policy is reviewed </w:t>
      </w:r>
      <w:r>
        <w:rPr>
          <w:b/>
          <w:highlight w:val="yellow"/>
        </w:rPr>
        <w:t xml:space="preserve">[DECISION: policy review cycle]</w:t>
      </w:r>
      <w:r>
        <w:t xml:space="preserve"> and whenever a significant change occurs, such as a new legal requirement, a major incident, a significant technology or organizational change, or a new use of artificial intelligence.</w:t>
      </w:r>
      <w:bookmarkEnd w:id="28"/>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4.3 (POL-009.3)</w:t>
            </w:r>
          </w:p>
        </w:tc>
        <w:tc>
          <w:tcPr>
            <w:tcW w:w="1474" w:type="dxa"/>
          </w:tcPr>
          <w:p>
            <w:pPr>
              <w:spacing w:after="0"/>
            </w:pPr>
            <w:r>
              <w:rPr>
                <w:sz w:val="17"/>
                <w:szCs w:val="17"/>
              </w:rPr>
              <w:t xml:space="preserve">APPROVER</w:t>
            </w:r>
          </w:p>
        </w:tc>
        <w:tc>
          <w:tcPr>
            <w:tcW w:w="5329" w:type="dxa"/>
          </w:tcPr>
          <w:p>
            <w:pPr>
              <w:spacing w:after="0"/>
            </w:pPr>
            <w:r>
              <w:rPr>
                <w:sz w:val="17"/>
                <w:szCs w:val="17"/>
              </w:rPr>
              <w:t xml:space="preserve">chief executive</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4.4 (POL-009.4)</w:t>
            </w:r>
          </w:p>
        </w:tc>
        <w:tc>
          <w:tcPr>
            <w:tcW w:w="1474" w:type="dxa"/>
          </w:tcPr>
          <w:p>
            <w:pPr>
              <w:spacing w:after="0"/>
            </w:pPr>
            <w:r>
              <w:rPr>
                <w:sz w:val="17"/>
                <w:szCs w:val="17"/>
              </w:rPr>
              <w:t xml:space="preserve">ROLE</w:t>
            </w:r>
          </w:p>
        </w:tc>
        <w:tc>
          <w:tcPr>
            <w:tcW w:w="5329" w:type="dxa"/>
          </w:tcPr>
          <w:p>
            <w:pPr>
              <w:spacing w:after="0"/>
            </w:pPr>
            <w:r>
              <w:rPr>
                <w:sz w:val="17"/>
                <w:szCs w:val="17"/>
              </w:rPr>
              <w:t xml:space="preserve">person in charge of the protection of personal information</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5.1 (POL-009.5)</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internal reporting deadline</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6.1 (POL-009.7)</w:t>
            </w:r>
          </w:p>
        </w:tc>
        <w:tc>
          <w:tcPr>
            <w:tcW w:w="1474" w:type="dxa"/>
          </w:tcPr>
          <w:p>
            <w:pPr>
              <w:spacing w:after="0"/>
            </w:pPr>
            <w:r>
              <w:rPr>
                <w:sz w:val="17"/>
                <w:szCs w:val="17"/>
              </w:rPr>
              <w:t xml:space="preserve">TECHNICAL_DETAIL</w:t>
            </w:r>
          </w:p>
        </w:tc>
        <w:tc>
          <w:tcPr>
            <w:tcW w:w="5329" w:type="dxa"/>
          </w:tcPr>
          <w:p>
            <w:pPr>
              <w:spacing w:after="0"/>
            </w:pPr>
            <w:r>
              <w:rPr>
                <w:sz w:val="17"/>
                <w:szCs w:val="17"/>
              </w:rPr>
              <w:t xml:space="preserve">severity scale and criteria</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6.2 (POL-009.8)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Name who may isolate systems or suspend services during an incident.</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6.5 (POL-009.11)</w:t>
            </w:r>
          </w:p>
        </w:tc>
        <w:tc>
          <w:tcPr>
            <w:tcW w:w="1474" w:type="dxa"/>
          </w:tcPr>
          <w:p>
            <w:pPr>
              <w:spacing w:after="0"/>
            </w:pPr>
            <w:r>
              <w:rPr>
                <w:sz w:val="17"/>
                <w:szCs w:val="17"/>
              </w:rPr>
              <w:t xml:space="preserve">APPROVER</w:t>
            </w:r>
          </w:p>
        </w:tc>
        <w:tc>
          <w:tcPr>
            <w:tcW w:w="5329" w:type="dxa"/>
          </w:tcPr>
          <w:p>
            <w:pPr>
              <w:spacing w:after="0"/>
            </w:pPr>
            <w:r>
              <w:rPr>
                <w:sz w:val="17"/>
                <w:szCs w:val="17"/>
              </w:rPr>
              <w:t xml:space="preserve">authority for extortion decisions</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7.1 (POL-009.12)</w:t>
            </w:r>
          </w:p>
        </w:tc>
        <w:tc>
          <w:tcPr>
            <w:tcW w:w="1474" w:type="dxa"/>
          </w:tcPr>
          <w:p>
            <w:pPr>
              <w:spacing w:after="0"/>
            </w:pPr>
            <w:r>
              <w:rPr>
                <w:sz w:val="17"/>
                <w:szCs w:val="17"/>
              </w:rPr>
              <w:t xml:space="preserve">ROLE</w:t>
            </w:r>
          </w:p>
        </w:tc>
        <w:tc>
          <w:tcPr>
            <w:tcW w:w="5329" w:type="dxa"/>
          </w:tcPr>
          <w:p>
            <w:pPr>
              <w:spacing w:after="0"/>
            </w:pPr>
            <w:r>
              <w:rPr>
                <w:sz w:val="17"/>
                <w:szCs w:val="17"/>
              </w:rPr>
              <w:t xml:space="preserve">person in charge of the protection of personal information</w:t>
            </w:r>
          </w:p>
        </w:tc>
      </w:tr>
      <w:tr>
        <w:trPr>
          <w:cantSplit/>
        </w:trPr>
        <w:tc>
          <w:tcPr>
            <w:tcW w:w="510" w:type="dxa"/>
          </w:tcPr>
          <w:p>
            <w:pPr>
              <w:spacing w:after="0"/>
            </w:pPr>
            <w:r>
              <w:rPr>
                <w:sz w:val="17"/>
                <w:szCs w:val="17"/>
              </w:rPr>
              <w:t xml:space="preserve">8</w:t>
            </w:r>
          </w:p>
        </w:tc>
        <w:tc>
          <w:tcPr>
            <w:tcW w:w="2041" w:type="dxa"/>
          </w:tcPr>
          <w:p>
            <w:pPr>
              <w:spacing w:after="0"/>
            </w:pPr>
            <w:r>
              <w:rPr>
                <w:sz w:val="17"/>
                <w:szCs w:val="17"/>
              </w:rPr>
              <w:t xml:space="preserve">7.3 (POL-009.14)</w:t>
            </w:r>
          </w:p>
        </w:tc>
        <w:tc>
          <w:tcPr>
            <w:tcW w:w="1474" w:type="dxa"/>
          </w:tcPr>
          <w:p>
            <w:pPr>
              <w:spacing w:after="0"/>
            </w:pPr>
            <w:r>
              <w:rPr>
                <w:sz w:val="17"/>
                <w:szCs w:val="17"/>
              </w:rPr>
              <w:t xml:space="preserve">SOURCE</w:t>
            </w:r>
          </w:p>
        </w:tc>
        <w:tc>
          <w:tcPr>
            <w:tcW w:w="5329" w:type="dxa"/>
          </w:tcPr>
          <w:p>
            <w:pPr>
              <w:spacing w:after="0"/>
            </w:pPr>
            <w:r>
              <w:rPr>
                <w:sz w:val="17"/>
                <w:szCs w:val="17"/>
              </w:rPr>
              <w:t xml:space="preserve">notification requirements confirmed by legal review</w:t>
            </w:r>
          </w:p>
        </w:tc>
      </w:tr>
      <w:tr>
        <w:trPr>
          <w:cantSplit/>
        </w:trPr>
        <w:tc>
          <w:tcPr>
            <w:tcW w:w="510" w:type="dxa"/>
          </w:tcPr>
          <w:p>
            <w:pPr>
              <w:spacing w:after="0"/>
            </w:pPr>
            <w:r>
              <w:rPr>
                <w:sz w:val="17"/>
                <w:szCs w:val="17"/>
              </w:rPr>
              <w:t xml:space="preserve">9</w:t>
            </w:r>
          </w:p>
        </w:tc>
        <w:tc>
          <w:tcPr>
            <w:tcW w:w="2041" w:type="dxa"/>
          </w:tcPr>
          <w:p>
            <w:pPr>
              <w:spacing w:after="0"/>
            </w:pPr>
            <w:r>
              <w:rPr>
                <w:sz w:val="17"/>
                <w:szCs w:val="17"/>
              </w:rPr>
              <w:t xml:space="preserve">8.2 (POL-009.16)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exercise frequency</w:t>
            </w:r>
          </w:p>
        </w:tc>
      </w:tr>
      <w:tr>
        <w:trPr>
          <w:cantSplit/>
        </w:trPr>
        <w:tc>
          <w:tcPr>
            <w:tcW w:w="510" w:type="dxa"/>
          </w:tcPr>
          <w:p>
            <w:pPr>
              <w:spacing w:after="0"/>
            </w:pPr>
            <w:r>
              <w:rPr>
                <w:sz w:val="17"/>
                <w:szCs w:val="17"/>
              </w:rPr>
              <w:t xml:space="preserve">10</w:t>
            </w:r>
          </w:p>
        </w:tc>
        <w:tc>
          <w:tcPr>
            <w:tcW w:w="2041" w:type="dxa"/>
          </w:tcPr>
          <w:p>
            <w:pPr>
              <w:spacing w:after="0"/>
            </w:pPr>
            <w:r>
              <w:rPr>
                <w:sz w:val="17"/>
                <w:szCs w:val="17"/>
              </w:rPr>
              <w:t xml:space="preserve">10.1 (POL-009.19)</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11</w:t>
            </w:r>
          </w:p>
        </w:tc>
        <w:tc>
          <w:tcPr>
            <w:tcW w:w="2041" w:type="dxa"/>
          </w:tcPr>
          <w:p>
            <w:pPr>
              <w:spacing w:after="0"/>
            </w:pPr>
            <w:r>
              <w:rPr>
                <w:sz w:val="17"/>
                <w:szCs w:val="17"/>
              </w:rPr>
              <w:t xml:space="preserve">11.1 (POL-009.21)</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4.1 · POL-009.1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POL-009.2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POL-009.3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POL-009.4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POL-009.5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ISO22:6.8, CSF2:RS.MA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POL-009.6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POL-009.7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ISO22:5.25, CSF2:RS.AN</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POL-009.8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ISO22:5.26, CSF2:RS.MI</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POL-009.9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ISO22:5.26, ISO22:5.28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POL-009.10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POL-009.11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POL-009.12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ISO22:5.26, CSF2:RS.CO</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POL-009.13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POL-009.14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POL-009.15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ISO22:5.27, CSF2:ID.IM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POL-009.16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POL-009.17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POL-009.18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POL-009.19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10.2 · POL-009.20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POL-009.21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NOR-POL-IRP-001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Management Policy</dc:title>
  <dc:subject>NOR-POL-IRP-001</dc:subject>
  <dc:creator>CyberRiskGuardian</dc:creator>
  <cp:keywords>isp=POL-009; writer=IR;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crg-isp|sample|POL-009|v0.1|en|draft|db8fb92ad8a84eea</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