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Politique de gestion des incidents de sécurité</w:t>
      </w:r>
    </w:p>
    <w:p>
      <w:r>
        <w:rPr>
          <w:color w:val="5F6B76"/>
          <w:sz w:val="22"/>
          <w:szCs w:val="22"/>
        </w:rPr>
        <w:t xml:space="preserve">Northstar Digital Services (fictional)  ·  NOR-POL-IRP-001  ·  Politique</w:t>
      </w:r>
    </w:p>
    <w:tbl>
      <w:tblPr>
        <w:tblW w:w="9355" w:type="dxa"/>
        <w:jc w:val="center"/>
      </w:tblPr>
      <w:tblGrid>
        <w:gridCol w:w="9355"/>
      </w:tblGrid>
      <w:tr>
        <w:tc>
          <w:tcPr>
            <w:tcW w:w="9355" w:type="dxa"/>
            <w:shd w:val="clear" w:color="auto" w:fill="FBEAEA"/>
          </w:tcPr>
          <w:p>
            <w:pPr>
              <w:jc w:val="center"/>
              <w:spacing w:before="60" w:after="60"/>
            </w:pPr>
            <w:r>
              <w:rPr>
                <w:b/>
                <w:color w:val="B42318"/>
                <w:sz w:val="26"/>
                <w:szCs w:val="26"/>
              </w:rPr>
              <w:t xml:space="preserve">ÉBAUCHE — NON APPROUVÉE</w:t>
            </w:r>
          </w:p>
        </w:tc>
      </w:tr>
    </w:tbl>
    <w:p>
      <w:r/>
    </w:p>
    <w:p>
      <w:pPr>
        <w:pStyle w:val="Heading2"/>
      </w:pPr>
      <w:r>
        <w:t xml:space="preserve">Contrôle du document</w:t>
      </w:r>
    </w:p>
    <w:tbl>
      <w:tblPr>
        <w:tblW w:w="9355" w:type="dxa"/>
        <w:jc w:val="center"/>
        <w:tblBorders>
          <w:top w:val="single" w:sz="4" w:space="0" w:color="A6B4BF"/>
          <w:left w:val="single" w:sz="4" w:space="0" w:color="A6B4BF"/>
          <w:bottom w:val="single" w:sz="4" w:space="0" w:color="A6B4BF"/>
          <w:right w:val="single" w:sz="4" w:space="0" w:color="A6B4BF"/>
          <w:insideH w:val="single" w:sz="4" w:space="0" w:color="A6B4BF"/>
          <w:insideV w:val="single" w:sz="4" w:space="0" w:color="A6B4BF"/>
        </w:tblBorders>
        <w:tblLayout w:type="fixed"/>
        <w:tblCellMar>
          <w:left w:w="80" w:type="dxa"/>
          <w:right w:w="80" w:type="dxa"/>
        </w:tblCellMar>
      </w:tblPr>
      <w:tblGrid>
        <w:gridCol w:w="2835"/>
        <w:gridCol w:w="6520"/>
      </w:tblGrid>
      <w:tr>
        <w:trPr>
          <w:cantSplit/>
        </w:trPr>
        <w:tc>
          <w:tcPr>
            <w:tcW w:w="2835" w:type="dxa"/>
            <w:shd w:val="clear" w:color="auto" w:fill="E8EEF2"/>
          </w:tcPr>
          <w:p>
            <w:pPr>
              <w:spacing w:after="0"/>
            </w:pPr>
            <w:r>
              <w:rPr>
                <w:b/>
                <w:sz w:val="18"/>
                <w:szCs w:val="18"/>
              </w:rPr>
              <w:t xml:space="preserve">Numéro du document</w:t>
            </w:r>
          </w:p>
        </w:tc>
        <w:tc>
          <w:tcPr>
            <w:tcW w:w="6520" w:type="dxa"/>
          </w:tcPr>
          <w:p>
            <w:pPr>
              <w:spacing w:after="0"/>
            </w:pPr>
            <w:r>
              <w:rPr>
                <w:sz w:val="18"/>
                <w:szCs w:val="18"/>
              </w:rPr>
              <w:t xml:space="preserve">NOR-POL-IRP-001</w:t>
            </w:r>
          </w:p>
        </w:tc>
      </w:tr>
      <w:tr>
        <w:trPr>
          <w:cantSplit/>
        </w:trPr>
        <w:tc>
          <w:tcPr>
            <w:tcW w:w="2835" w:type="dxa"/>
            <w:shd w:val="clear" w:color="auto" w:fill="E8EEF2"/>
          </w:tcPr>
          <w:p>
            <w:pPr>
              <w:spacing w:after="0"/>
            </w:pPr>
            <w:r>
              <w:rPr>
                <w:b/>
                <w:sz w:val="18"/>
                <w:szCs w:val="18"/>
              </w:rPr>
              <w:t xml:space="preserve">Dossier GPSI</w:t>
            </w:r>
          </w:p>
        </w:tc>
        <w:tc>
          <w:tcPr>
            <w:tcW w:w="6520" w:type="dxa"/>
          </w:tcPr>
          <w:p>
            <w:pPr>
              <w:spacing w:after="0"/>
            </w:pPr>
            <w:r>
              <w:rPr>
                <w:sz w:val="18"/>
                <w:szCs w:val="18"/>
              </w:rPr>
              <w:t xml:space="preserve">POL-010</w:t>
            </w:r>
          </w:p>
        </w:tc>
      </w:tr>
      <w:tr>
        <w:trPr>
          <w:cantSplit/>
        </w:trPr>
        <w:tc>
          <w:tcPr>
            <w:tcW w:w="2835" w:type="dxa"/>
            <w:shd w:val="clear" w:color="auto" w:fill="E8EEF2"/>
          </w:tcPr>
          <w:p>
            <w:pPr>
              <w:spacing w:after="0"/>
            </w:pPr>
            <w:r>
              <w:rPr>
                <w:b/>
                <w:sz w:val="18"/>
                <w:szCs w:val="18"/>
              </w:rPr>
              <w:t xml:space="preserve">Version</w:t>
            </w:r>
          </w:p>
        </w:tc>
        <w:tc>
          <w:tcPr>
            <w:tcW w:w="6520" w:type="dxa"/>
          </w:tcPr>
          <w:p>
            <w:pPr>
              <w:spacing w:after="0"/>
            </w:pPr>
            <w:r>
              <w:rPr>
                <w:sz w:val="18"/>
                <w:szCs w:val="18"/>
              </w:rPr>
              <w:t xml:space="preserve">0.1</w:t>
            </w:r>
          </w:p>
        </w:tc>
      </w:tr>
      <w:tr>
        <w:trPr>
          <w:cantSplit/>
        </w:trPr>
        <w:tc>
          <w:tcPr>
            <w:tcW w:w="2835" w:type="dxa"/>
            <w:shd w:val="clear" w:color="auto" w:fill="E8EEF2"/>
          </w:tcPr>
          <w:p>
            <w:pPr>
              <w:spacing w:after="0"/>
            </w:pPr>
            <w:r>
              <w:rPr>
                <w:b/>
                <w:sz w:val="18"/>
                <w:szCs w:val="18"/>
              </w:rPr>
              <w:t xml:space="preserve">Statut</w:t>
            </w:r>
          </w:p>
        </w:tc>
        <w:tc>
          <w:tcPr>
            <w:tcW w:w="6520" w:type="dxa"/>
          </w:tcPr>
          <w:p>
            <w:pPr>
              <w:spacing w:after="0"/>
            </w:pPr>
            <w:r>
              <w:rPr>
                <w:sz w:val="18"/>
                <w:szCs w:val="18"/>
              </w:rPr>
              <w:t xml:space="preserve">Ébauche — non approuvée; non en vigueur</w:t>
            </w:r>
          </w:p>
        </w:tc>
      </w:tr>
      <w:tr>
        <w:trPr>
          <w:cantSplit/>
        </w:trPr>
        <w:tc>
          <w:tcPr>
            <w:tcW w:w="2835" w:type="dxa"/>
            <w:shd w:val="clear" w:color="auto" w:fill="E8EEF2"/>
          </w:tcPr>
          <w:p>
            <w:pPr>
              <w:spacing w:after="0"/>
            </w:pPr>
            <w:r>
              <w:rPr>
                <w:b/>
                <w:sz w:val="18"/>
                <w:szCs w:val="18"/>
              </w:rPr>
              <w:t xml:space="preserve">Classification</w:t>
            </w:r>
          </w:p>
        </w:tc>
        <w:tc>
          <w:tcPr>
            <w:tcW w:w="6520" w:type="dxa"/>
          </w:tcPr>
          <w:p>
            <w:pPr>
              <w:spacing w:after="0"/>
            </w:pPr>
            <w:r>
              <w:rPr>
                <w:sz w:val="18"/>
                <w:szCs w:val="18"/>
              </w:rPr>
              <w:t xml:space="preserve">Interne</w:t>
            </w:r>
          </w:p>
        </w:tc>
      </w:tr>
      <w:tr>
        <w:trPr>
          <w:cantSplit/>
        </w:trPr>
        <w:tc>
          <w:tcPr>
            <w:tcW w:w="2835" w:type="dxa"/>
            <w:shd w:val="clear" w:color="auto" w:fill="E8EEF2"/>
          </w:tcPr>
          <w:p>
            <w:pPr>
              <w:spacing w:after="0"/>
            </w:pPr>
            <w:r>
              <w:rPr>
                <w:b/>
                <w:sz w:val="18"/>
                <w:szCs w:val="18"/>
              </w:rPr>
              <w:t xml:space="preserve">Responsable de la politique</w:t>
            </w:r>
          </w:p>
        </w:tc>
        <w:tc>
          <w:tcPr>
            <w:tcW w:w="6520" w:type="dxa"/>
          </w:tcPr>
          <w:p>
            <w:pPr>
              <w:spacing w:after="0"/>
            </w:pPr>
            <w:r>
              <w:rPr>
                <w:sz w:val="18"/>
                <w:szCs w:val="18"/>
              </w:rPr>
              <w:t xml:space="preserve">Le gestionnaire des TI</w:t>
            </w:r>
          </w:p>
        </w:tc>
      </w:tr>
      <w:tr>
        <w:trPr>
          <w:cantSplit/>
        </w:trPr>
        <w:tc>
          <w:tcPr>
            <w:tcW w:w="2835" w:type="dxa"/>
            <w:shd w:val="clear" w:color="auto" w:fill="E8EEF2"/>
          </w:tcPr>
          <w:p>
            <w:pPr>
              <w:spacing w:after="0"/>
            </w:pPr>
            <w:r>
              <w:rPr>
                <w:b/>
                <w:sz w:val="18"/>
                <w:szCs w:val="18"/>
              </w:rPr>
              <w:t xml:space="preserve">Autorité d’approbation</w:t>
            </w:r>
          </w:p>
        </w:tc>
        <w:tc>
          <w:tcPr>
            <w:tcW w:w="6520" w:type="dxa"/>
          </w:tcPr>
          <w:p>
            <w:pPr>
              <w:spacing w:after="0"/>
            </w:pPr>
            <w:r>
              <w:rPr>
                <w:b/>
                <w:sz w:val="18"/>
                <w:szCs w:val="18"/>
                <w:highlight w:val="yellow"/>
              </w:rPr>
              <w:t xml:space="preserve">[APPROBATEUR : autorité d’approbation]</w:t>
            </w:r>
          </w:p>
        </w:tc>
      </w:tr>
      <w:tr>
        <w:trPr>
          <w:cantSplit/>
        </w:trPr>
        <w:tc>
          <w:tcPr>
            <w:tcW w:w="2835" w:type="dxa"/>
            <w:shd w:val="clear" w:color="auto" w:fill="E8EEF2"/>
          </w:tcPr>
          <w:p>
            <w:pPr>
              <w:spacing w:after="0"/>
            </w:pPr>
            <w:r>
              <w:rPr>
                <w:b/>
                <w:sz w:val="18"/>
                <w:szCs w:val="18"/>
              </w:rPr>
              <w:t xml:space="preserve">Cycle de révision</w:t>
            </w:r>
          </w:p>
        </w:tc>
        <w:tc>
          <w:tcPr>
            <w:tcW w:w="6520" w:type="dxa"/>
          </w:tcPr>
          <w:p>
            <w:pPr>
              <w:spacing w:after="0"/>
            </w:pPr>
            <w:r>
              <w:rPr>
                <w:sz w:val="18"/>
                <w:szCs w:val="18"/>
              </w:rPr>
              <w:t xml:space="preserve">12 mois</w:t>
            </w:r>
          </w:p>
        </w:tc>
      </w:tr>
      <w:tr>
        <w:trPr>
          <w:cantSplit/>
        </w:trPr>
        <w:tc>
          <w:tcPr>
            <w:tcW w:w="2835" w:type="dxa"/>
            <w:shd w:val="clear" w:color="auto" w:fill="E8EEF2"/>
          </w:tcPr>
          <w:p>
            <w:pPr>
              <w:spacing w:after="0"/>
            </w:pPr>
            <w:r>
              <w:rPr>
                <w:b/>
                <w:sz w:val="18"/>
                <w:szCs w:val="18"/>
              </w:rPr>
              <w:t xml:space="preserve">Date d’entrée en vigueur</w:t>
            </w:r>
          </w:p>
        </w:tc>
        <w:tc>
          <w:tcPr>
            <w:tcW w:w="6520" w:type="dxa"/>
          </w:tcPr>
          <w:p>
            <w:pPr>
              <w:spacing w:after="0"/>
            </w:pPr>
            <w:r>
              <w:rPr>
                <w:sz w:val="18"/>
                <w:szCs w:val="18"/>
              </w:rPr>
              <w:t xml:space="preserve">Fixée à l’approbation et à la publication</w:t>
            </w:r>
          </w:p>
        </w:tc>
      </w:tr>
      <w:tr>
        <w:trPr>
          <w:cantSplit/>
        </w:trPr>
        <w:tc>
          <w:tcPr>
            <w:tcW w:w="2835" w:type="dxa"/>
            <w:shd w:val="clear" w:color="auto" w:fill="E8EEF2"/>
          </w:tcPr>
          <w:p>
            <w:pPr>
              <w:spacing w:after="0"/>
            </w:pPr>
            <w:r>
              <w:rPr>
                <w:b/>
                <w:sz w:val="18"/>
                <w:szCs w:val="18"/>
              </w:rPr>
              <w:t xml:space="preserve">Prochaine révision</w:t>
            </w:r>
          </w:p>
        </w:tc>
        <w:tc>
          <w:tcPr>
            <w:tcW w:w="6520" w:type="dxa"/>
          </w:tcPr>
          <w:p>
            <w:pPr>
              <w:spacing w:after="0"/>
            </w:pPr>
            <w:r>
              <w:rPr>
                <w:sz w:val="18"/>
                <w:szCs w:val="18"/>
              </w:rPr>
              <w:t xml:space="preserve">Fixée à l’approbation et à la publication</w:t>
            </w:r>
          </w:p>
        </w:tc>
      </w:tr>
      <w:tr>
        <w:trPr>
          <w:cantSplit/>
        </w:trPr>
        <w:tc>
          <w:tcPr>
            <w:tcW w:w="2835" w:type="dxa"/>
            <w:shd w:val="clear" w:color="auto" w:fill="E8EEF2"/>
          </w:tcPr>
          <w:p>
            <w:pPr>
              <w:spacing w:after="0"/>
            </w:pPr>
            <w:r>
              <w:rPr>
                <w:b/>
                <w:sz w:val="18"/>
                <w:szCs w:val="18"/>
              </w:rPr>
              <w:t xml:space="preserve">Langue</w:t>
            </w:r>
          </w:p>
        </w:tc>
        <w:tc>
          <w:tcPr>
            <w:tcW w:w="6520" w:type="dxa"/>
          </w:tcPr>
          <w:p>
            <w:pPr>
              <w:spacing w:after="0"/>
            </w:pPr>
            <w:r>
              <w:rPr>
                <w:sz w:val="18"/>
                <w:szCs w:val="18"/>
              </w:rPr>
              <w:t xml:space="preserve">Français</w:t>
            </w:r>
          </w:p>
        </w:tc>
      </w:tr>
      <w:tr>
        <w:trPr>
          <w:cantSplit/>
        </w:trPr>
        <w:tc>
          <w:tcPr>
            <w:tcW w:w="2835" w:type="dxa"/>
            <w:shd w:val="clear" w:color="auto" w:fill="E8EEF2"/>
          </w:tcPr>
          <w:p>
            <w:pPr>
              <w:spacing w:after="0"/>
            </w:pPr>
            <w:r>
              <w:rPr>
                <w:b/>
                <w:sz w:val="18"/>
                <w:szCs w:val="18"/>
              </w:rPr>
              <w:t xml:space="preserve">Produit avec</w:t>
            </w:r>
          </w:p>
        </w:tc>
        <w:tc>
          <w:tcPr>
            <w:tcW w:w="6520" w:type="dxa"/>
          </w:tcPr>
          <w:p>
            <w:pPr>
              <w:spacing w:after="0"/>
            </w:pPr>
            <w:r>
              <w:rPr>
                <w:sz w:val="18"/>
                <w:szCs w:val="18"/>
              </w:rPr>
              <w:t xml:space="preserve">CyberRiskGuardian Security Policy Writer 0.1.0 (beta) — sample</w:t>
            </w:r>
          </w:p>
        </w:tc>
      </w:tr>
      <w:tr>
        <w:trPr>
          <w:cantSplit/>
        </w:trPr>
        <w:tc>
          <w:tcPr>
            <w:tcW w:w="2835" w:type="dxa"/>
            <w:shd w:val="clear" w:color="auto" w:fill="E8EEF2"/>
          </w:tcPr>
          <w:p>
            <w:pPr>
              <w:spacing w:after="0"/>
            </w:pPr>
            <w:r>
              <w:rPr>
                <w:b/>
                <w:sz w:val="18"/>
                <w:szCs w:val="18"/>
              </w:rPr>
              <w:t xml:space="preserve">Exporté le</w:t>
            </w:r>
          </w:p>
        </w:tc>
        <w:tc>
          <w:tcPr>
            <w:tcW w:w="6520" w:type="dxa"/>
          </w:tcPr>
          <w:p>
            <w:pPr>
              <w:spacing w:after="0"/>
            </w:pPr>
            <w:r>
              <w:rPr>
                <w:sz w:val="18"/>
                <w:szCs w:val="18"/>
              </w:rPr>
              <w:t xml:space="preserve">2026-10-19</w:t>
            </w:r>
          </w:p>
        </w:tc>
      </w:tr>
    </w:tbl>
    <w:p>
      <w:pPr>
        <w:spacing w:after="40"/>
      </w:pPr>
      <w:r/>
    </w:p>
    <w:p>
      <w:pPr>
        <w:pStyle w:val="Heading2"/>
      </w:pPr>
      <w:r>
        <w:t xml:space="preserve">Approbation</w:t>
      </w:r>
    </w:p>
    <w:tbl>
      <w:tblPr>
        <w:tblW w:w="9355" w:type="dxa"/>
        <w:jc w:val="center"/>
        <w:tblBorders>
          <w:top w:val="single" w:sz="4" w:space="0" w:color="A6B4BF"/>
          <w:left w:val="single" w:sz="4" w:space="0" w:color="A6B4BF"/>
          <w:bottom w:val="single" w:sz="4" w:space="0" w:color="A6B4BF"/>
          <w:right w:val="single" w:sz="4" w:space="0" w:color="A6B4BF"/>
          <w:insideH w:val="single" w:sz="4" w:space="0" w:color="A6B4BF"/>
          <w:insideV w:val="single" w:sz="4" w:space="0" w:color="A6B4BF"/>
        </w:tblBorders>
        <w:tblLayout w:type="fixed"/>
        <w:tblCellMar>
          <w:left w:w="80" w:type="dxa"/>
          <w:right w:w="80" w:type="dxa"/>
        </w:tblCellMar>
      </w:tblPr>
      <w:tblGrid>
        <w:gridCol w:w="2381"/>
        <w:gridCol w:w="3175"/>
        <w:gridCol w:w="2268"/>
        <w:gridCol w:w="1530"/>
      </w:tblGrid>
      <w:tr>
        <w:trPr>
          <w:tblHeader/>
          <w:cantSplit/>
        </w:trPr>
        <w:tc>
          <w:tcPr>
            <w:tcW w:w="2381" w:type="dxa"/>
            <w:shd w:val="clear" w:color="auto" w:fill="0B4F6C"/>
          </w:tcPr>
          <w:p>
            <w:pPr>
              <w:spacing w:after="0"/>
            </w:pPr>
            <w:r>
              <w:rPr>
                <w:b/>
                <w:color w:val="FFFFFF"/>
                <w:sz w:val="18"/>
                <w:szCs w:val="18"/>
              </w:rPr>
              <w:t xml:space="preserve">Rôle</w:t>
            </w:r>
          </w:p>
        </w:tc>
        <w:tc>
          <w:tcPr>
            <w:tcW w:w="3175" w:type="dxa"/>
            <w:shd w:val="clear" w:color="auto" w:fill="0B4F6C"/>
          </w:tcPr>
          <w:p>
            <w:pPr>
              <w:spacing w:after="0"/>
            </w:pPr>
            <w:r>
              <w:rPr>
                <w:b/>
                <w:color w:val="FFFFFF"/>
                <w:sz w:val="18"/>
                <w:szCs w:val="18"/>
              </w:rPr>
              <w:t xml:space="preserve">Nom</w:t>
            </w:r>
          </w:p>
        </w:tc>
        <w:tc>
          <w:tcPr>
            <w:tcW w:w="2268" w:type="dxa"/>
            <w:shd w:val="clear" w:color="auto" w:fill="0B4F6C"/>
          </w:tcPr>
          <w:p>
            <w:pPr>
              <w:spacing w:after="0"/>
            </w:pPr>
            <w:r>
              <w:rPr>
                <w:b/>
                <w:color w:val="FFFFFF"/>
                <w:sz w:val="18"/>
                <w:szCs w:val="18"/>
              </w:rPr>
              <w:t xml:space="preserve">Signature</w:t>
            </w:r>
          </w:p>
        </w:tc>
        <w:tc>
          <w:tcPr>
            <w:tcW w:w="1530" w:type="dxa"/>
            <w:shd w:val="clear" w:color="auto" w:fill="0B4F6C"/>
          </w:tcPr>
          <w:p>
            <w:pPr>
              <w:spacing w:after="0"/>
            </w:pPr>
            <w:r>
              <w:rPr>
                <w:b/>
                <w:color w:val="FFFFFF"/>
                <w:sz w:val="18"/>
                <w:szCs w:val="18"/>
              </w:rPr>
              <w:t xml:space="preserve">Date</w:t>
            </w:r>
          </w:p>
        </w:tc>
      </w:tr>
      <w:tr>
        <w:trPr>
          <w:cantSplit/>
        </w:trPr>
        <w:tc>
          <w:tcPr>
            <w:tcW w:w="2381" w:type="dxa"/>
          </w:tcPr>
          <w:p>
            <w:pPr>
              <w:spacing w:after="0"/>
            </w:pPr>
            <w:r>
              <w:rPr>
                <w:sz w:val="18"/>
                <w:szCs w:val="18"/>
              </w:rPr>
              <w:t xml:space="preserve">Autorité d’approbation</w:t>
            </w:r>
          </w:p>
        </w:tc>
        <w:tc>
          <w:tcPr>
            <w:tcW w:w="3175" w:type="dxa"/>
          </w:tcPr>
          <w:p>
            <w:pPr>
              <w:spacing w:after="0"/>
            </w:pPr>
          </w:p>
        </w:tc>
        <w:tc>
          <w:tcPr>
            <w:tcW w:w="2268" w:type="dxa"/>
          </w:tcPr>
          <w:p>
            <w:pPr>
              <w:spacing w:after="0"/>
            </w:pPr>
          </w:p>
        </w:tc>
        <w:tc>
          <w:tcPr>
            <w:tcW w:w="1530" w:type="dxa"/>
          </w:tcPr>
          <w:p>
            <w:pPr>
              <w:spacing w:after="0"/>
            </w:pPr>
          </w:p>
        </w:tc>
      </w:tr>
      <w:tr>
        <w:trPr>
          <w:cantSplit/>
        </w:trPr>
        <w:tc>
          <w:tcPr>
            <w:tcW w:w="2381" w:type="dxa"/>
          </w:tcPr>
          <w:p>
            <w:pPr>
              <w:spacing w:after="0"/>
            </w:pPr>
            <w:r>
              <w:rPr>
                <w:sz w:val="18"/>
                <w:szCs w:val="18"/>
              </w:rPr>
              <w:t xml:space="preserve">Responsable de la politique</w:t>
            </w:r>
          </w:p>
        </w:tc>
        <w:tc>
          <w:tcPr>
            <w:tcW w:w="3175" w:type="dxa"/>
          </w:tcPr>
          <w:p>
            <w:pPr>
              <w:spacing w:after="0"/>
            </w:pPr>
            <w:r>
              <w:rPr>
                <w:sz w:val="18"/>
                <w:szCs w:val="18"/>
              </w:rPr>
              <w:t xml:space="preserve">Le gestionnaire des TI</w:t>
            </w:r>
          </w:p>
        </w:tc>
        <w:tc>
          <w:tcPr>
            <w:tcW w:w="2268" w:type="dxa"/>
          </w:tcPr>
          <w:p>
            <w:pPr>
              <w:spacing w:after="0"/>
            </w:pPr>
          </w:p>
        </w:tc>
        <w:tc>
          <w:tcPr>
            <w:tcW w:w="1530" w:type="dxa"/>
          </w:tcPr>
          <w:p>
            <w:pPr>
              <w:spacing w:after="0"/>
            </w:pPr>
          </w:p>
        </w:tc>
      </w:tr>
    </w:tbl>
    <w:p>
      <w:pPr>
        <w:spacing w:after="40"/>
      </w:pPr>
      <w:r/>
    </w:p>
    <w:p>
      <w:r>
        <w:rPr>
          <w:i/>
          <w:color w:val="5F6B76"/>
          <w:sz w:val="17"/>
          <w:szCs w:val="17"/>
        </w:rPr>
        <w:t xml:space="preserve">Ébauche produite avec un logiciel d’aide à la décision (CyberRiskGuardian Security Policy Writer). Elle ne constitue pas un avis juridique et n’est pas en vigueur tant qu’elle n’a pas été approuvée et publiée dans la gestion des PSI par les personnes autorisées. Les renvois aux mesures indiquent les sujets traités; une correspondance, un énoncé ou une attestation ne prouve jamais la conformité.</w:t>
      </w:r>
    </w:p>
    <w:p>
      <w:r>
        <w:br w:type="page"/>
      </w:r>
    </w:p>
    <w:p>
      <w:pPr>
        <w:pStyle w:val="Heading2"/>
      </w:pPr>
      <w:r>
        <w:t xml:space="preserve">Table des matières</w:t>
      </w:r>
    </w:p>
    <w:p>
      <w:r>
        <w:rPr>
          <w:i/>
          <w:color w:val="5F6B76"/>
        </w:rPr>
        <w:fldChar w:fldCharType="begin"/>
      </w:r>
      <w:r>
        <w:rPr>
          <w:i/>
          <w:color w:val="5F6B76"/>
        </w:rPr>
        <w:instrText xml:space="preserve"> TOC \o "1-1" \h \z \u </w:instrText>
      </w:r>
      <w:r>
        <w:rPr>
          <w:i/>
          <w:color w:val="5F6B76"/>
        </w:rPr>
        <w:fldChar w:fldCharType="separate"/>
      </w:r>
      <w:r>
        <w:rPr>
          <w:i/>
          <w:color w:val="5F6B76"/>
        </w:rPr>
        <w:t xml:space="preserve">Cliquez avec le bouton droit et choisissez « Mettre à jour les champs » (ou F9) pour générer la table des matières.</w:t>
      </w:r>
      <w:r>
        <w:rPr>
          <w:i/>
          <w:color w:val="5F6B76"/>
        </w:rPr>
        <w:fldChar w:fldCharType="end"/>
      </w:r>
    </w:p>
    <w:p>
      <w:r/>
    </w:p>
    <w:p>
      <w:pPr>
        <w:pStyle w:val="Heading1"/>
      </w:pPr>
      <w:r>
        <w:t xml:space="preserve">1. Objet</w:t>
      </w:r>
    </w:p>
    <w:p>
      <w:bookmarkStart w:id="1" w:name="_crgt_purpose_1"/>
      <w:r>
        <w:t xml:space="preserve">La présente politique assure que les incidents de sécurité touchant Northstar sont signalés, évalués, maîtrisés et résolus rapidement, que les bonnes personnes décident et que des leçons en sont tirées.</w:t>
      </w:r>
      <w:bookmarkEnd w:id="1"/>
    </w:p>
    <w:p>
      <w:pPr>
        <w:pStyle w:val="Heading1"/>
      </w:pPr>
      <w:r>
        <w:t xml:space="preserve">2. Portée</w:t>
      </w:r>
    </w:p>
    <w:p>
      <w:bookmarkStart w:id="2" w:name="_crgt_scope_1"/>
      <w:r>
        <w:t xml:space="preserve">La présente politique s’applique à tous les employés, contractuels, consultants, personnes temporaires et autres personnes qui accèdent à l’information ou aux systèmes d’information de Northstar, où qu’elles travaillent.</w:t>
      </w:r>
      <w:bookmarkEnd w:id="2"/>
    </w:p>
    <w:p>
      <w:bookmarkStart w:id="3" w:name="_crgt_scope_2"/>
      <w:r>
        <w:t xml:space="preserve">Elle vise l’information sous toutes ses formes et tous les systèmes possédés, loués, exploités ou utilisés pour le compte de Northstar, y compris les services infonuagiques et les systèmes exploités par des fournisseurs.</w:t>
      </w:r>
      <w:bookmarkEnd w:id="3"/>
    </w:p>
    <w:p>
      <w:bookmarkStart w:id="4" w:name="_crgt_scope_3"/>
      <w:r>
        <w:t xml:space="preserve">Elle vise tous les événements et incidents de sécurité, y compris ceux qui surviennent chez des fournisseurs et ceux qui touchent des renseignements personnels.</w:t>
      </w:r>
      <w:bookmarkEnd w:id="4"/>
    </w:p>
    <w:p>
      <w:pPr>
        <w:pStyle w:val="Heading1"/>
      </w:pPr>
      <w:r>
        <w:t xml:space="preserve">3. Autorité et documents connexes</w:t>
      </w:r>
    </w:p>
    <w:p>
      <w:bookmarkStart w:id="5" w:name="_crgt_C1_1"/>
      <w:r>
        <w:t xml:space="preserve">La présente politique est adoptée en vertu de la Politique de sécurité de l’information de l’entreprise, qui prévaut en cas d’incohérence. Des paramètres détaillés peuvent être fixés dans des normes et procédures approuvées en vertu de la présente politique.</w:t>
      </w:r>
      <w:bookmarkEnd w:id="5"/>
    </w:p>
    <w:p>
      <w:pPr>
        <w:pStyle w:val="Heading1"/>
      </w:pPr>
      <w:r>
        <w:t xml:space="preserve">4. Rôles et responsabilités</w:t>
      </w:r>
    </w:p>
    <w:p>
      <w:pPr>
        <w:tabs>
          <w:tab w:val="left" w:pos="680"/>
        </w:tabs>
        <w:ind w:left="680" w:hanging="680"/>
      </w:pPr>
      <w:bookmarkStart w:id="6" w:name="_crgs_POL_010_1"/>
      <w:r>
        <w:rPr>
          <w:b/>
          <w:color w:val="0B4F6C"/>
        </w:rPr>
        <w:t xml:space="preserve">4.1</w:t>
        <w:tab/>
      </w:r>
      <w:r>
        <w:t xml:space="preserve">Chaque utilisateur signale les incidents soupçonnés conformément à la présente politique.</w:t>
      </w:r>
      <w:bookmarkEnd w:id="6"/>
    </w:p>
    <w:p>
      <w:pPr>
        <w:tabs>
          <w:tab w:val="left" w:pos="680"/>
        </w:tabs>
        <w:ind w:left="680" w:hanging="680"/>
      </w:pPr>
      <w:bookmarkStart w:id="7" w:name="_crgs_POL_010_2"/>
      <w:r>
        <w:rPr>
          <w:b/>
          <w:color w:val="0B4F6C"/>
        </w:rPr>
        <w:t xml:space="preserve">4.2</w:t>
        <w:tab/>
      </w:r>
      <w:r>
        <w:t xml:space="preserve">Le gestionnaire des TI coordonne l’intervention, dirige l’intervention technique, tient le registre des incidents et le journal des décisions et rend compte à la direction.</w:t>
      </w:r>
      <w:bookmarkEnd w:id="7"/>
    </w:p>
    <w:p>
      <w:pPr>
        <w:tabs>
          <w:tab w:val="left" w:pos="680"/>
        </w:tabs>
        <w:ind w:left="680" w:hanging="680"/>
      </w:pPr>
      <w:bookmarkStart w:id="8" w:name="_crgs_POL_010_3"/>
      <w:r>
        <w:rPr>
          <w:b/>
          <w:color w:val="0B4F6C"/>
        </w:rPr>
        <w:t xml:space="preserve">4.3</w:t>
        <w:tab/>
      </w:r>
      <w:r>
        <w:t xml:space="preserve">Un dirigeant désigné par </w:t>
      </w:r>
      <w:r>
        <w:rPr>
          <w:b/>
          <w:highlight w:val="yellow"/>
        </w:rPr>
        <w:t xml:space="preserve">[APPROBATEUR : premier dirigeant]</w:t>
      </w:r>
      <w:r>
        <w:t xml:space="preserve"> dirige la réponse de l’organisation aux incidents majeurs, y compris les communications et les décisions d’affaires.</w:t>
      </w:r>
      <w:bookmarkEnd w:id="8"/>
    </w:p>
    <w:p>
      <w:pPr>
        <w:tabs>
          <w:tab w:val="left" w:pos="680"/>
        </w:tabs>
        <w:ind w:left="680" w:hanging="680"/>
      </w:pPr>
      <w:bookmarkStart w:id="9" w:name="_crgs_POL_010_4"/>
      <w:r>
        <w:rPr>
          <w:b/>
          <w:color w:val="0B4F6C"/>
        </w:rPr>
        <w:t xml:space="preserve">4.4</w:t>
        <w:tab/>
      </w:r>
      <w:r>
        <w:rPr>
          <w:b/>
          <w:highlight w:val="yellow"/>
        </w:rPr>
        <w:t xml:space="preserve">[RÔLE : personne responsable de la protection des renseignements personnels]</w:t>
      </w:r>
      <w:r>
        <w:t xml:space="preserve"> évalue les incidents touchant des renseignements personnels et les obligations qui peuvent en découler.</w:t>
      </w:r>
      <w:bookmarkEnd w:id="9"/>
    </w:p>
    <w:p>
      <w:pPr>
        <w:pStyle w:val="Heading1"/>
      </w:pPr>
      <w:r>
        <w:t xml:space="preserve">5. Signalement</w:t>
      </w:r>
    </w:p>
    <w:p>
      <w:bookmarkStart w:id="10" w:name="_crgt_C3_1"/>
      <w:r>
        <w:t xml:space="preserve">Le signalement de bonne foi d’une erreur n’entraîne pas, en soi, de mesure disciplinaire.</w:t>
      </w:r>
      <w:bookmarkEnd w:id="10"/>
    </w:p>
    <w:p>
      <w:pPr>
        <w:tabs>
          <w:tab w:val="left" w:pos="680"/>
        </w:tabs>
        <w:ind w:left="680" w:hanging="680"/>
      </w:pPr>
      <w:bookmarkStart w:id="11" w:name="_crgs_POL_010_5"/>
      <w:r>
        <w:rPr>
          <w:b/>
          <w:color w:val="0B4F6C"/>
        </w:rPr>
        <w:t xml:space="preserve">5.1</w:t>
        <w:tab/>
      </w:r>
      <w:r>
        <w:t xml:space="preserve">Toute personne qui constate ou soupçonne un incident de sécurité doit le signaler au gestionnaire des TI dans un délai de </w:t>
      </w:r>
      <w:r>
        <w:rPr>
          <w:b/>
          <w:highlight w:val="yellow"/>
        </w:rPr>
        <w:t xml:space="preserve">[DÉCISION : délai de signalement interne]</w:t>
      </w:r>
      <w:r>
        <w:t xml:space="preserve">.</w:t>
      </w:r>
      <w:bookmarkEnd w:id="11"/>
    </w:p>
    <w:p>
      <w:pPr>
        <w:tabs>
          <w:tab w:val="left" w:pos="680"/>
        </w:tabs>
        <w:ind w:left="680" w:hanging="680"/>
      </w:pPr>
      <w:bookmarkStart w:id="12" w:name="_crgs_POL_010_6"/>
      <w:r>
        <w:rPr>
          <w:b/>
          <w:color w:val="0B4F6C"/>
        </w:rPr>
        <w:t xml:space="preserve">5.2</w:t>
        <w:tab/>
      </w:r>
      <w:r>
        <w:t xml:space="preserve">Les fournisseurs doivent signaler les incidents touchant l’information ou les services de Northstar conformément à leurs contrats et à la politique de sécurité des tiers.</w:t>
      </w:r>
      <w:bookmarkEnd w:id="12"/>
    </w:p>
    <w:p>
      <w:pPr>
        <w:pStyle w:val="Heading1"/>
      </w:pPr>
      <w:r>
        <w:t xml:space="preserve">6. Évaluation et intervention</w:t>
      </w:r>
    </w:p>
    <w:p>
      <w:pPr>
        <w:tabs>
          <w:tab w:val="left" w:pos="680"/>
        </w:tabs>
        <w:ind w:left="680" w:hanging="680"/>
      </w:pPr>
      <w:bookmarkStart w:id="13" w:name="_crgs_POL_010_7"/>
      <w:r>
        <w:rPr>
          <w:b/>
          <w:color w:val="0B4F6C"/>
        </w:rPr>
        <w:t xml:space="preserve">6.1</w:t>
        <w:tab/>
      </w:r>
      <w:r>
        <w:t xml:space="preserve">Le gestionnaire des TI doit évaluer chaque événement signalé, déterminer s’il s’agit d’un incident et lui attribuer un niveau de gravité selon l’échelle du plan de réponse aux incidents : </w:t>
      </w:r>
      <w:r>
        <w:rPr>
          <w:b/>
          <w:highlight w:val="yellow"/>
        </w:rPr>
        <w:t xml:space="preserve">[DÉTAIL_TECHNIQUE : échelle et critères de gravité]</w:t>
      </w:r>
      <w:r>
        <w:t xml:space="preserve">.</w:t>
      </w:r>
      <w:bookmarkEnd w:id="13"/>
    </w:p>
    <w:p>
      <w:pPr>
        <w:tabs>
          <w:tab w:val="left" w:pos="680"/>
        </w:tabs>
        <w:ind w:left="680" w:hanging="680"/>
      </w:pPr>
      <w:bookmarkStart w:id="14" w:name="_crgs_POL_010_8"/>
      <w:r>
        <w:rPr>
          <w:b/>
          <w:color w:val="0B4F6C"/>
        </w:rPr>
        <w:t xml:space="preserve">6.2</w:t>
        <w:tab/>
      </w:r>
      <w:r>
        <w:rPr>
          <w:b/>
          <w:highlight w:val="yellow"/>
        </w:rPr>
        <w:t xml:space="preserve">[DÉCISION : Désigner qui peut isoler des systèmes ou suspendre des services pendant un incident.]</w:t>
      </w:r>
      <w:bookmarkEnd w:id="14"/>
    </w:p>
    <w:p>
      <w:pPr>
        <w:tabs>
          <w:tab w:val="left" w:pos="680"/>
        </w:tabs>
        <w:ind w:left="680" w:hanging="680"/>
      </w:pPr>
      <w:bookmarkStart w:id="15" w:name="_crgs_POL_010_9"/>
      <w:r>
        <w:rPr>
          <w:b/>
          <w:color w:val="0B4F6C"/>
        </w:rPr>
        <w:t xml:space="preserve">6.3</w:t>
        <w:tab/>
      </w:r>
      <w:r>
        <w:t xml:space="preserve">L’intervention suit le plan de réponse aux incidents : maîtriser, éradiquer, rétablir et vérifier, tout en préservant la preuve.</w:t>
      </w:r>
      <w:bookmarkEnd w:id="15"/>
    </w:p>
    <w:p>
      <w:pPr>
        <w:tabs>
          <w:tab w:val="left" w:pos="680"/>
        </w:tabs>
        <w:ind w:left="680" w:hanging="680"/>
      </w:pPr>
      <w:bookmarkStart w:id="16" w:name="_crgs_POL_010_10"/>
      <w:r>
        <w:rPr>
          <w:b/>
          <w:color w:val="0B4F6C"/>
        </w:rPr>
        <w:t xml:space="preserve">6.4</w:t>
        <w:tab/>
      </w:r>
      <w:r>
        <w:t xml:space="preserve">Les décisions prises pendant un incident majeur, avec leur heure et leur auteur, doivent être consignées dans un journal des décisions.</w:t>
      </w:r>
      <w:bookmarkEnd w:id="16"/>
    </w:p>
    <w:p>
      <w:pPr>
        <w:tabs>
          <w:tab w:val="left" w:pos="680"/>
        </w:tabs>
        <w:ind w:left="680" w:hanging="680"/>
      </w:pPr>
      <w:bookmarkStart w:id="17" w:name="_crgs_POL_010_11"/>
      <w:r>
        <w:rPr>
          <w:b/>
          <w:color w:val="0B4F6C"/>
        </w:rPr>
        <w:t xml:space="preserve">6.5</w:t>
        <w:tab/>
      </w:r>
      <w:r>
        <w:t xml:space="preserve">Toute décision de payer une rançon ou de donner suite autrement à une demande d’extorsion est réservée à </w:t>
      </w:r>
      <w:r>
        <w:rPr>
          <w:b/>
          <w:highlight w:val="yellow"/>
        </w:rPr>
        <w:t xml:space="preserve">[APPROBATEUR : autorité pour les décisions d’extorsion]</w:t>
      </w:r>
      <w:r>
        <w:t xml:space="preserve">, après avis juridique.</w:t>
      </w:r>
      <w:bookmarkEnd w:id="17"/>
    </w:p>
    <w:p>
      <w:pPr>
        <w:pStyle w:val="Heading1"/>
      </w:pPr>
      <w:r>
        <w:t xml:space="preserve">7. Notification et communication</w:t>
      </w:r>
    </w:p>
    <w:p>
      <w:pPr>
        <w:tabs>
          <w:tab w:val="left" w:pos="680"/>
        </w:tabs>
        <w:ind w:left="680" w:hanging="680"/>
      </w:pPr>
      <w:bookmarkStart w:id="18" w:name="_crgs_POL_010_12"/>
      <w:r>
        <w:rPr>
          <w:b/>
          <w:color w:val="0B4F6C"/>
        </w:rPr>
        <w:t xml:space="preserve">7.1</w:t>
        <w:tab/>
      </w:r>
      <w:r>
        <w:t xml:space="preserve">Le gestionnaire des TI, avec le conseiller juridique et </w:t>
      </w:r>
      <w:r>
        <w:rPr>
          <w:b/>
          <w:highlight w:val="yellow"/>
        </w:rPr>
        <w:t xml:space="preserve">[RÔLE : personne responsable de la protection des renseignements personnels]</w:t>
      </w:r>
      <w:r>
        <w:t xml:space="preserve"> lorsque des renseignements personnels sont en cause, doit évaluer sans délai si un incident doit être notifié aux régulateurs, aux personnes concernées, aux clients, aux assureurs ou aux forces de l’ordre. Seules les personnes autorisées peuvent communiquer à l’externe au sujet d’un incident.</w:t>
      </w:r>
      <w:bookmarkEnd w:id="18"/>
    </w:p>
    <w:p>
      <w:pPr>
        <w:tabs>
          <w:tab w:val="left" w:pos="680"/>
        </w:tabs>
        <w:ind w:left="680" w:hanging="680"/>
      </w:pPr>
      <w:bookmarkStart w:id="19" w:name="_crgs_POL_010_13"/>
      <w:r>
        <w:rPr>
          <w:b/>
          <w:color w:val="0B4F6C"/>
        </w:rPr>
        <w:t xml:space="preserve">7.2</w:t>
        <w:tab/>
      </w:r>
      <w:r>
        <w:t xml:space="preserve">Tout incident de confidentialité touchant des renseignements personnels doit être consigné au registre des incidents de confidentialité.</w:t>
      </w:r>
      <w:bookmarkEnd w:id="19"/>
    </w:p>
    <w:p>
      <w:pPr>
        <w:tabs>
          <w:tab w:val="left" w:pos="680"/>
        </w:tabs>
        <w:ind w:left="680" w:hanging="680"/>
      </w:pPr>
      <w:bookmarkStart w:id="20" w:name="_crgs_POL_010_14"/>
      <w:r>
        <w:rPr>
          <w:b/>
          <w:color w:val="0B4F6C"/>
        </w:rPr>
        <w:t xml:space="preserve">7.3</w:t>
        <w:tab/>
      </w:r>
      <w:r>
        <w:t xml:space="preserve">Les délais et seuils de notification prévus par les lois dont l’applicabilité est confirmée sont documentés dans le plan de réponse aux incidents : </w:t>
      </w:r>
      <w:r>
        <w:rPr>
          <w:b/>
          <w:highlight w:val="yellow"/>
        </w:rPr>
        <w:t xml:space="preserve">[SOURCE : exigences de notification confirmées par la révision juridique]</w:t>
      </w:r>
      <w:r>
        <w:t xml:space="preserve">.</w:t>
      </w:r>
      <w:bookmarkEnd w:id="20"/>
    </w:p>
    <w:p>
      <w:pPr>
        <w:pStyle w:val="Heading1"/>
      </w:pPr>
      <w:r>
        <w:t xml:space="preserve">8. Leçons et préparation</w:t>
      </w:r>
    </w:p>
    <w:p>
      <w:pPr>
        <w:tabs>
          <w:tab w:val="left" w:pos="680"/>
        </w:tabs>
        <w:ind w:left="680" w:hanging="680"/>
      </w:pPr>
      <w:bookmarkStart w:id="21" w:name="_crgs_POL_010_15"/>
      <w:r>
        <w:rPr>
          <w:b/>
          <w:color w:val="0B4F6C"/>
        </w:rPr>
        <w:t xml:space="preserve">8.1</w:t>
        <w:tab/>
      </w:r>
      <w:r>
        <w:t xml:space="preserve">Une revue post-incident doit être tenue pour chaque incident majeur afin d’en déterminer les causes et les améliorations; les actions convenues sont suivies jusqu’à leur réalisation.</w:t>
      </w:r>
      <w:bookmarkEnd w:id="21"/>
    </w:p>
    <w:p>
      <w:pPr>
        <w:tabs>
          <w:tab w:val="left" w:pos="680"/>
        </w:tabs>
        <w:ind w:left="680" w:hanging="680"/>
      </w:pPr>
      <w:bookmarkStart w:id="22" w:name="_crgs_POL_010_16"/>
      <w:r>
        <w:rPr>
          <w:b/>
          <w:color w:val="0B4F6C"/>
        </w:rPr>
        <w:t xml:space="preserve">8.2</w:t>
        <w:tab/>
      </w:r>
      <w:r>
        <w:t xml:space="preserve">Le plan de réponse aux incidents doit être mis à l’essai </w:t>
      </w:r>
      <w:r>
        <w:rPr>
          <w:b/>
          <w:highlight w:val="yellow"/>
        </w:rPr>
        <w:t xml:space="preserve">[DÉCISION : fréquence des exercices]</w:t>
      </w:r>
      <w:r>
        <w:t xml:space="preserve">.</w:t>
      </w:r>
      <w:bookmarkEnd w:id="22"/>
    </w:p>
    <w:p>
      <w:pPr>
        <w:pStyle w:val="Heading1"/>
      </w:pPr>
      <w:r>
        <w:t xml:space="preserve">9. Dérogations</w:t>
      </w:r>
    </w:p>
    <w:p>
      <w:pPr>
        <w:tabs>
          <w:tab w:val="left" w:pos="680"/>
        </w:tabs>
        <w:ind w:left="680" w:hanging="680"/>
      </w:pPr>
      <w:bookmarkStart w:id="23" w:name="_crgs_POL_010_17"/>
      <w:r>
        <w:rPr>
          <w:b/>
          <w:color w:val="0B4F6C"/>
        </w:rPr>
        <w:t xml:space="preserve">9.1</w:t>
        <w:tab/>
      </w:r>
      <w:r>
        <w:t xml:space="preserve">Tout écart à la présente politique exige une dérogation approuvée au préalable selon le processus de dérogation prévu à la Politique de sécurité de l’information de l’entreprise. La dérogation précise l’exigence non respectée, la raison, sa durée, les mesures compensatoires et le risque résiduel.</w:t>
      </w:r>
      <w:bookmarkEnd w:id="23"/>
    </w:p>
    <w:p>
      <w:pPr>
        <w:tabs>
          <w:tab w:val="left" w:pos="680"/>
        </w:tabs>
        <w:ind w:left="680" w:hanging="680"/>
      </w:pPr>
      <w:bookmarkStart w:id="24" w:name="_crgs_POL_010_18"/>
      <w:r>
        <w:rPr>
          <w:b/>
          <w:color w:val="0B4F6C"/>
        </w:rPr>
        <w:t xml:space="preserve">9.2</w:t>
        <w:tab/>
      </w:r>
      <w:r>
        <w:t xml:space="preserve">Une dérogation ne peut écarter une obligation légale, réglementaire ou contractuelle.</w:t>
      </w:r>
      <w:bookmarkEnd w:id="24"/>
    </w:p>
    <w:p>
      <w:pPr>
        <w:pStyle w:val="Heading1"/>
      </w:pPr>
      <w:r>
        <w:t xml:space="preserve">10. Suivi de la conformité et non-conformité</w:t>
      </w:r>
    </w:p>
    <w:p>
      <w:bookmarkStart w:id="25" w:name="_crgt_C8_1"/>
      <w:r>
        <w:t xml:space="preserve">L’existence de la présente politique ne prouve pas que ses exigences sont respectées; la conformité se démontre par des preuves que les mesures fonctionnent efficacement.</w:t>
      </w:r>
      <w:bookmarkEnd w:id="25"/>
    </w:p>
    <w:p>
      <w:pPr>
        <w:tabs>
          <w:tab w:val="left" w:pos="680"/>
        </w:tabs>
        <w:ind w:left="680" w:hanging="680"/>
      </w:pPr>
      <w:bookmarkStart w:id="26" w:name="_crgs_POL_010_19"/>
      <w:r>
        <w:rPr>
          <w:b/>
          <w:color w:val="0B4F6C"/>
        </w:rPr>
        <w:t xml:space="preserve">10.1</w:t>
        <w:tab/>
      </w:r>
      <w:r>
        <w:t xml:space="preserve">Le gestionnaire des TI assure le suivi de l’application de la présente politique et signale les non-conformités importantes et les tendances à </w:t>
      </w:r>
      <w:r>
        <w:rPr>
          <w:b/>
          <w:highlight w:val="yellow"/>
        </w:rPr>
        <w:t xml:space="preserve">[DÉCISION : comité ou instance de gouvernance de la sécurité]</w:t>
      </w:r>
      <w:r>
        <w:t xml:space="preserve">.</w:t>
      </w:r>
      <w:bookmarkEnd w:id="26"/>
    </w:p>
    <w:p>
      <w:pPr>
        <w:tabs>
          <w:tab w:val="left" w:pos="680"/>
        </w:tabs>
        <w:ind w:left="680" w:hanging="680"/>
      </w:pPr>
      <w:bookmarkStart w:id="27" w:name="_crgs_POL_010_20"/>
      <w:r>
        <w:rPr>
          <w:b/>
          <w:color w:val="0B4F6C"/>
        </w:rPr>
        <w:t xml:space="preserve">10.2</w:t>
        <w:tab/>
      </w:r>
      <w:r>
        <w:t xml:space="preserve">Le non-respect peut entraîner le retrait des accès et des mesures administratives ou disciplinaires proportionnées à sa gravité, conformément aux règles d’emploi et aux contrats applicables.</w:t>
      </w:r>
      <w:bookmarkEnd w:id="27"/>
    </w:p>
    <w:p>
      <w:pPr>
        <w:pStyle w:val="Heading1"/>
      </w:pPr>
      <w:r>
        <w:t xml:space="preserve">11. Révision</w:t>
      </w:r>
    </w:p>
    <w:p>
      <w:pPr>
        <w:tabs>
          <w:tab w:val="left" w:pos="680"/>
        </w:tabs>
        <w:ind w:left="680" w:hanging="680"/>
      </w:pPr>
      <w:bookmarkStart w:id="28" w:name="_crgs_POL_010_21"/>
      <w:r>
        <w:rPr>
          <w:b/>
          <w:color w:val="0B4F6C"/>
        </w:rPr>
        <w:t xml:space="preserve">11.1</w:t>
        <w:tab/>
      </w:r>
      <w:r>
        <w:t xml:space="preserve">La présente politique est révisée </w:t>
      </w:r>
      <w:r>
        <w:rPr>
          <w:b/>
          <w:highlight w:val="yellow"/>
        </w:rPr>
        <w:t xml:space="preserve">[DÉCISION : cycle de révision des politiques]</w:t>
      </w:r>
      <w:r>
        <w:t xml:space="preserve"> et lors de tout changement important, notamment une nouvelle exigence légale, un incident majeur, un changement technologique ou organisationnel important ou une nouvelle utilisation de l’intelligence artificielle.</w:t>
      </w:r>
      <w:bookmarkEnd w:id="28"/>
    </w:p>
    <w:p>
      <w:r>
        <w:br w:type="page"/>
      </w:r>
    </w:p>
    <w:p>
      <w:pPr>
        <w:pStyle w:val="Heading1"/>
      </w:pPr>
      <w:r>
        <w:t xml:space="preserve">Annexe A — Décisions ouvertes</w:t>
      </w:r>
    </w:p>
    <w:tbl>
      <w:tblPr>
        <w:tblW w:w="9355" w:type="dxa"/>
        <w:jc w:val="center"/>
        <w:tblBorders>
          <w:top w:val="single" w:sz="4" w:space="0" w:color="A6B4BF"/>
          <w:left w:val="single" w:sz="4" w:space="0" w:color="A6B4BF"/>
          <w:bottom w:val="single" w:sz="4" w:space="0" w:color="A6B4BF"/>
          <w:right w:val="single" w:sz="4" w:space="0" w:color="A6B4BF"/>
          <w:insideH w:val="single" w:sz="4" w:space="0" w:color="A6B4BF"/>
          <w:insideV w:val="single" w:sz="4" w:space="0" w:color="A6B4BF"/>
        </w:tblBorders>
        <w:tblLayout w:type="fixed"/>
        <w:tblCellMar>
          <w:left w:w="80" w:type="dxa"/>
          <w:right w:w="80" w:type="dxa"/>
        </w:tblCellMar>
      </w:tblPr>
      <w:tblGrid>
        <w:gridCol w:w="510"/>
        <w:gridCol w:w="2041"/>
        <w:gridCol w:w="1474"/>
        <w:gridCol w:w="5329"/>
      </w:tblGrid>
      <w:tr>
        <w:trPr>
          <w:tblHeader/>
          <w:cantSplit/>
        </w:trPr>
        <w:tc>
          <w:tcPr>
            <w:tcW w:w="510" w:type="dxa"/>
            <w:shd w:val="clear" w:color="auto" w:fill="0B4F6C"/>
          </w:tcPr>
          <w:p>
            <w:pPr>
              <w:spacing w:after="0"/>
            </w:pPr>
            <w:r>
              <w:rPr>
                <w:b/>
                <w:color w:val="FFFFFF"/>
                <w:sz w:val="17"/>
                <w:szCs w:val="17"/>
              </w:rPr>
              <w:t xml:space="preserve">#</w:t>
            </w:r>
          </w:p>
        </w:tc>
        <w:tc>
          <w:tcPr>
            <w:tcW w:w="2041" w:type="dxa"/>
            <w:shd w:val="clear" w:color="auto" w:fill="0B4F6C"/>
          </w:tcPr>
          <w:p>
            <w:pPr>
              <w:spacing w:after="0"/>
            </w:pPr>
            <w:r>
              <w:rPr>
                <w:b/>
                <w:color w:val="FFFFFF"/>
                <w:sz w:val="17"/>
                <w:szCs w:val="17"/>
              </w:rPr>
              <w:t xml:space="preserve">Emplacement</w:t>
            </w:r>
          </w:p>
        </w:tc>
        <w:tc>
          <w:tcPr>
            <w:tcW w:w="1474" w:type="dxa"/>
            <w:shd w:val="clear" w:color="auto" w:fill="0B4F6C"/>
          </w:tcPr>
          <w:p>
            <w:pPr>
              <w:spacing w:after="0"/>
            </w:pPr>
            <w:r>
              <w:rPr>
                <w:b/>
                <w:color w:val="FFFFFF"/>
                <w:sz w:val="17"/>
                <w:szCs w:val="17"/>
              </w:rPr>
              <w:t xml:space="preserve">Type</w:t>
            </w:r>
          </w:p>
        </w:tc>
        <w:tc>
          <w:tcPr>
            <w:tcW w:w="5329" w:type="dxa"/>
            <w:shd w:val="clear" w:color="auto" w:fill="0B4F6C"/>
          </w:tcPr>
          <w:p>
            <w:pPr>
              <w:spacing w:after="0"/>
            </w:pPr>
            <w:r>
              <w:rPr>
                <w:b/>
                <w:color w:val="FFFFFF"/>
                <w:sz w:val="17"/>
                <w:szCs w:val="17"/>
              </w:rPr>
              <w:t xml:space="preserve">Décision ou information requise</w:t>
            </w:r>
          </w:p>
        </w:tc>
      </w:tr>
      <w:tr>
        <w:trPr>
          <w:cantSplit/>
        </w:trPr>
        <w:tc>
          <w:tcPr>
            <w:tcW w:w="510" w:type="dxa"/>
          </w:tcPr>
          <w:p>
            <w:pPr>
              <w:spacing w:after="0"/>
            </w:pPr>
            <w:r>
              <w:rPr>
                <w:sz w:val="17"/>
                <w:szCs w:val="17"/>
              </w:rPr>
              <w:t xml:space="preserve">1</w:t>
            </w:r>
          </w:p>
        </w:tc>
        <w:tc>
          <w:tcPr>
            <w:tcW w:w="2041" w:type="dxa"/>
          </w:tcPr>
          <w:p>
            <w:pPr>
              <w:spacing w:after="0"/>
            </w:pPr>
            <w:r>
              <w:rPr>
                <w:sz w:val="17"/>
                <w:szCs w:val="17"/>
              </w:rPr>
              <w:t xml:space="preserve">4.3 (POL-010.3)</w:t>
            </w:r>
          </w:p>
        </w:tc>
        <w:tc>
          <w:tcPr>
            <w:tcW w:w="1474" w:type="dxa"/>
          </w:tcPr>
          <w:p>
            <w:pPr>
              <w:spacing w:after="0"/>
            </w:pPr>
            <w:r>
              <w:rPr>
                <w:sz w:val="17"/>
                <w:szCs w:val="17"/>
              </w:rPr>
              <w:t xml:space="preserve">APPROBATEUR</w:t>
            </w:r>
          </w:p>
        </w:tc>
        <w:tc>
          <w:tcPr>
            <w:tcW w:w="5329" w:type="dxa"/>
          </w:tcPr>
          <w:p>
            <w:pPr>
              <w:spacing w:after="0"/>
            </w:pPr>
            <w:r>
              <w:rPr>
                <w:sz w:val="17"/>
                <w:szCs w:val="17"/>
              </w:rPr>
              <w:t xml:space="preserve">premier dirigeant</w:t>
            </w:r>
          </w:p>
        </w:tc>
      </w:tr>
      <w:tr>
        <w:trPr>
          <w:cantSplit/>
        </w:trPr>
        <w:tc>
          <w:tcPr>
            <w:tcW w:w="510" w:type="dxa"/>
          </w:tcPr>
          <w:p>
            <w:pPr>
              <w:spacing w:after="0"/>
            </w:pPr>
            <w:r>
              <w:rPr>
                <w:sz w:val="17"/>
                <w:szCs w:val="17"/>
              </w:rPr>
              <w:t xml:space="preserve">2</w:t>
            </w:r>
          </w:p>
        </w:tc>
        <w:tc>
          <w:tcPr>
            <w:tcW w:w="2041" w:type="dxa"/>
          </w:tcPr>
          <w:p>
            <w:pPr>
              <w:spacing w:after="0"/>
            </w:pPr>
            <w:r>
              <w:rPr>
                <w:sz w:val="17"/>
                <w:szCs w:val="17"/>
              </w:rPr>
              <w:t xml:space="preserve">4.4 (POL-010.4)</w:t>
            </w:r>
          </w:p>
        </w:tc>
        <w:tc>
          <w:tcPr>
            <w:tcW w:w="1474" w:type="dxa"/>
          </w:tcPr>
          <w:p>
            <w:pPr>
              <w:spacing w:after="0"/>
            </w:pPr>
            <w:r>
              <w:rPr>
                <w:sz w:val="17"/>
                <w:szCs w:val="17"/>
              </w:rPr>
              <w:t xml:space="preserve">RÔLE</w:t>
            </w:r>
          </w:p>
        </w:tc>
        <w:tc>
          <w:tcPr>
            <w:tcW w:w="5329" w:type="dxa"/>
          </w:tcPr>
          <w:p>
            <w:pPr>
              <w:spacing w:after="0"/>
            </w:pPr>
            <w:r>
              <w:rPr>
                <w:sz w:val="17"/>
                <w:szCs w:val="17"/>
              </w:rPr>
              <w:t xml:space="preserve">personne responsable de la protection des renseignements personnels</w:t>
            </w:r>
          </w:p>
        </w:tc>
      </w:tr>
      <w:tr>
        <w:trPr>
          <w:cantSplit/>
        </w:trPr>
        <w:tc>
          <w:tcPr>
            <w:tcW w:w="510" w:type="dxa"/>
          </w:tcPr>
          <w:p>
            <w:pPr>
              <w:spacing w:after="0"/>
            </w:pPr>
            <w:r>
              <w:rPr>
                <w:sz w:val="17"/>
                <w:szCs w:val="17"/>
              </w:rPr>
              <w:t xml:space="preserve">3</w:t>
            </w:r>
          </w:p>
        </w:tc>
        <w:tc>
          <w:tcPr>
            <w:tcW w:w="2041" w:type="dxa"/>
          </w:tcPr>
          <w:p>
            <w:pPr>
              <w:spacing w:after="0"/>
            </w:pPr>
            <w:r>
              <w:rPr>
                <w:sz w:val="17"/>
                <w:szCs w:val="17"/>
              </w:rPr>
              <w:t xml:space="preserve">5.1 (POL-010.5)</w:t>
            </w:r>
          </w:p>
        </w:tc>
        <w:tc>
          <w:tcPr>
            <w:tcW w:w="1474" w:type="dxa"/>
          </w:tcPr>
          <w:p>
            <w:pPr>
              <w:spacing w:after="0"/>
            </w:pPr>
            <w:r>
              <w:rPr>
                <w:sz w:val="17"/>
                <w:szCs w:val="17"/>
              </w:rPr>
              <w:t xml:space="preserve">DÉCISION</w:t>
            </w:r>
          </w:p>
        </w:tc>
        <w:tc>
          <w:tcPr>
            <w:tcW w:w="5329" w:type="dxa"/>
          </w:tcPr>
          <w:p>
            <w:pPr>
              <w:spacing w:after="0"/>
            </w:pPr>
            <w:r>
              <w:rPr>
                <w:sz w:val="17"/>
                <w:szCs w:val="17"/>
              </w:rPr>
              <w:t xml:space="preserve">délai de signalement interne</w:t>
            </w:r>
          </w:p>
        </w:tc>
      </w:tr>
      <w:tr>
        <w:trPr>
          <w:cantSplit/>
        </w:trPr>
        <w:tc>
          <w:tcPr>
            <w:tcW w:w="510" w:type="dxa"/>
          </w:tcPr>
          <w:p>
            <w:pPr>
              <w:spacing w:after="0"/>
            </w:pPr>
            <w:r>
              <w:rPr>
                <w:sz w:val="17"/>
                <w:szCs w:val="17"/>
              </w:rPr>
              <w:t xml:space="preserve">4</w:t>
            </w:r>
          </w:p>
        </w:tc>
        <w:tc>
          <w:tcPr>
            <w:tcW w:w="2041" w:type="dxa"/>
          </w:tcPr>
          <w:p>
            <w:pPr>
              <w:spacing w:after="0"/>
            </w:pPr>
            <w:r>
              <w:rPr>
                <w:sz w:val="17"/>
                <w:szCs w:val="17"/>
              </w:rPr>
              <w:t xml:space="preserve">6.1 (POL-010.7)</w:t>
            </w:r>
          </w:p>
        </w:tc>
        <w:tc>
          <w:tcPr>
            <w:tcW w:w="1474" w:type="dxa"/>
          </w:tcPr>
          <w:p>
            <w:pPr>
              <w:spacing w:after="0"/>
            </w:pPr>
            <w:r>
              <w:rPr>
                <w:sz w:val="17"/>
                <w:szCs w:val="17"/>
              </w:rPr>
              <w:t xml:space="preserve">DÉTAIL TECHNIQUE</w:t>
            </w:r>
          </w:p>
        </w:tc>
        <w:tc>
          <w:tcPr>
            <w:tcW w:w="5329" w:type="dxa"/>
          </w:tcPr>
          <w:p>
            <w:pPr>
              <w:spacing w:after="0"/>
            </w:pPr>
            <w:r>
              <w:rPr>
                <w:sz w:val="17"/>
                <w:szCs w:val="17"/>
              </w:rPr>
              <w:t xml:space="preserve">échelle et critères de gravité</w:t>
            </w:r>
          </w:p>
        </w:tc>
      </w:tr>
      <w:tr>
        <w:trPr>
          <w:cantSplit/>
        </w:trPr>
        <w:tc>
          <w:tcPr>
            <w:tcW w:w="510" w:type="dxa"/>
          </w:tcPr>
          <w:p>
            <w:pPr>
              <w:spacing w:after="0"/>
            </w:pPr>
            <w:r>
              <w:rPr>
                <w:sz w:val="17"/>
                <w:szCs w:val="17"/>
              </w:rPr>
              <w:t xml:space="preserve">5</w:t>
            </w:r>
          </w:p>
        </w:tc>
        <w:tc>
          <w:tcPr>
            <w:tcW w:w="2041" w:type="dxa"/>
          </w:tcPr>
          <w:p>
            <w:pPr>
              <w:spacing w:after="0"/>
            </w:pPr>
            <w:r>
              <w:rPr>
                <w:sz w:val="17"/>
                <w:szCs w:val="17"/>
              </w:rPr>
              <w:t xml:space="preserve">6.2 (POL-010.8)</w:t>
            </w:r>
          </w:p>
        </w:tc>
        <w:tc>
          <w:tcPr>
            <w:tcW w:w="1474" w:type="dxa"/>
          </w:tcPr>
          <w:p>
            <w:pPr>
              <w:spacing w:after="0"/>
            </w:pPr>
            <w:r>
              <w:rPr>
                <w:sz w:val="17"/>
                <w:szCs w:val="17"/>
              </w:rPr>
              <w:t xml:space="preserve">DÉCISION</w:t>
            </w:r>
          </w:p>
        </w:tc>
        <w:tc>
          <w:tcPr>
            <w:tcW w:w="5329" w:type="dxa"/>
          </w:tcPr>
          <w:p>
            <w:pPr>
              <w:spacing w:after="0"/>
            </w:pPr>
            <w:r>
              <w:rPr>
                <w:sz w:val="17"/>
                <w:szCs w:val="17"/>
              </w:rPr>
              <w:t xml:space="preserve">Désigner qui peut isoler des systèmes ou suspendre des services pendant un incident.</w:t>
            </w:r>
          </w:p>
        </w:tc>
      </w:tr>
      <w:tr>
        <w:trPr>
          <w:cantSplit/>
        </w:trPr>
        <w:tc>
          <w:tcPr>
            <w:tcW w:w="510" w:type="dxa"/>
          </w:tcPr>
          <w:p>
            <w:pPr>
              <w:spacing w:after="0"/>
            </w:pPr>
            <w:r>
              <w:rPr>
                <w:sz w:val="17"/>
                <w:szCs w:val="17"/>
              </w:rPr>
              <w:t xml:space="preserve">6</w:t>
            </w:r>
          </w:p>
        </w:tc>
        <w:tc>
          <w:tcPr>
            <w:tcW w:w="2041" w:type="dxa"/>
          </w:tcPr>
          <w:p>
            <w:pPr>
              <w:spacing w:after="0"/>
            </w:pPr>
            <w:r>
              <w:rPr>
                <w:sz w:val="17"/>
                <w:szCs w:val="17"/>
              </w:rPr>
              <w:t xml:space="preserve">6.5 (POL-010.11)</w:t>
            </w:r>
          </w:p>
        </w:tc>
        <w:tc>
          <w:tcPr>
            <w:tcW w:w="1474" w:type="dxa"/>
          </w:tcPr>
          <w:p>
            <w:pPr>
              <w:spacing w:after="0"/>
            </w:pPr>
            <w:r>
              <w:rPr>
                <w:sz w:val="17"/>
                <w:szCs w:val="17"/>
              </w:rPr>
              <w:t xml:space="preserve">APPROBATEUR</w:t>
            </w:r>
          </w:p>
        </w:tc>
        <w:tc>
          <w:tcPr>
            <w:tcW w:w="5329" w:type="dxa"/>
          </w:tcPr>
          <w:p>
            <w:pPr>
              <w:spacing w:after="0"/>
            </w:pPr>
            <w:r>
              <w:rPr>
                <w:sz w:val="17"/>
                <w:szCs w:val="17"/>
              </w:rPr>
              <w:t xml:space="preserve">autorité pour les décisions d’extorsion</w:t>
            </w:r>
          </w:p>
        </w:tc>
      </w:tr>
      <w:tr>
        <w:trPr>
          <w:cantSplit/>
        </w:trPr>
        <w:tc>
          <w:tcPr>
            <w:tcW w:w="510" w:type="dxa"/>
          </w:tcPr>
          <w:p>
            <w:pPr>
              <w:spacing w:after="0"/>
            </w:pPr>
            <w:r>
              <w:rPr>
                <w:sz w:val="17"/>
                <w:szCs w:val="17"/>
              </w:rPr>
              <w:t xml:space="preserve">7</w:t>
            </w:r>
          </w:p>
        </w:tc>
        <w:tc>
          <w:tcPr>
            <w:tcW w:w="2041" w:type="dxa"/>
          </w:tcPr>
          <w:p>
            <w:pPr>
              <w:spacing w:after="0"/>
            </w:pPr>
            <w:r>
              <w:rPr>
                <w:sz w:val="17"/>
                <w:szCs w:val="17"/>
              </w:rPr>
              <w:t xml:space="preserve">7.1 (POL-010.12)</w:t>
            </w:r>
          </w:p>
        </w:tc>
        <w:tc>
          <w:tcPr>
            <w:tcW w:w="1474" w:type="dxa"/>
          </w:tcPr>
          <w:p>
            <w:pPr>
              <w:spacing w:after="0"/>
            </w:pPr>
            <w:r>
              <w:rPr>
                <w:sz w:val="17"/>
                <w:szCs w:val="17"/>
              </w:rPr>
              <w:t xml:space="preserve">RÔLE</w:t>
            </w:r>
          </w:p>
        </w:tc>
        <w:tc>
          <w:tcPr>
            <w:tcW w:w="5329" w:type="dxa"/>
          </w:tcPr>
          <w:p>
            <w:pPr>
              <w:spacing w:after="0"/>
            </w:pPr>
            <w:r>
              <w:rPr>
                <w:sz w:val="17"/>
                <w:szCs w:val="17"/>
              </w:rPr>
              <w:t xml:space="preserve">personne responsable de la protection des renseignements personnels</w:t>
            </w:r>
          </w:p>
        </w:tc>
      </w:tr>
      <w:tr>
        <w:trPr>
          <w:cantSplit/>
        </w:trPr>
        <w:tc>
          <w:tcPr>
            <w:tcW w:w="510" w:type="dxa"/>
          </w:tcPr>
          <w:p>
            <w:pPr>
              <w:spacing w:after="0"/>
            </w:pPr>
            <w:r>
              <w:rPr>
                <w:sz w:val="17"/>
                <w:szCs w:val="17"/>
              </w:rPr>
              <w:t xml:space="preserve">8</w:t>
            </w:r>
          </w:p>
        </w:tc>
        <w:tc>
          <w:tcPr>
            <w:tcW w:w="2041" w:type="dxa"/>
          </w:tcPr>
          <w:p>
            <w:pPr>
              <w:spacing w:after="0"/>
            </w:pPr>
            <w:r>
              <w:rPr>
                <w:sz w:val="17"/>
                <w:szCs w:val="17"/>
              </w:rPr>
              <w:t xml:space="preserve">7.3 (POL-010.14)</w:t>
            </w:r>
          </w:p>
        </w:tc>
        <w:tc>
          <w:tcPr>
            <w:tcW w:w="1474" w:type="dxa"/>
          </w:tcPr>
          <w:p>
            <w:pPr>
              <w:spacing w:after="0"/>
            </w:pPr>
            <w:r>
              <w:rPr>
                <w:sz w:val="17"/>
                <w:szCs w:val="17"/>
              </w:rPr>
              <w:t xml:space="preserve">SOURCE</w:t>
            </w:r>
          </w:p>
        </w:tc>
        <w:tc>
          <w:tcPr>
            <w:tcW w:w="5329" w:type="dxa"/>
          </w:tcPr>
          <w:p>
            <w:pPr>
              <w:spacing w:after="0"/>
            </w:pPr>
            <w:r>
              <w:rPr>
                <w:sz w:val="17"/>
                <w:szCs w:val="17"/>
              </w:rPr>
              <w:t xml:space="preserve">exigences de notification confirmées par la révision juridique</w:t>
            </w:r>
          </w:p>
        </w:tc>
      </w:tr>
      <w:tr>
        <w:trPr>
          <w:cantSplit/>
        </w:trPr>
        <w:tc>
          <w:tcPr>
            <w:tcW w:w="510" w:type="dxa"/>
          </w:tcPr>
          <w:p>
            <w:pPr>
              <w:spacing w:after="0"/>
            </w:pPr>
            <w:r>
              <w:rPr>
                <w:sz w:val="17"/>
                <w:szCs w:val="17"/>
              </w:rPr>
              <w:t xml:space="preserve">9</w:t>
            </w:r>
          </w:p>
        </w:tc>
        <w:tc>
          <w:tcPr>
            <w:tcW w:w="2041" w:type="dxa"/>
          </w:tcPr>
          <w:p>
            <w:pPr>
              <w:spacing w:after="0"/>
            </w:pPr>
            <w:r>
              <w:rPr>
                <w:sz w:val="17"/>
                <w:szCs w:val="17"/>
              </w:rPr>
              <w:t xml:space="preserve">8.2 (POL-010.16)</w:t>
            </w:r>
          </w:p>
        </w:tc>
        <w:tc>
          <w:tcPr>
            <w:tcW w:w="1474" w:type="dxa"/>
          </w:tcPr>
          <w:p>
            <w:pPr>
              <w:spacing w:after="0"/>
            </w:pPr>
            <w:r>
              <w:rPr>
                <w:sz w:val="17"/>
                <w:szCs w:val="17"/>
              </w:rPr>
              <w:t xml:space="preserve">DÉCISION</w:t>
            </w:r>
          </w:p>
        </w:tc>
        <w:tc>
          <w:tcPr>
            <w:tcW w:w="5329" w:type="dxa"/>
          </w:tcPr>
          <w:p>
            <w:pPr>
              <w:spacing w:after="0"/>
            </w:pPr>
            <w:r>
              <w:rPr>
                <w:sz w:val="17"/>
                <w:szCs w:val="17"/>
              </w:rPr>
              <w:t xml:space="preserve">fréquence des exercices</w:t>
            </w:r>
          </w:p>
        </w:tc>
      </w:tr>
      <w:tr>
        <w:trPr>
          <w:cantSplit/>
        </w:trPr>
        <w:tc>
          <w:tcPr>
            <w:tcW w:w="510" w:type="dxa"/>
          </w:tcPr>
          <w:p>
            <w:pPr>
              <w:spacing w:after="0"/>
            </w:pPr>
            <w:r>
              <w:rPr>
                <w:sz w:val="17"/>
                <w:szCs w:val="17"/>
              </w:rPr>
              <w:t xml:space="preserve">10</w:t>
            </w:r>
          </w:p>
        </w:tc>
        <w:tc>
          <w:tcPr>
            <w:tcW w:w="2041" w:type="dxa"/>
          </w:tcPr>
          <w:p>
            <w:pPr>
              <w:spacing w:after="0"/>
            </w:pPr>
            <w:r>
              <w:rPr>
                <w:sz w:val="17"/>
                <w:szCs w:val="17"/>
              </w:rPr>
              <w:t xml:space="preserve">10.1 (POL-010.19)</w:t>
            </w:r>
          </w:p>
        </w:tc>
        <w:tc>
          <w:tcPr>
            <w:tcW w:w="1474" w:type="dxa"/>
          </w:tcPr>
          <w:p>
            <w:pPr>
              <w:spacing w:after="0"/>
            </w:pPr>
            <w:r>
              <w:rPr>
                <w:sz w:val="17"/>
                <w:szCs w:val="17"/>
              </w:rPr>
              <w:t xml:space="preserve">DÉCISION</w:t>
            </w:r>
          </w:p>
        </w:tc>
        <w:tc>
          <w:tcPr>
            <w:tcW w:w="5329" w:type="dxa"/>
          </w:tcPr>
          <w:p>
            <w:pPr>
              <w:spacing w:after="0"/>
            </w:pPr>
            <w:r>
              <w:rPr>
                <w:sz w:val="17"/>
                <w:szCs w:val="17"/>
              </w:rPr>
              <w:t xml:space="preserve">comité ou instance de gouvernance de la sécurité</w:t>
            </w:r>
          </w:p>
        </w:tc>
      </w:tr>
      <w:tr>
        <w:trPr>
          <w:cantSplit/>
        </w:trPr>
        <w:tc>
          <w:tcPr>
            <w:tcW w:w="510" w:type="dxa"/>
          </w:tcPr>
          <w:p>
            <w:pPr>
              <w:spacing w:after="0"/>
            </w:pPr>
            <w:r>
              <w:rPr>
                <w:sz w:val="17"/>
                <w:szCs w:val="17"/>
              </w:rPr>
              <w:t xml:space="preserve">11</w:t>
            </w:r>
          </w:p>
        </w:tc>
        <w:tc>
          <w:tcPr>
            <w:tcW w:w="2041" w:type="dxa"/>
          </w:tcPr>
          <w:p>
            <w:pPr>
              <w:spacing w:after="0"/>
            </w:pPr>
            <w:r>
              <w:rPr>
                <w:sz w:val="17"/>
                <w:szCs w:val="17"/>
              </w:rPr>
              <w:t xml:space="preserve">11.1 (POL-010.21)</w:t>
            </w:r>
          </w:p>
        </w:tc>
        <w:tc>
          <w:tcPr>
            <w:tcW w:w="1474" w:type="dxa"/>
          </w:tcPr>
          <w:p>
            <w:pPr>
              <w:spacing w:after="0"/>
            </w:pPr>
            <w:r>
              <w:rPr>
                <w:sz w:val="17"/>
                <w:szCs w:val="17"/>
              </w:rPr>
              <w:t xml:space="preserve">DÉCISION</w:t>
            </w:r>
          </w:p>
        </w:tc>
        <w:tc>
          <w:tcPr>
            <w:tcW w:w="5329" w:type="dxa"/>
          </w:tcPr>
          <w:p>
            <w:pPr>
              <w:spacing w:after="0"/>
            </w:pPr>
            <w:r>
              <w:rPr>
                <w:sz w:val="17"/>
                <w:szCs w:val="17"/>
              </w:rPr>
              <w:t xml:space="preserve">cycle de révision des politiques</w:t>
            </w:r>
          </w:p>
        </w:tc>
      </w:tr>
    </w:tbl>
    <w:p>
      <w:pPr>
        <w:spacing w:after="40"/>
      </w:pPr>
      <w:r/>
    </w:p>
    <w:p>
      <w:pPr>
        <w:pStyle w:val="Heading1"/>
      </w:pPr>
      <w:r>
        <w:t xml:space="preserve">Annexe B — Énoncés et traçabilité</w:t>
      </w:r>
    </w:p>
    <w:tbl>
      <w:tblPr>
        <w:tblW w:w="9355" w:type="dxa"/>
        <w:jc w:val="center"/>
        <w:tblBorders>
          <w:top w:val="single" w:sz="4" w:space="0" w:color="A6B4BF"/>
          <w:left w:val="single" w:sz="4" w:space="0" w:color="A6B4BF"/>
          <w:bottom w:val="single" w:sz="4" w:space="0" w:color="A6B4BF"/>
          <w:right w:val="single" w:sz="4" w:space="0" w:color="A6B4BF"/>
          <w:insideH w:val="single" w:sz="4" w:space="0" w:color="A6B4BF"/>
          <w:insideV w:val="single" w:sz="4" w:space="0" w:color="A6B4BF"/>
        </w:tblBorders>
        <w:tblLayout w:type="fixed"/>
        <w:tblCellMar>
          <w:left w:w="80" w:type="dxa"/>
          <w:right w:w="80" w:type="dxa"/>
        </w:tblCellMar>
      </w:tblPr>
      <w:tblGrid>
        <w:gridCol w:w="1871"/>
        <w:gridCol w:w="1077"/>
        <w:gridCol w:w="2041"/>
        <w:gridCol w:w="2381"/>
        <w:gridCol w:w="1984"/>
      </w:tblGrid>
      <w:tr>
        <w:trPr>
          <w:tblHeader/>
          <w:cantSplit/>
        </w:trPr>
        <w:tc>
          <w:tcPr>
            <w:tcW w:w="1871" w:type="dxa"/>
            <w:shd w:val="clear" w:color="auto" w:fill="0B4F6C"/>
          </w:tcPr>
          <w:p>
            <w:pPr>
              <w:spacing w:after="0"/>
            </w:pPr>
            <w:r>
              <w:rPr>
                <w:b/>
                <w:color w:val="FFFFFF"/>
                <w:sz w:val="16"/>
                <w:szCs w:val="16"/>
              </w:rPr>
              <w:t xml:space="preserve">Énoncé</w:t>
            </w:r>
          </w:p>
        </w:tc>
        <w:tc>
          <w:tcPr>
            <w:tcW w:w="1077" w:type="dxa"/>
            <w:shd w:val="clear" w:color="auto" w:fill="0B4F6C"/>
          </w:tcPr>
          <w:p>
            <w:pPr>
              <w:spacing w:after="0"/>
            </w:pPr>
            <w:r>
              <w:rPr>
                <w:b/>
                <w:color w:val="FFFFFF"/>
                <w:sz w:val="16"/>
                <w:szCs w:val="16"/>
              </w:rPr>
              <w:t xml:space="preserve">Modalité</w:t>
            </w:r>
          </w:p>
        </w:tc>
        <w:tc>
          <w:tcPr>
            <w:tcW w:w="2041" w:type="dxa"/>
            <w:shd w:val="clear" w:color="auto" w:fill="0B4F6C"/>
          </w:tcPr>
          <w:p>
            <w:pPr>
              <w:spacing w:after="0"/>
            </w:pPr>
            <w:r>
              <w:rPr>
                <w:b/>
                <w:color w:val="FFFFFF"/>
                <w:sz w:val="16"/>
                <w:szCs w:val="16"/>
              </w:rPr>
              <w:t xml:space="preserve">Fondement</w:t>
            </w:r>
          </w:p>
        </w:tc>
        <w:tc>
          <w:tcPr>
            <w:tcW w:w="2381" w:type="dxa"/>
            <w:shd w:val="clear" w:color="auto" w:fill="0B4F6C"/>
          </w:tcPr>
          <w:p>
            <w:pPr>
              <w:spacing w:after="0"/>
            </w:pPr>
            <w:r>
              <w:rPr>
                <w:b/>
                <w:color w:val="FFFFFF"/>
                <w:sz w:val="16"/>
                <w:szCs w:val="16"/>
              </w:rPr>
              <w:t xml:space="preserve">Mesures (CRGO)</w:t>
            </w:r>
          </w:p>
        </w:tc>
        <w:tc>
          <w:tcPr>
            <w:tcW w:w="1984" w:type="dxa"/>
            <w:shd w:val="clear" w:color="auto" w:fill="0B4F6C"/>
          </w:tcPr>
          <w:p>
            <w:pPr>
              <w:spacing w:after="0"/>
            </w:pPr>
            <w:r>
              <w:rPr>
                <w:b/>
                <w:color w:val="FFFFFF"/>
                <w:sz w:val="16"/>
                <w:szCs w:val="16"/>
              </w:rPr>
              <w:t xml:space="preserve">Révision</w:t>
            </w:r>
          </w:p>
        </w:tc>
      </w:tr>
      <w:tr>
        <w:trPr>
          <w:cantSplit/>
        </w:trPr>
        <w:tc>
          <w:tcPr>
            <w:tcW w:w="1871" w:type="dxa"/>
          </w:tcPr>
          <w:p>
            <w:pPr>
              <w:spacing w:after="0"/>
            </w:pPr>
            <w:r>
              <w:rPr>
                <w:sz w:val="16"/>
                <w:szCs w:val="16"/>
              </w:rPr>
              <w:t xml:space="preserve">4.1 · POL-010.1</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4.2 · POL-010.2</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4.3 · POL-010.3</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4.4 · POL-010.4</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5.1 · POL-010.5</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ISO22:6.8, CSF2:RS.MA</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5.2 · POL-010.6</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ISO22:5.20</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6.1 · POL-010.7</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ISO22:5.25, CSF2:RS.AN</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6.2 · POL-010.8</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ISO22:5.26, CSF2:RS.MI</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6.3 · POL-010.9</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ISO22:5.26, ISO22:5.28</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6.4 · POL-010.10</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6.5 · POL-010.11</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7.1 · POL-010.12</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ISO22:5.26, CSF2:RS.CO</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7.2 · POL-010.13</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7.3 · POL-010.14</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8.1 · POL-010.15</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ISO22:5.27, CSF2:ID.IM</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8.2 · POL-010.16</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ISO22:5.24</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9.1 · POL-010.17</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ISO22:5.36, CSF2:GV.RM</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9.2 · POL-010.18</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10.1 · POL-010.19</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ISO22:5.36, CSF2:GV.OV</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10.2 · POL-010.20</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ISO22:6.4</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11.1 · POL-010.21</w:t>
            </w:r>
          </w:p>
        </w:tc>
        <w:tc>
          <w:tcPr>
            <w:tcW w:w="1077" w:type="dxa"/>
          </w:tcPr>
          <w:p>
            <w:pPr>
              <w:spacing w:after="0"/>
            </w:pPr>
            <w:r>
              <w:rPr>
                <w:sz w:val="16"/>
                <w:szCs w:val="16"/>
              </w:rPr>
              <w:t xml:space="preserve">Doit</w:t>
            </w:r>
          </w:p>
        </w:tc>
        <w:tc>
          <w:tcPr>
            <w:tcW w:w="2041" w:type="dxa"/>
          </w:tcPr>
          <w:p>
            <w:pPr>
              <w:spacing w:after="0"/>
            </w:pPr>
            <w:r>
              <w:rPr>
                <w:sz w:val="16"/>
                <w:szCs w:val="16"/>
              </w:rPr>
              <w:t xml:space="preserve">Rédigé dans la gestion des PSI</w:t>
            </w:r>
          </w:p>
        </w:tc>
        <w:tc>
          <w:tcPr>
            <w:tcW w:w="2381" w:type="dxa"/>
          </w:tcPr>
          <w:p>
            <w:pPr>
              <w:spacing w:after="0"/>
            </w:pPr>
            <w:r>
              <w:rPr>
                <w:sz w:val="16"/>
                <w:szCs w:val="16"/>
              </w:rPr>
              <w:t xml:space="preserve">ISO22:5.1, CSF2:GV.PO-02</w:t>
            </w:r>
          </w:p>
        </w:tc>
        <w:tc>
          <w:tcPr>
            <w:tcW w:w="1984" w:type="dxa"/>
          </w:tcPr>
          <w:p>
            <w:pPr>
              <w:spacing w:after="0"/>
            </w:pPr>
            <w:r>
              <w:rPr>
                <w:sz w:val="16"/>
                <w:szCs w:val="16"/>
              </w:rPr>
              <w:t xml:space="preserve">—</w:t>
            </w:r>
          </w:p>
        </w:tc>
      </w:tr>
    </w:tbl>
    <w:p>
      <w:pPr>
        <w:spacing w:after="40"/>
      </w:pPr>
      <w:r/>
    </w:p>
    <w:sectPr>
      <w:headerReference w:type="default" r:id="rIdH"/>
      <w:footerReference w:type="default" r:id="rIdF"/>
      <w:pgSz w:w="12240" w:h="15840"/>
      <w:pgMar w:top="1247" w:right="1304" w:bottom="1134" w:left="1304" w:header="708" w:footer="708" w:gutter="0"/>
    </w:sectPr>
  </w:body>
</w:document>
</file>

<file path=word/footer1.xml><?xml version="1.0" encoding="utf-8"?>
<w:ftr xmlns:w="http://schemas.openxmlformats.org/wordprocessingml/2006/main">
  <w:p>
    <w:pPr>
      <w:tabs>
        <w:tab w:val="right" w:pos="9582"/>
      </w:tabs>
    </w:pPr>
    <w:r>
      <w:rPr>
        <w:color w:val="5F6B76"/>
        <w:sz w:val="17"/>
        <w:szCs w:val="17"/>
      </w:rPr>
      <w:t xml:space="preserve">Classification: Interne · Version 0.1</w:t>
      <w:tab/>
      <w:t xml:space="preserve">Page </w:t>
    </w:r>
    <w:r>
      <w:rPr>
        <w:color w:val="5F6B76"/>
        <w:sz w:val="17"/>
        <w:szCs w:val="17"/>
      </w:rPr>
      <w:fldChar w:fldCharType="begin"/>
    </w:r>
    <w:r>
      <w:rPr>
        <w:color w:val="5F6B76"/>
        <w:sz w:val="17"/>
        <w:szCs w:val="17"/>
      </w:rPr>
      <w:instrText xml:space="preserve"> PAGE </w:instrText>
    </w:r>
    <w:r>
      <w:rPr>
        <w:color w:val="5F6B76"/>
        <w:sz w:val="17"/>
        <w:szCs w:val="17"/>
      </w:rPr>
      <w:fldChar w:fldCharType="separate"/>
    </w:r>
    <w:r>
      <w:rPr>
        <w:color w:val="5F6B76"/>
        <w:sz w:val="17"/>
        <w:szCs w:val="17"/>
      </w:rPr>
      <w:t xml:space="preserve">1</w:t>
    </w:r>
    <w:r>
      <w:rPr>
        <w:color w:val="5F6B76"/>
        <w:sz w:val="17"/>
        <w:szCs w:val="17"/>
      </w:rPr>
      <w:fldChar w:fldCharType="end"/>
    </w:r>
    <w:r>
      <w:rPr>
        <w:color w:val="5F6B76"/>
        <w:sz w:val="17"/>
        <w:szCs w:val="17"/>
      </w:rPr>
      <w:t xml:space="preserve"> de </w:t>
    </w:r>
    <w:r>
      <w:rPr>
        <w:color w:val="5F6B76"/>
        <w:sz w:val="17"/>
        <w:szCs w:val="17"/>
      </w:rPr>
      <w:fldChar w:fldCharType="begin"/>
    </w:r>
    <w:r>
      <w:rPr>
        <w:color w:val="5F6B76"/>
        <w:sz w:val="17"/>
        <w:szCs w:val="17"/>
      </w:rPr>
      <w:instrText xml:space="preserve"> NUMPAGES </w:instrText>
    </w:r>
    <w:r>
      <w:rPr>
        <w:color w:val="5F6B76"/>
        <w:sz w:val="17"/>
        <w:szCs w:val="17"/>
      </w:rPr>
      <w:fldChar w:fldCharType="separate"/>
    </w:r>
    <w:r>
      <w:rPr>
        <w:color w:val="5F6B76"/>
        <w:sz w:val="17"/>
        <w:szCs w:val="17"/>
      </w:rPr>
      <w:t xml:space="preserve">1</w:t>
    </w:r>
    <w:r>
      <w:rPr>
        <w:color w:val="5F6B76"/>
        <w:sz w:val="17"/>
        <w:szCs w:val="17"/>
      </w:rPr>
      <w:fldChar w:fldCharType="end"/>
    </w:r>
  </w:p>
</w:ftr>
</file>

<file path=word/header1.xml><?xml version="1.0" encoding="utf-8"?>
<w:hdr xmlns:w="http://schemas.openxmlformats.org/wordprocessingml/2006/main">
  <w:p>
    <w:pPr>
      <w:tabs>
        <w:tab w:val="right" w:pos="9582"/>
      </w:tabs>
    </w:pPr>
    <w:r>
      <w:rPr>
        <w:color w:val="5F6B76"/>
        <w:sz w:val="17"/>
        <w:szCs w:val="17"/>
      </w:rPr>
      <w:t xml:space="preserve">Northstar Digital Services (fictional) — NOR-POL-IRP-001</w:t>
    </w:r>
    <w:r>
      <w:tab/>
    </w:r>
    <w:r>
      <w:rPr>
        <w:b/>
        <w:color w:val="B42318"/>
        <w:sz w:val="17"/>
        <w:szCs w:val="17"/>
      </w:rPr>
      <w:t xml:space="preserve">ÉBAUCHE — NON APPROUVÉE</w:t>
    </w:r>
  </w:p>
</w:hdr>
</file>

<file path=word/numbering.xml><?xml version="1.0" encoding="utf-8"?>
<w:numbering xmlns:w="http://schemas.openxmlformats.org/wordprocessingml/2006/main">
  <w:abstractNum w:abstractNumId="0">
    <w:multiLevelType w:val="singleLevel"/>
    <w:lvl w:ilvl="0">
      <w:start w:val="1"/>
      <w:numFmt w:val="bullet"/>
      <w:lvlText w:val="•"/>
      <w:lvlJc w:val="left"/>
      <w:pPr>
        <w:ind w:left="720" w:hanging="360"/>
      </w:pPr>
    </w:lvl>
  </w:abstractNum>
  <w:num w:numId="1">
    <w:abstractNumId w:val="0"/>
  </w:num>
</w:numbering>
</file>

<file path=word/settings.xml><?xml version="1.0" encoding="utf-8"?>
<w:settings xmlns:w="http://schemas.openxmlformats.org/wordprocessingml/2006/main">
  <w:zoom w:percent="100"/>
  <w:updateFields w:val="true"/>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eastAsia="Calibri" w:cs="Calibri"/>
        <w:sz w:val="21"/>
        <w:szCs w:val="21"/>
        <w:lang w:val="fr-CA"/>
      </w:rPr>
    </w:rPrDefault>
    <w:pPrDefault>
      <w:pPr>
        <w:spacing w:after="100" w:line="269" w:lineRule="auto"/>
      </w:pPr>
    </w:pPrDefault>
  </w:docDefaults>
  <w:style w:type="paragraph" w:default="1" w:styleId="Normal">
    <w:name w:val="Normal"/>
    <w:qFormat/>
    <w:rPr>
      <w:rFonts w:ascii="Calibri" w:hAnsi="Calibri" w:eastAsia="Calibri" w:cs="Calibri"/>
      <w:color w:val="1F2A37"/>
      <w:sz w:val="21"/>
    </w:rPr>
  </w:style>
  <w:style w:type="paragraph" w:styleId="Title">
    <w:name w:val="Title"/>
    <w:basedOn w:val="Normal"/>
    <w:next w:val="Normal"/>
    <w:uiPriority w:val="10"/>
    <w:qFormat/>
    <w:pPr>
      <w:keepNext/>
      <w:spacing w:before="0" w:after="120"/>
    </w:pPr>
    <w:rPr>
      <w:rFonts w:ascii="Calibri" w:hAnsi="Calibri" w:eastAsia="Calibri" w:cs="Calibri"/>
      <w:b/>
      <w:color w:val="1F2A37"/>
      <w:sz w:val="44"/>
    </w:rPr>
  </w:style>
  <w:style w:type="paragraph" w:styleId="Heading1">
    <w:name w:val="heading 1"/>
    <w:basedOn w:val="Normal"/>
    <w:next w:val="Normal"/>
    <w:uiPriority w:val="9"/>
    <w:qFormat/>
    <w:pPr>
      <w:keepNext/>
      <w:spacing w:before="320" w:after="120"/>
      <w:outlineLvl w:val="0"/>
    </w:pPr>
    <w:rPr>
      <w:rFonts w:ascii="Calibri" w:hAnsi="Calibri" w:eastAsia="Calibri" w:cs="Calibri"/>
      <w:b/>
      <w:color w:val="0B4F6C"/>
      <w:sz w:val="28"/>
    </w:rPr>
  </w:style>
  <w:style w:type="paragraph" w:styleId="Heading2">
    <w:name w:val="heading 2"/>
    <w:basedOn w:val="Normal"/>
    <w:next w:val="Normal"/>
    <w:uiPriority w:val="9"/>
    <w:qFormat/>
    <w:pPr>
      <w:keepNext/>
      <w:spacing w:before="200" w:after="120"/>
      <w:outlineLvl w:val="1"/>
    </w:pPr>
    <w:rPr>
      <w:rFonts w:ascii="Calibri" w:hAnsi="Calibri" w:eastAsia="Calibri" w:cs="Calibri"/>
      <w:b/>
      <w:color w:val="0B4F6C"/>
      <w:sz w:val="24"/>
    </w:rPr>
  </w:style>
  <w:style w:type="paragraph" w:styleId="ListBullet">
    <w:name w:val="List Bullet"/>
    <w:basedOn w:val="Normal"/>
    <w:pPr>
      <w:numPr>
        <w:ilvl w:val="0"/>
        <w:numId w:val="1"/>
      </w:numPr>
    </w:pPr>
  </w:style>
  <w:style w:type="paragraph" w:styleId="TOC1">
    <w:name w:val="toc 1"/>
    <w:basedOn w:val="Normal"/>
    <w:next w:val="Normal"/>
    <w:uiPriority w:val="39"/>
    <w:pPr>
      <w:spacing w:after="60"/>
    </w:pPr>
  </w:style>
  <w:style w:type="character" w:default="1" w:styleId="DefaultParagraphFont">
    <w:name w:val="Default Paragraph Font"/>
    <w:uiPriority w:val="1"/>
  </w:style>
  <w:style w:type="table" w:default="1" w:styleId="TableNormal">
    <w:name w:val="Normal Table"/>
    <w:tblPr>
      <w:tblInd w:w="0" w:type="dxa"/>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S" Type="http://schemas.openxmlformats.org/officeDocument/2006/relationships/styles" Target="styles.xml"/><Relationship Id="rIdT" Type="http://schemas.openxmlformats.org/officeDocument/2006/relationships/settings" Target="settings.xml"/><Relationship Id="rIdN" Type="http://schemas.openxmlformats.org/officeDocument/2006/relationships/numbering" Target="numbering.xml"/><Relationship Id="rIdH" Type="http://schemas.openxmlformats.org/officeDocument/2006/relationships/header" Target="header1.xml"/><Relationship Id="rIdF" Type="http://schemas.openxmlformats.org/officeDocument/2006/relationships/footer" Target="footer1.xml"/></Relationships>
</file>

<file path=docProps/app.xml><?xml version="1.0" encoding="utf-8"?>
<Properties xmlns="http://schemas.openxmlformats.org/officeDocument/2006/extended-properties">
  <Application>CyberRiskGuardian</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Politique de gestion des incidents de sécurité</dc:title>
  <dc:subject>NOR-POL-IRP-001</dc:subject>
  <dc:creator>CyberRiskGuardian</dc:creator>
  <cp:keywords>isp=POL-010; writer=IR; library=2026.10-2</cp:keywords>
  <dc:description>Ébauche produite avec un logiciel d’aide à la décision (CyberRiskGuardian Security Policy Writer). Elle ne constitue pas un avis juridique et n’est pas en vigueur tant qu’elle n’a pas été approuvée et publiée dans la gestion des PSI par les personnes</dc:description>
  <dc:identifier>crg-isp|sample|POL-010|v0.1|fr|draft|7eb2dbaec7bf9853</dc:identifier>
  <dc:language>fr-CA</dc:language>
  <cp:category>Politique de sécurité de l’information — ÉBAUCHE</cp:category>
  <cp:version>0.1</cp:version>
  <cp:lastModifiedBy>CyberRiskGuardian</cp:lastModifiedBy>
  <dcterms:created xsi:type="dcterms:W3CDTF">2026-10-19T20:35:40Z</dcterms:created>
  <dcterms:modified xsi:type="dcterms:W3CDTF">2026-10-19T20:35:40Z</dcterms:modified>
</cp:coreProperties>
</file>