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Security Incident Response Procedure</w:t>
      </w:r>
    </w:p>
    <w:p>
      <w:r>
        <w:rPr>
          <w:color w:val="5F6B76"/>
          <w:sz w:val="22"/>
          <w:szCs w:val="22"/>
        </w:rPr>
        <w:t xml:space="preserve">Northstar Digital Services (fictional)  ·  NOR-PRC-IR-001  ·  Procedure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NOR-PRC-IR-001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POL-013</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procedure describes how Northstar handles a suspected or confirmed security incident, from the first report to the post-incident review.</w:t>
      </w:r>
      <w:bookmarkEnd w:id="1"/>
    </w:p>
    <w:p>
      <w:bookmarkStart w:id="2" w:name="_crgt_purpose_2"/>
      <w:r>
        <w:t xml:space="preserve">This procedure implements the Security Incident Management Policy.</w:t>
      </w:r>
      <w:bookmarkEnd w:id="2"/>
    </w:p>
    <w:p>
      <w:pPr>
        <w:pStyle w:val="Heading1"/>
      </w:pPr>
      <w:r>
        <w:t xml:space="preserve">2. When this procedure applies</w:t>
      </w:r>
    </w:p>
    <w:p>
      <w:bookmarkStart w:id="3" w:name="_crgt_C1_1"/>
      <w:r>
        <w:t xml:space="preserve">It starts when anyone reports a suspected incident, when a security alert is raised, or when a supplier notifies an incident affecting Northstar.</w:t>
      </w:r>
      <w:bookmarkEnd w:id="3"/>
    </w:p>
    <w:p>
      <w:pPr>
        <w:pStyle w:val="Heading1"/>
      </w:pPr>
      <w:r>
        <w:t xml:space="preserve">3. Prerequisites and inputs</w:t>
      </w:r>
    </w:p>
    <w:p>
      <w:pPr>
        <w:tabs>
          <w:tab w:val="left" w:pos="680"/>
        </w:tabs>
        <w:ind w:left="680" w:hanging="680"/>
      </w:pPr>
      <w:bookmarkStart w:id="4" w:name="_crgs_POL_013_1"/>
      <w:r>
        <w:rPr>
          <w:b/>
          <w:color w:val="0B4F6C"/>
        </w:rPr>
        <w:t xml:space="preserve">3.1</w:t>
        <w:tab/>
      </w:r>
      <w:r>
        <w:t xml:space="preserve">Current contact list for the incident team, executives, legal counsel, insurer and key suppliers: </w:t>
      </w:r>
      <w:r>
        <w:rPr>
          <w:b/>
          <w:highlight w:val="yellow"/>
        </w:rPr>
        <w:t xml:space="preserve">[VALUE: location of the incident contact list]</w:t>
      </w:r>
      <w:r>
        <w:t xml:space="preserve">.</w:t>
      </w:r>
      <w:bookmarkEnd w:id="4"/>
    </w:p>
    <w:p>
      <w:pPr>
        <w:tabs>
          <w:tab w:val="left" w:pos="680"/>
        </w:tabs>
        <w:ind w:left="680" w:hanging="680"/>
      </w:pPr>
      <w:bookmarkStart w:id="5" w:name="_crgs_POL_013_2"/>
      <w:r>
        <w:rPr>
          <w:b/>
          <w:color w:val="0B4F6C"/>
        </w:rPr>
        <w:t xml:space="preserve">3.2</w:t>
        <w:tab/>
      </w:r>
      <w:r>
        <w:t xml:space="preserve">Access to the incident register and decision log, and an out-of-band communication channel that does not depend on possibly compromised systems.</w:t>
      </w:r>
      <w:bookmarkEnd w:id="5"/>
    </w:p>
    <w:p>
      <w:pPr>
        <w:pStyle w:val="Heading1"/>
      </w:pPr>
      <w:r>
        <w:t xml:space="preserve">4. Roles and responsibilities</w:t>
      </w:r>
    </w:p>
    <w:p>
      <w:bookmarkStart w:id="6" w:name="_crgt_C3_1"/>
      <w:r>
        <w:t xml:space="preserve">Responsibility matrix</w:t>
      </w:r>
      <w:bookmarkEnd w:id="6"/>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041"/>
        <w:gridCol w:w="1828"/>
        <w:gridCol w:w="1828"/>
        <w:gridCol w:w="1828"/>
        <w:gridCol w:w="1828"/>
      </w:tblGrid>
      <w:tr>
        <w:trPr>
          <w:tblHeader/>
          <w:cantSplit/>
        </w:trPr>
        <w:tc>
          <w:tcPr>
            <w:tcW w:w="2041" w:type="dxa"/>
            <w:shd w:val="clear" w:color="auto" w:fill="0B4F6C"/>
          </w:tcPr>
          <w:p>
            <w:pPr>
              <w:spacing w:after="0"/>
            </w:pPr>
            <w:r>
              <w:rPr>
                <w:b/>
                <w:color w:val="FFFFFF"/>
                <w:sz w:val="17"/>
                <w:szCs w:val="17"/>
              </w:rPr>
              <w:t xml:space="preserve">Activity</w:t>
            </w:r>
          </w:p>
        </w:tc>
        <w:tc>
          <w:tcPr>
            <w:tcW w:w="1828" w:type="dxa"/>
            <w:shd w:val="clear" w:color="auto" w:fill="0B4F6C"/>
          </w:tcPr>
          <w:p>
            <w:pPr>
              <w:spacing w:after="0"/>
            </w:pPr>
            <w:r>
              <w:rPr>
                <w:b/>
                <w:color w:val="FFFFFF"/>
                <w:sz w:val="17"/>
                <w:szCs w:val="17"/>
              </w:rPr>
              <w:t xml:space="preserve">Responsible</w:t>
            </w:r>
          </w:p>
        </w:tc>
        <w:tc>
          <w:tcPr>
            <w:tcW w:w="1828" w:type="dxa"/>
            <w:shd w:val="clear" w:color="auto" w:fill="0B4F6C"/>
          </w:tcPr>
          <w:p>
            <w:pPr>
              <w:spacing w:after="0"/>
            </w:pPr>
            <w:r>
              <w:rPr>
                <w:b/>
                <w:color w:val="FFFFFF"/>
                <w:sz w:val="17"/>
                <w:szCs w:val="17"/>
              </w:rPr>
              <w:t xml:space="preserve">Accountable</w:t>
            </w:r>
          </w:p>
        </w:tc>
        <w:tc>
          <w:tcPr>
            <w:tcW w:w="1828" w:type="dxa"/>
            <w:shd w:val="clear" w:color="auto" w:fill="0B4F6C"/>
          </w:tcPr>
          <w:p>
            <w:pPr>
              <w:spacing w:after="0"/>
            </w:pPr>
            <w:r>
              <w:rPr>
                <w:b/>
                <w:color w:val="FFFFFF"/>
                <w:sz w:val="17"/>
                <w:szCs w:val="17"/>
              </w:rPr>
              <w:t xml:space="preserve">Consulted</w:t>
            </w:r>
          </w:p>
        </w:tc>
        <w:tc>
          <w:tcPr>
            <w:tcW w:w="1828" w:type="dxa"/>
            <w:shd w:val="clear" w:color="auto" w:fill="0B4F6C"/>
          </w:tcPr>
          <w:p>
            <w:pPr>
              <w:spacing w:after="0"/>
            </w:pPr>
            <w:r>
              <w:rPr>
                <w:b/>
                <w:color w:val="FFFFFF"/>
                <w:sz w:val="17"/>
                <w:szCs w:val="17"/>
              </w:rPr>
              <w:t xml:space="preserve">Informed</w:t>
            </w:r>
          </w:p>
        </w:tc>
      </w:tr>
      <w:tr>
        <w:trPr>
          <w:cantSplit/>
        </w:trPr>
        <w:tc>
          <w:tcPr>
            <w:tcW w:w="2041" w:type="dxa"/>
          </w:tcPr>
          <w:p>
            <w:pPr>
              <w:spacing w:after="0"/>
            </w:pPr>
            <w:r>
              <w:rPr>
                <w:sz w:val="17"/>
                <w:szCs w:val="17"/>
              </w:rPr>
              <w:t xml:space="preserve">Report and register the incident</w:t>
            </w:r>
          </w:p>
        </w:tc>
        <w:tc>
          <w:tcPr>
            <w:tcW w:w="1828" w:type="dxa"/>
          </w:tcPr>
          <w:p>
            <w:pPr>
              <w:spacing w:after="0"/>
            </w:pPr>
            <w:r>
              <w:rPr>
                <w:sz w:val="17"/>
                <w:szCs w:val="17"/>
              </w:rPr>
              <w:t xml:space="preserve">Reporter; the IT Manager</w:t>
            </w:r>
          </w:p>
        </w:tc>
        <w:tc>
          <w:tcPr>
            <w:tcW w:w="1828" w:type="dxa"/>
          </w:tcPr>
          <w:p>
            <w:pPr>
              <w:spacing w:after="0"/>
            </w:pPr>
            <w:r>
              <w:rPr>
                <w:sz w:val="17"/>
                <w:szCs w:val="17"/>
              </w:rPr>
              <w:t xml:space="preserve">The IT Manager</w:t>
            </w:r>
          </w:p>
        </w:tc>
        <w:tc>
          <w:tcPr>
            <w:tcW w:w="1828" w:type="dxa"/>
          </w:tcPr>
          <w:p>
            <w:pPr>
              <w:spacing w:after="0"/>
            </w:pPr>
            <w:r>
              <w:rPr>
                <w:sz w:val="17"/>
                <w:szCs w:val="17"/>
              </w:rPr>
              <w:t xml:space="preserve">—</w:t>
            </w:r>
          </w:p>
        </w:tc>
        <w:tc>
          <w:tcPr>
            <w:tcW w:w="1828" w:type="dxa"/>
          </w:tcPr>
          <w:p>
            <w:pPr>
              <w:spacing w:after="0"/>
            </w:pPr>
            <w:r>
              <w:rPr>
                <w:sz w:val="17"/>
                <w:szCs w:val="17"/>
              </w:rPr>
              <w:t xml:space="preserve">Manager of the reporter</w:t>
            </w:r>
          </w:p>
        </w:tc>
      </w:tr>
      <w:tr>
        <w:trPr>
          <w:cantSplit/>
        </w:trPr>
        <w:tc>
          <w:tcPr>
            <w:tcW w:w="2041" w:type="dxa"/>
          </w:tcPr>
          <w:p>
            <w:pPr>
              <w:spacing w:after="0"/>
            </w:pPr>
            <w:r>
              <w:rPr>
                <w:sz w:val="17"/>
                <w:szCs w:val="17"/>
              </w:rPr>
              <w:t xml:space="preserve">Triage and severity</w:t>
            </w:r>
          </w:p>
        </w:tc>
        <w:tc>
          <w:tcPr>
            <w:tcW w:w="1828" w:type="dxa"/>
          </w:tcPr>
          <w:p>
            <w:pPr>
              <w:spacing w:after="0"/>
            </w:pPr>
            <w:r>
              <w:rPr>
                <w:sz w:val="17"/>
                <w:szCs w:val="17"/>
              </w:rPr>
              <w:t xml:space="preserve">The IT Manager</w:t>
            </w:r>
          </w:p>
        </w:tc>
        <w:tc>
          <w:tcPr>
            <w:tcW w:w="1828" w:type="dxa"/>
          </w:tcPr>
          <w:p>
            <w:pPr>
              <w:spacing w:after="0"/>
            </w:pPr>
            <w:r>
              <w:rPr>
                <w:sz w:val="17"/>
                <w:szCs w:val="17"/>
              </w:rPr>
              <w:t xml:space="preserve">The IT Manager</w:t>
            </w:r>
          </w:p>
        </w:tc>
        <w:tc>
          <w:tcPr>
            <w:tcW w:w="1828" w:type="dxa"/>
          </w:tcPr>
          <w:p>
            <w:pPr>
              <w:spacing w:after="0"/>
            </w:pPr>
            <w:r>
              <w:rPr>
                <w:sz w:val="17"/>
                <w:szCs w:val="17"/>
              </w:rPr>
              <w:t xml:space="preserve">System owner</w:t>
            </w:r>
          </w:p>
        </w:tc>
        <w:tc>
          <w:tcPr>
            <w:tcW w:w="1828" w:type="dxa"/>
          </w:tcPr>
          <w:p>
            <w:pPr>
              <w:spacing w:after="0"/>
            </w:pPr>
            <w:r>
              <w:rPr>
                <w:sz w:val="17"/>
                <w:szCs w:val="17"/>
              </w:rPr>
              <w:t xml:space="preserve">Designated executive (S1–S2)</w:t>
            </w:r>
          </w:p>
        </w:tc>
      </w:tr>
      <w:tr>
        <w:trPr>
          <w:cantSplit/>
        </w:trPr>
        <w:tc>
          <w:tcPr>
            <w:tcW w:w="2041" w:type="dxa"/>
          </w:tcPr>
          <w:p>
            <w:pPr>
              <w:spacing w:after="0"/>
            </w:pPr>
            <w:r>
              <w:rPr>
                <w:sz w:val="17"/>
                <w:szCs w:val="17"/>
              </w:rPr>
              <w:t xml:space="preserve">Containment</w:t>
            </w:r>
          </w:p>
        </w:tc>
        <w:tc>
          <w:tcPr>
            <w:tcW w:w="1828" w:type="dxa"/>
          </w:tcPr>
          <w:p>
            <w:pPr>
              <w:spacing w:after="0"/>
            </w:pPr>
            <w:r>
              <w:rPr>
                <w:sz w:val="17"/>
                <w:szCs w:val="17"/>
              </w:rPr>
              <w:t xml:space="preserve">IT operations or service provider</w:t>
            </w:r>
          </w:p>
        </w:tc>
        <w:tc>
          <w:tcPr>
            <w:tcW w:w="1828" w:type="dxa"/>
          </w:tcPr>
          <w:p>
            <w:pPr>
              <w:spacing w:after="0"/>
            </w:pPr>
            <w:r>
              <w:rPr>
                <w:sz w:val="17"/>
                <w:szCs w:val="17"/>
              </w:rPr>
              <w:t xml:space="preserve">The IT Manager</w:t>
            </w:r>
          </w:p>
        </w:tc>
        <w:tc>
          <w:tcPr>
            <w:tcW w:w="1828" w:type="dxa"/>
          </w:tcPr>
          <w:p>
            <w:pPr>
              <w:spacing w:after="0"/>
            </w:pPr>
            <w:r>
              <w:rPr>
                <w:sz w:val="17"/>
                <w:szCs w:val="17"/>
              </w:rPr>
              <w:t xml:space="preserve">System owner</w:t>
            </w:r>
          </w:p>
        </w:tc>
        <w:tc>
          <w:tcPr>
            <w:tcW w:w="1828" w:type="dxa"/>
          </w:tcPr>
          <w:p>
            <w:pPr>
              <w:spacing w:after="0"/>
            </w:pPr>
            <w:r>
              <w:rPr>
                <w:sz w:val="17"/>
                <w:szCs w:val="17"/>
              </w:rPr>
              <w:t xml:space="preserve">Designated executive</w:t>
            </w:r>
          </w:p>
        </w:tc>
      </w:tr>
      <w:tr>
        <w:trPr>
          <w:cantSplit/>
        </w:trPr>
        <w:tc>
          <w:tcPr>
            <w:tcW w:w="2041" w:type="dxa"/>
          </w:tcPr>
          <w:p>
            <w:pPr>
              <w:spacing w:after="0"/>
            </w:pPr>
            <w:r>
              <w:rPr>
                <w:sz w:val="17"/>
                <w:szCs w:val="17"/>
              </w:rPr>
              <w:t xml:space="preserve">Notification assessment</w:t>
            </w:r>
          </w:p>
        </w:tc>
        <w:tc>
          <w:tcPr>
            <w:tcW w:w="1828" w:type="dxa"/>
          </w:tcPr>
          <w:p>
            <w:pPr>
              <w:spacing w:after="0"/>
            </w:pPr>
            <w:r>
              <w:rPr>
                <w:b/>
                <w:sz w:val="17"/>
                <w:szCs w:val="17"/>
                <w:highlight w:val="yellow"/>
              </w:rPr>
              <w:t xml:space="preserve">[ROLE: person in charge of the protection of personal information]</w:t>
            </w:r>
            <w:r>
              <w:rPr>
                <w:sz w:val="17"/>
                <w:szCs w:val="17"/>
              </w:rPr>
              <w:t xml:space="preserve">; legal counsel</w:t>
            </w:r>
          </w:p>
        </w:tc>
        <w:tc>
          <w:tcPr>
            <w:tcW w:w="1828" w:type="dxa"/>
          </w:tcPr>
          <w:p>
            <w:pPr>
              <w:spacing w:after="0"/>
            </w:pPr>
            <w:r>
              <w:rPr>
                <w:sz w:val="17"/>
                <w:szCs w:val="17"/>
              </w:rPr>
              <w:t xml:space="preserve">Designated executive</w:t>
            </w:r>
          </w:p>
        </w:tc>
        <w:tc>
          <w:tcPr>
            <w:tcW w:w="1828" w:type="dxa"/>
          </w:tcPr>
          <w:p>
            <w:pPr>
              <w:spacing w:after="0"/>
            </w:pPr>
            <w:r>
              <w:rPr>
                <w:sz w:val="17"/>
                <w:szCs w:val="17"/>
              </w:rPr>
              <w:t xml:space="preserve">The IT Manager</w:t>
            </w:r>
          </w:p>
        </w:tc>
        <w:tc>
          <w:tcPr>
            <w:tcW w:w="1828" w:type="dxa"/>
          </w:tcPr>
          <w:p>
            <w:pPr>
              <w:spacing w:after="0"/>
            </w:pPr>
            <w:r>
              <w:rPr>
                <w:b/>
                <w:sz w:val="17"/>
                <w:szCs w:val="17"/>
                <w:highlight w:val="yellow"/>
              </w:rPr>
              <w:t xml:space="preserve">[DECISION: security governance committee or body]</w:t>
            </w:r>
          </w:p>
        </w:tc>
      </w:tr>
      <w:tr>
        <w:trPr>
          <w:cantSplit/>
        </w:trPr>
        <w:tc>
          <w:tcPr>
            <w:tcW w:w="2041" w:type="dxa"/>
          </w:tcPr>
          <w:p>
            <w:pPr>
              <w:spacing w:after="0"/>
            </w:pPr>
            <w:r>
              <w:rPr>
                <w:sz w:val="17"/>
                <w:szCs w:val="17"/>
              </w:rPr>
              <w:t xml:space="preserve">External communication</w:t>
            </w:r>
          </w:p>
        </w:tc>
        <w:tc>
          <w:tcPr>
            <w:tcW w:w="1828" w:type="dxa"/>
          </w:tcPr>
          <w:p>
            <w:pPr>
              <w:spacing w:after="0"/>
            </w:pPr>
            <w:r>
              <w:rPr>
                <w:sz w:val="17"/>
                <w:szCs w:val="17"/>
              </w:rPr>
              <w:t xml:space="preserve">Communications</w:t>
            </w:r>
          </w:p>
        </w:tc>
        <w:tc>
          <w:tcPr>
            <w:tcW w:w="1828" w:type="dxa"/>
          </w:tcPr>
          <w:p>
            <w:pPr>
              <w:spacing w:after="0"/>
            </w:pPr>
            <w:r>
              <w:rPr>
                <w:sz w:val="17"/>
                <w:szCs w:val="17"/>
              </w:rPr>
              <w:t xml:space="preserve">Designated executive</w:t>
            </w:r>
          </w:p>
        </w:tc>
        <w:tc>
          <w:tcPr>
            <w:tcW w:w="1828" w:type="dxa"/>
          </w:tcPr>
          <w:p>
            <w:pPr>
              <w:spacing w:after="0"/>
            </w:pPr>
            <w:r>
              <w:rPr>
                <w:sz w:val="17"/>
                <w:szCs w:val="17"/>
              </w:rPr>
              <w:t xml:space="preserve">Legal counsel; the IT Manager</w:t>
            </w:r>
          </w:p>
        </w:tc>
        <w:tc>
          <w:tcPr>
            <w:tcW w:w="1828" w:type="dxa"/>
          </w:tcPr>
          <w:p>
            <w:pPr>
              <w:spacing w:after="0"/>
            </w:pPr>
            <w:r>
              <w:rPr>
                <w:sz w:val="17"/>
                <w:szCs w:val="17"/>
              </w:rPr>
              <w:t xml:space="preserve">Staff</w:t>
            </w:r>
          </w:p>
        </w:tc>
      </w:tr>
      <w:tr>
        <w:trPr>
          <w:cantSplit/>
        </w:trPr>
        <w:tc>
          <w:tcPr>
            <w:tcW w:w="2041" w:type="dxa"/>
          </w:tcPr>
          <w:p>
            <w:pPr>
              <w:spacing w:after="0"/>
            </w:pPr>
            <w:r>
              <w:rPr>
                <w:sz w:val="17"/>
                <w:szCs w:val="17"/>
              </w:rPr>
              <w:t xml:space="preserve">Post-incident review</w:t>
            </w:r>
          </w:p>
        </w:tc>
        <w:tc>
          <w:tcPr>
            <w:tcW w:w="1828" w:type="dxa"/>
          </w:tcPr>
          <w:p>
            <w:pPr>
              <w:spacing w:after="0"/>
            </w:pPr>
            <w:r>
              <w:rPr>
                <w:sz w:val="17"/>
                <w:szCs w:val="17"/>
              </w:rPr>
              <w:t xml:space="preserve">The IT Manager</w:t>
            </w:r>
          </w:p>
        </w:tc>
        <w:tc>
          <w:tcPr>
            <w:tcW w:w="1828" w:type="dxa"/>
          </w:tcPr>
          <w:p>
            <w:pPr>
              <w:spacing w:after="0"/>
            </w:pPr>
            <w:r>
              <w:rPr>
                <w:b/>
                <w:sz w:val="17"/>
                <w:szCs w:val="17"/>
                <w:highlight w:val="yellow"/>
              </w:rPr>
              <w:t xml:space="preserve">[DECISION: security governance committee or body]</w:t>
            </w:r>
          </w:p>
        </w:tc>
        <w:tc>
          <w:tcPr>
            <w:tcW w:w="1828" w:type="dxa"/>
          </w:tcPr>
          <w:p>
            <w:pPr>
              <w:spacing w:after="0"/>
            </w:pPr>
            <w:r>
              <w:rPr>
                <w:sz w:val="17"/>
                <w:szCs w:val="17"/>
              </w:rPr>
              <w:t xml:space="preserve">Everyone involved</w:t>
            </w:r>
          </w:p>
        </w:tc>
        <w:tc>
          <w:tcPr>
            <w:tcW w:w="1828" w:type="dxa"/>
          </w:tcPr>
          <w:p>
            <w:pPr>
              <w:spacing w:after="0"/>
            </w:pPr>
            <w:r>
              <w:rPr>
                <w:sz w:val="17"/>
                <w:szCs w:val="17"/>
              </w:rPr>
              <w:t xml:space="preserve">Management</w:t>
            </w:r>
          </w:p>
        </w:tc>
      </w:tr>
    </w:tbl>
    <w:p>
      <w:pPr>
        <w:spacing w:after="40"/>
      </w:pPr>
      <w:r/>
    </w:p>
    <w:p>
      <w:pPr>
        <w:pStyle w:val="Heading1"/>
      </w:pPr>
      <w:r>
        <w:t xml:space="preserve">5. Steps</w:t>
      </w:r>
    </w:p>
    <w:p>
      <w:bookmarkStart w:id="7" w:name="_crgt_C4_1"/>
      <w:r>
        <w:t xml:space="preserve">Triage: confirm whether it is an incident and assign a severity using the table below.</w:t>
      </w:r>
      <w:bookmarkEnd w:id="7"/>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041"/>
        <w:gridCol w:w="3657"/>
        <w:gridCol w:w="3657"/>
      </w:tblGrid>
      <w:tr>
        <w:trPr>
          <w:tblHeader/>
          <w:cantSplit/>
        </w:trPr>
        <w:tc>
          <w:tcPr>
            <w:tcW w:w="2041" w:type="dxa"/>
            <w:shd w:val="clear" w:color="auto" w:fill="0B4F6C"/>
          </w:tcPr>
          <w:p>
            <w:pPr>
              <w:spacing w:after="0"/>
            </w:pPr>
            <w:r>
              <w:rPr>
                <w:b/>
                <w:color w:val="FFFFFF"/>
                <w:sz w:val="18"/>
                <w:szCs w:val="18"/>
              </w:rPr>
              <w:t xml:space="preserve">Severity</w:t>
            </w:r>
          </w:p>
        </w:tc>
        <w:tc>
          <w:tcPr>
            <w:tcW w:w="3657" w:type="dxa"/>
            <w:shd w:val="clear" w:color="auto" w:fill="0B4F6C"/>
          </w:tcPr>
          <w:p>
            <w:pPr>
              <w:spacing w:after="0"/>
            </w:pPr>
            <w:r>
              <w:rPr>
                <w:b/>
                <w:color w:val="FFFFFF"/>
                <w:sz w:val="18"/>
                <w:szCs w:val="18"/>
              </w:rPr>
              <w:t xml:space="preserve">Typical criteria</w:t>
            </w:r>
          </w:p>
        </w:tc>
        <w:tc>
          <w:tcPr>
            <w:tcW w:w="3657" w:type="dxa"/>
            <w:shd w:val="clear" w:color="auto" w:fill="0B4F6C"/>
          </w:tcPr>
          <w:p>
            <w:pPr>
              <w:spacing w:after="0"/>
            </w:pPr>
            <w:r>
              <w:rPr>
                <w:b/>
                <w:color w:val="FFFFFF"/>
                <w:sz w:val="18"/>
                <w:szCs w:val="18"/>
              </w:rPr>
              <w:t xml:space="preserve">Start of response</w:t>
            </w:r>
          </w:p>
        </w:tc>
      </w:tr>
      <w:tr>
        <w:trPr>
          <w:cantSplit/>
        </w:trPr>
        <w:tc>
          <w:tcPr>
            <w:tcW w:w="2041" w:type="dxa"/>
          </w:tcPr>
          <w:p>
            <w:pPr>
              <w:spacing w:after="0"/>
            </w:pPr>
            <w:r>
              <w:rPr>
                <w:sz w:val="18"/>
                <w:szCs w:val="18"/>
              </w:rPr>
              <w:t xml:space="preserve">S1 — Critical</w:t>
            </w:r>
          </w:p>
        </w:tc>
        <w:tc>
          <w:tcPr>
            <w:tcW w:w="3657" w:type="dxa"/>
          </w:tcPr>
          <w:p>
            <w:pPr>
              <w:spacing w:after="0"/>
            </w:pPr>
            <w:r>
              <w:rPr>
                <w:sz w:val="18"/>
                <w:szCs w:val="18"/>
              </w:rPr>
              <w:t xml:space="preserve">A critical service is down; confirmed theft or exposure of personal or confidential information; ransomware</w:t>
            </w:r>
          </w:p>
        </w:tc>
        <w:tc>
          <w:tcPr>
            <w:tcW w:w="3657" w:type="dxa"/>
          </w:tcPr>
          <w:p>
            <w:pPr>
              <w:spacing w:after="0"/>
            </w:pPr>
            <w:r>
              <w:rPr>
                <w:b/>
                <w:sz w:val="18"/>
                <w:szCs w:val="18"/>
                <w:highlight w:val="yellow"/>
              </w:rPr>
              <w:t xml:space="preserve">[DECISION: S1 response time]</w:t>
            </w:r>
          </w:p>
        </w:tc>
      </w:tr>
      <w:tr>
        <w:trPr>
          <w:cantSplit/>
        </w:trPr>
        <w:tc>
          <w:tcPr>
            <w:tcW w:w="2041" w:type="dxa"/>
          </w:tcPr>
          <w:p>
            <w:pPr>
              <w:spacing w:after="0"/>
            </w:pPr>
            <w:r>
              <w:rPr>
                <w:sz w:val="18"/>
                <w:szCs w:val="18"/>
              </w:rPr>
              <w:t xml:space="preserve">S2 — High</w:t>
            </w:r>
          </w:p>
        </w:tc>
        <w:tc>
          <w:tcPr>
            <w:tcW w:w="3657" w:type="dxa"/>
          </w:tcPr>
          <w:p>
            <w:pPr>
              <w:spacing w:after="0"/>
            </w:pPr>
            <w:r>
              <w:rPr>
                <w:sz w:val="18"/>
                <w:szCs w:val="18"/>
              </w:rPr>
              <w:t xml:space="preserve">Compromised privileged account; malware spreading; supplier incident affecting critical data</w:t>
            </w:r>
          </w:p>
        </w:tc>
        <w:tc>
          <w:tcPr>
            <w:tcW w:w="3657" w:type="dxa"/>
          </w:tcPr>
          <w:p>
            <w:pPr>
              <w:spacing w:after="0"/>
            </w:pPr>
            <w:r>
              <w:rPr>
                <w:b/>
                <w:sz w:val="18"/>
                <w:szCs w:val="18"/>
                <w:highlight w:val="yellow"/>
              </w:rPr>
              <w:t xml:space="preserve">[DECISION: S2 response time]</w:t>
            </w:r>
          </w:p>
        </w:tc>
      </w:tr>
      <w:tr>
        <w:trPr>
          <w:cantSplit/>
        </w:trPr>
        <w:tc>
          <w:tcPr>
            <w:tcW w:w="2041" w:type="dxa"/>
          </w:tcPr>
          <w:p>
            <w:pPr>
              <w:spacing w:after="0"/>
            </w:pPr>
            <w:r>
              <w:rPr>
                <w:sz w:val="18"/>
                <w:szCs w:val="18"/>
              </w:rPr>
              <w:t xml:space="preserve">S3 — Medium</w:t>
            </w:r>
          </w:p>
        </w:tc>
        <w:tc>
          <w:tcPr>
            <w:tcW w:w="3657" w:type="dxa"/>
          </w:tcPr>
          <w:p>
            <w:pPr>
              <w:spacing w:after="0"/>
            </w:pPr>
            <w:r>
              <w:rPr>
                <w:sz w:val="18"/>
                <w:szCs w:val="18"/>
              </w:rPr>
              <w:t xml:space="preserve">Single compromised user account or device, contained</w:t>
            </w:r>
          </w:p>
        </w:tc>
        <w:tc>
          <w:tcPr>
            <w:tcW w:w="3657" w:type="dxa"/>
          </w:tcPr>
          <w:p>
            <w:pPr>
              <w:spacing w:after="0"/>
            </w:pPr>
            <w:r>
              <w:rPr>
                <w:b/>
                <w:sz w:val="18"/>
                <w:szCs w:val="18"/>
                <w:highlight w:val="yellow"/>
              </w:rPr>
              <w:t xml:space="preserve">[DECISION: S3 response time]</w:t>
            </w:r>
          </w:p>
        </w:tc>
      </w:tr>
      <w:tr>
        <w:trPr>
          <w:cantSplit/>
        </w:trPr>
        <w:tc>
          <w:tcPr>
            <w:tcW w:w="2041" w:type="dxa"/>
          </w:tcPr>
          <w:p>
            <w:pPr>
              <w:spacing w:after="0"/>
            </w:pPr>
            <w:r>
              <w:rPr>
                <w:sz w:val="18"/>
                <w:szCs w:val="18"/>
              </w:rPr>
              <w:t xml:space="preserve">S4 — Low</w:t>
            </w:r>
          </w:p>
        </w:tc>
        <w:tc>
          <w:tcPr>
            <w:tcW w:w="3657" w:type="dxa"/>
          </w:tcPr>
          <w:p>
            <w:pPr>
              <w:spacing w:after="0"/>
            </w:pPr>
            <w:r>
              <w:rPr>
                <w:sz w:val="18"/>
                <w:szCs w:val="18"/>
              </w:rPr>
              <w:t xml:space="preserve">Policy violation or blocked attempt without impact</w:t>
            </w:r>
          </w:p>
        </w:tc>
        <w:tc>
          <w:tcPr>
            <w:tcW w:w="3657" w:type="dxa"/>
          </w:tcPr>
          <w:p>
            <w:pPr>
              <w:spacing w:after="0"/>
            </w:pPr>
            <w:r>
              <w:rPr>
                <w:sz w:val="18"/>
                <w:szCs w:val="18"/>
              </w:rPr>
              <w:t xml:space="preserve">Next working day</w:t>
            </w:r>
          </w:p>
        </w:tc>
      </w:tr>
    </w:tbl>
    <w:p>
      <w:pPr>
        <w:spacing w:after="40"/>
      </w:pPr>
      <w:r/>
    </w:p>
    <w:p>
      <w:pPr>
        <w:tabs>
          <w:tab w:val="left" w:pos="680"/>
        </w:tabs>
        <w:ind w:left="680" w:hanging="680"/>
      </w:pPr>
      <w:bookmarkStart w:id="8" w:name="_crgs_POL_013_3"/>
      <w:r>
        <w:rPr>
          <w:b/>
          <w:color w:val="0B4F6C"/>
        </w:rPr>
        <w:t xml:space="preserve">5.1</w:t>
        <w:tab/>
      </w:r>
      <w:r>
        <w:t xml:space="preserve">Receive the report through the published channel, open an entry in the incident register (time, reporter, systems, first observations) and acknowledge the reporter.</w:t>
      </w:r>
      <w:bookmarkEnd w:id="8"/>
    </w:p>
    <w:p>
      <w:pPr>
        <w:tabs>
          <w:tab w:val="left" w:pos="680"/>
        </w:tabs>
        <w:ind w:left="680" w:hanging="680"/>
      </w:pPr>
      <w:bookmarkStart w:id="9" w:name="_crgs_POL_013_4"/>
      <w:r>
        <w:rPr>
          <w:b/>
          <w:color w:val="0B4F6C"/>
        </w:rPr>
        <w:t xml:space="preserve">5.2</w:t>
        <w:tab/>
      </w:r>
      <w:r>
        <w:t xml:space="preserve">For S1 and S2, inform the designated executive immediately and convene the incident team; the executive decides whether to activate crisis management and business continuity plans.</w:t>
      </w:r>
      <w:bookmarkEnd w:id="9"/>
    </w:p>
    <w:p>
      <w:pPr>
        <w:tabs>
          <w:tab w:val="left" w:pos="680"/>
        </w:tabs>
        <w:ind w:left="680" w:hanging="680"/>
      </w:pPr>
      <w:bookmarkStart w:id="10" w:name="_crgs_POL_013_5"/>
      <w:r>
        <w:rPr>
          <w:b/>
          <w:color w:val="0B4F6C"/>
        </w:rPr>
        <w:t xml:space="preserve">5.3</w:t>
        <w:tab/>
      </w:r>
      <w:r>
        <w:t xml:space="preserve">Contain: isolate affected devices, disable compromised accounts, block malicious addresses, within the authority set by the incident management policy. Record every action and its time in the decision log.</w:t>
      </w:r>
      <w:bookmarkEnd w:id="10"/>
    </w:p>
    <w:p>
      <w:pPr>
        <w:tabs>
          <w:tab w:val="left" w:pos="680"/>
        </w:tabs>
        <w:ind w:left="680" w:hanging="680"/>
      </w:pPr>
      <w:bookmarkStart w:id="11" w:name="_crgs_POL_013_6"/>
      <w:r>
        <w:rPr>
          <w:b/>
          <w:color w:val="0B4F6C"/>
        </w:rPr>
        <w:t xml:space="preserve">5.4</w:t>
        <w:tab/>
      </w:r>
      <w:r>
        <w:t xml:space="preserve">Preserve evidence before wiping or rebuilding: system images or snapshots, relevant logs and messages, with a record of who collected them and when.</w:t>
      </w:r>
      <w:bookmarkEnd w:id="11"/>
    </w:p>
    <w:p>
      <w:pPr>
        <w:tabs>
          <w:tab w:val="left" w:pos="680"/>
        </w:tabs>
        <w:ind w:left="680" w:hanging="680"/>
      </w:pPr>
      <w:bookmarkStart w:id="12" w:name="_crgs_POL_013_7"/>
      <w:r>
        <w:rPr>
          <w:b/>
          <w:color w:val="0B4F6C"/>
        </w:rPr>
        <w:t xml:space="preserve">5.5</w:t>
        <w:tab/>
      </w:r>
      <w:r>
        <w:t xml:space="preserve">Assess notification duties without delay: </w:t>
      </w:r>
      <w:r>
        <w:rPr>
          <w:b/>
          <w:highlight w:val="yellow"/>
        </w:rPr>
        <w:t xml:space="preserve">[ROLE: person in charge of the protection of personal information]</w:t>
      </w:r>
      <w:r>
        <w:t xml:space="preserve"> and legal counsel determine whether regulators, affected individuals, clients, the insurer or law enforcement must be notified, and by when.</w:t>
      </w:r>
      <w:bookmarkEnd w:id="12"/>
    </w:p>
    <w:p>
      <w:pPr>
        <w:tabs>
          <w:tab w:val="left" w:pos="680"/>
        </w:tabs>
        <w:ind w:left="680" w:hanging="680"/>
      </w:pPr>
      <w:bookmarkStart w:id="13" w:name="_crgs_POL_013_8"/>
      <w:r>
        <w:rPr>
          <w:b/>
          <w:color w:val="0B4F6C"/>
        </w:rPr>
        <w:t xml:space="preserve">5.6</w:t>
        <w:tab/>
      </w:r>
      <w:r>
        <w:t xml:space="preserve">Eradicate the cause, restore from known-good backups, verify integrity and monitor closely before returning systems to normal operation.</w:t>
      </w:r>
      <w:bookmarkEnd w:id="13"/>
    </w:p>
    <w:p>
      <w:pPr>
        <w:tabs>
          <w:tab w:val="left" w:pos="680"/>
        </w:tabs>
        <w:ind w:left="680" w:hanging="680"/>
      </w:pPr>
      <w:bookmarkStart w:id="14" w:name="_crgs_POL_013_9"/>
      <w:r>
        <w:rPr>
          <w:b/>
          <w:color w:val="0B4F6C"/>
        </w:rPr>
        <w:t xml:space="preserve">5.7</w:t>
        <w:tab/>
      </w:r>
      <w:r>
        <w:t xml:space="preserve">Close the incident and hold a post-incident review within </w:t>
      </w:r>
      <w:r>
        <w:rPr>
          <w:b/>
          <w:highlight w:val="yellow"/>
        </w:rPr>
        <w:t xml:space="preserve">[DECISION: post-incident review delay]</w:t>
      </w:r>
      <w:r>
        <w:t xml:space="preserve">.</w:t>
      </w:r>
      <w:bookmarkEnd w:id="14"/>
    </w:p>
    <w:p>
      <w:pPr>
        <w:pStyle w:val="Heading1"/>
      </w:pPr>
      <w:r>
        <w:t xml:space="preserve">6. Records and evidence</w:t>
      </w:r>
    </w:p>
    <w:p>
      <w:bookmarkStart w:id="15" w:name="_crgt_C5_1"/>
      <w:r>
        <w:t xml:space="preserve">Records kept: incident register entry, decision log, evidence inventory, notifications made and their dates, post-incident report and action plan.</w:t>
      </w:r>
      <w:bookmarkEnd w:id="15"/>
    </w:p>
    <w:p>
      <w:pPr>
        <w:pStyle w:val="Heading1"/>
      </w:pPr>
      <w:r>
        <w:t xml:space="preserve">7. Testing and maintenance</w:t>
      </w:r>
    </w:p>
    <w:p>
      <w:pPr>
        <w:tabs>
          <w:tab w:val="left" w:pos="680"/>
        </w:tabs>
        <w:ind w:left="680" w:hanging="680"/>
      </w:pPr>
      <w:bookmarkStart w:id="16" w:name="_crgs_POL_013_10"/>
      <w:r>
        <w:rPr>
          <w:b/>
          <w:color w:val="0B4F6C"/>
        </w:rPr>
        <w:t xml:space="preserve">7.1</w:t>
        <w:tab/>
      </w:r>
      <w:r>
        <w:t xml:space="preserve">This procedure is exercised </w:t>
      </w:r>
      <w:r>
        <w:rPr>
          <w:b/>
          <w:highlight w:val="yellow"/>
        </w:rPr>
        <w:t xml:space="preserve">[DECISION: How often is incident response exercised?]</w:t>
      </w:r>
      <w:r>
        <w:t xml:space="preserve"> and updated after each exercise and each S1–S2 incident.</w:t>
      </w:r>
      <w:bookmarkEnd w:id="16"/>
    </w:p>
    <w:p>
      <w:pPr>
        <w:pStyle w:val="Heading1"/>
      </w:pPr>
      <w:r>
        <w:t xml:space="preserve">8. Exceptions</w:t>
      </w:r>
    </w:p>
    <w:p>
      <w:pPr>
        <w:tabs>
          <w:tab w:val="left" w:pos="680"/>
        </w:tabs>
        <w:ind w:left="680" w:hanging="680"/>
      </w:pPr>
      <w:bookmarkStart w:id="17" w:name="_crgs_POL_013_11"/>
      <w:r>
        <w:rPr>
          <w:b/>
          <w:color w:val="0B4F6C"/>
        </w:rPr>
        <w:t xml:space="preserve">8.1</w:t>
        <w:tab/>
      </w:r>
      <w:r>
        <w:t xml:space="preserve">Departures from this document require an exception approved through the exception process set out in the Enterprise Information Security Policy.</w:t>
      </w:r>
      <w:bookmarkEnd w:id="17"/>
    </w:p>
    <w:p>
      <w:pPr>
        <w:pStyle w:val="Heading1"/>
      </w:pPr>
      <w:r>
        <w:t xml:space="preserve">9. Review</w:t>
      </w:r>
    </w:p>
    <w:p>
      <w:pPr>
        <w:tabs>
          <w:tab w:val="left" w:pos="680"/>
        </w:tabs>
        <w:ind w:left="680" w:hanging="680"/>
      </w:pPr>
      <w:bookmarkStart w:id="18" w:name="_crgs_POL_013_12"/>
      <w:r>
        <w:rPr>
          <w:b/>
          <w:color w:val="0B4F6C"/>
        </w:rPr>
        <w:t xml:space="preserve">9.1</w:t>
        <w:tab/>
      </w:r>
      <w:r>
        <w:t xml:space="preserve">The IT Manager maintains this document. It is reviewed </w:t>
      </w:r>
      <w:r>
        <w:rPr>
          <w:b/>
          <w:highlight w:val="yellow"/>
        </w:rPr>
        <w:t xml:space="preserve">[DECISION: policy review cycle]</w:t>
      </w:r>
      <w:r>
        <w:t xml:space="preserve">, when its parent policy changes, and after any incident or audit finding that shows it to be ineffective.</w:t>
      </w:r>
      <w:bookmarkEnd w:id="18"/>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3.1 (POL-013.1)</w:t>
            </w:r>
          </w:p>
        </w:tc>
        <w:tc>
          <w:tcPr>
            <w:tcW w:w="1474" w:type="dxa"/>
          </w:tcPr>
          <w:p>
            <w:pPr>
              <w:spacing w:after="0"/>
            </w:pPr>
            <w:r>
              <w:rPr>
                <w:sz w:val="17"/>
                <w:szCs w:val="17"/>
              </w:rPr>
              <w:t xml:space="preserve">VALUE</w:t>
            </w:r>
          </w:p>
        </w:tc>
        <w:tc>
          <w:tcPr>
            <w:tcW w:w="5329" w:type="dxa"/>
          </w:tcPr>
          <w:p>
            <w:pPr>
              <w:spacing w:after="0"/>
            </w:pPr>
            <w:r>
              <w:rPr>
                <w:sz w:val="17"/>
                <w:szCs w:val="17"/>
              </w:rPr>
              <w:t xml:space="preserve">location of the incident contact list</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5.5 (POL-013.7)</w:t>
            </w:r>
          </w:p>
        </w:tc>
        <w:tc>
          <w:tcPr>
            <w:tcW w:w="1474" w:type="dxa"/>
          </w:tcPr>
          <w:p>
            <w:pPr>
              <w:spacing w:after="0"/>
            </w:pPr>
            <w:r>
              <w:rPr>
                <w:sz w:val="17"/>
                <w:szCs w:val="17"/>
              </w:rPr>
              <w:t xml:space="preserve">ROLE</w:t>
            </w:r>
          </w:p>
        </w:tc>
        <w:tc>
          <w:tcPr>
            <w:tcW w:w="5329" w:type="dxa"/>
          </w:tcPr>
          <w:p>
            <w:pPr>
              <w:spacing w:after="0"/>
            </w:pPr>
            <w:r>
              <w:rPr>
                <w:sz w:val="17"/>
                <w:szCs w:val="17"/>
              </w:rPr>
              <w:t xml:space="preserve">person in charge of the protection of personal information</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5.7 (POL-013.9)</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post-incident review delay</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7.1 (POL-013.10)</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How often is incident response exercised?</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9.1 (POL-013.12)</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3.1 · POL-013.1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3.2 · POL-013.2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POL-013.3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POL-013.4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POL-013.5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POL-013.6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5.5 · POL-013.7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5.6 · POL-013.8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5.7 · POL-013.9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POL-013.10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POL-013.11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POL-013.12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NOR-PRC-IR-001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Response Procedure</dc:title>
  <dc:subject>NOR-PRC-IR-001</dc:subject>
  <dc:creator>CyberRiskGuardian</dc:creator>
  <cp:keywords>isp=POL-013; writer=PRC-IR;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crg-isp|sample|POL-013|v0.1|en|draft|0bb0f5915653804d</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