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Procédure d’intervention en cas d’incident de sécurité</w:t>
      </w:r>
    </w:p>
    <w:p>
      <w:r>
        <w:rPr>
          <w:color w:val="5F6B76"/>
          <w:sz w:val="22"/>
          <w:szCs w:val="22"/>
        </w:rPr>
        <w:t xml:space="preserve">Northstar Digital Services (fictional)  ·  NOR-PRC-IR-001  ·  Procédure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NOR-PRC-IR-001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POL-014</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procédure décrit comment Northstar traite un incident de sécurité soupçonné ou confirmé, du premier signalement à la revue post-incident.</w:t>
      </w:r>
      <w:bookmarkEnd w:id="1"/>
    </w:p>
    <w:p>
      <w:bookmarkStart w:id="2" w:name="_crgt_purpose_2"/>
      <w:r>
        <w:t xml:space="preserve">La présente procédure met en œuvre la Politique de gestion des incidents de sécurité.</w:t>
      </w:r>
      <w:bookmarkEnd w:id="2"/>
    </w:p>
    <w:p>
      <w:pPr>
        <w:pStyle w:val="Heading1"/>
      </w:pPr>
      <w:r>
        <w:t xml:space="preserve">2. Déclenchement</w:t>
      </w:r>
    </w:p>
    <w:p>
      <w:bookmarkStart w:id="3" w:name="_crgt_C1_1"/>
      <w:r>
        <w:t xml:space="preserve">Elle s’applique dès qu’une personne signale un incident soupçonné, qu’une alerte de sécurité est émise ou qu’un fournisseur signale un incident touchant Northstar.</w:t>
      </w:r>
      <w:bookmarkEnd w:id="3"/>
    </w:p>
    <w:p>
      <w:pPr>
        <w:pStyle w:val="Heading1"/>
      </w:pPr>
      <w:r>
        <w:t xml:space="preserve">3. Préalables et intrants</w:t>
      </w:r>
    </w:p>
    <w:p>
      <w:pPr>
        <w:tabs>
          <w:tab w:val="left" w:pos="680"/>
        </w:tabs>
        <w:ind w:left="680" w:hanging="680"/>
      </w:pPr>
      <w:bookmarkStart w:id="4" w:name="_crgs_POL_014_1"/>
      <w:r>
        <w:rPr>
          <w:b/>
          <w:color w:val="0B4F6C"/>
        </w:rPr>
        <w:t xml:space="preserve">3.1</w:t>
        <w:tab/>
      </w:r>
      <w:r>
        <w:t xml:space="preserve">Liste à jour des coordonnées de l’équipe d’intervention, des dirigeants, du conseiller juridique, de l’assureur et des fournisseurs clés : </w:t>
      </w:r>
      <w:r>
        <w:rPr>
          <w:b/>
          <w:highlight w:val="yellow"/>
        </w:rPr>
        <w:t xml:space="preserve">[VALEUR : emplacement de la liste des contacts d’incident]</w:t>
      </w:r>
      <w:r>
        <w:t xml:space="preserve">.</w:t>
      </w:r>
      <w:bookmarkEnd w:id="4"/>
    </w:p>
    <w:p>
      <w:pPr>
        <w:tabs>
          <w:tab w:val="left" w:pos="680"/>
        </w:tabs>
        <w:ind w:left="680" w:hanging="680"/>
      </w:pPr>
      <w:bookmarkStart w:id="5" w:name="_crgs_POL_014_2"/>
      <w:r>
        <w:rPr>
          <w:b/>
          <w:color w:val="0B4F6C"/>
        </w:rPr>
        <w:t xml:space="preserve">3.2</w:t>
        <w:tab/>
      </w:r>
      <w:r>
        <w:t xml:space="preserve">Accès au registre des incidents et au journal des décisions, ainsi qu’un canal de communication de rechange qui ne dépend pas de systèmes possiblement compromis.</w:t>
      </w:r>
      <w:bookmarkEnd w:id="5"/>
    </w:p>
    <w:p>
      <w:pPr>
        <w:pStyle w:val="Heading1"/>
      </w:pPr>
      <w:r>
        <w:t xml:space="preserve">4. Rôles et responsabilités</w:t>
      </w:r>
    </w:p>
    <w:p>
      <w:bookmarkStart w:id="6" w:name="_crgt_C3_1"/>
      <w:r>
        <w:t xml:space="preserve">Matrice des responsabilités</w:t>
      </w:r>
      <w:bookmarkEnd w:id="6"/>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041"/>
        <w:gridCol w:w="1828"/>
        <w:gridCol w:w="1828"/>
        <w:gridCol w:w="1828"/>
        <w:gridCol w:w="1828"/>
      </w:tblGrid>
      <w:tr>
        <w:trPr>
          <w:tblHeader/>
          <w:cantSplit/>
        </w:trPr>
        <w:tc>
          <w:tcPr>
            <w:tcW w:w="2041" w:type="dxa"/>
            <w:shd w:val="clear" w:color="auto" w:fill="0B4F6C"/>
          </w:tcPr>
          <w:p>
            <w:pPr>
              <w:spacing w:after="0"/>
            </w:pPr>
            <w:r>
              <w:rPr>
                <w:b/>
                <w:color w:val="FFFFFF"/>
                <w:sz w:val="17"/>
                <w:szCs w:val="17"/>
              </w:rPr>
              <w:t xml:space="preserve">Activité</w:t>
            </w:r>
          </w:p>
        </w:tc>
        <w:tc>
          <w:tcPr>
            <w:tcW w:w="1828" w:type="dxa"/>
            <w:shd w:val="clear" w:color="auto" w:fill="0B4F6C"/>
          </w:tcPr>
          <w:p>
            <w:pPr>
              <w:spacing w:after="0"/>
            </w:pPr>
            <w:r>
              <w:rPr>
                <w:b/>
                <w:color w:val="FFFFFF"/>
                <w:sz w:val="17"/>
                <w:szCs w:val="17"/>
              </w:rPr>
              <w:t xml:space="preserve">Réalise</w:t>
            </w:r>
          </w:p>
        </w:tc>
        <w:tc>
          <w:tcPr>
            <w:tcW w:w="1828" w:type="dxa"/>
            <w:shd w:val="clear" w:color="auto" w:fill="0B4F6C"/>
          </w:tcPr>
          <w:p>
            <w:pPr>
              <w:spacing w:after="0"/>
            </w:pPr>
            <w:r>
              <w:rPr>
                <w:b/>
                <w:color w:val="FFFFFF"/>
                <w:sz w:val="17"/>
                <w:szCs w:val="17"/>
              </w:rPr>
              <w:t xml:space="preserve">Approuve</w:t>
            </w:r>
          </w:p>
        </w:tc>
        <w:tc>
          <w:tcPr>
            <w:tcW w:w="1828" w:type="dxa"/>
            <w:shd w:val="clear" w:color="auto" w:fill="0B4F6C"/>
          </w:tcPr>
          <w:p>
            <w:pPr>
              <w:spacing w:after="0"/>
            </w:pPr>
            <w:r>
              <w:rPr>
                <w:b/>
                <w:color w:val="FFFFFF"/>
                <w:sz w:val="17"/>
                <w:szCs w:val="17"/>
              </w:rPr>
              <w:t xml:space="preserve">Consulté</w:t>
            </w:r>
          </w:p>
        </w:tc>
        <w:tc>
          <w:tcPr>
            <w:tcW w:w="1828" w:type="dxa"/>
            <w:shd w:val="clear" w:color="auto" w:fill="0B4F6C"/>
          </w:tcPr>
          <w:p>
            <w:pPr>
              <w:spacing w:after="0"/>
            </w:pPr>
            <w:r>
              <w:rPr>
                <w:b/>
                <w:color w:val="FFFFFF"/>
                <w:sz w:val="17"/>
                <w:szCs w:val="17"/>
              </w:rPr>
              <w:t xml:space="preserve">Informé</w:t>
            </w:r>
          </w:p>
        </w:tc>
      </w:tr>
      <w:tr>
        <w:trPr>
          <w:cantSplit/>
        </w:trPr>
        <w:tc>
          <w:tcPr>
            <w:tcW w:w="2041" w:type="dxa"/>
          </w:tcPr>
          <w:p>
            <w:pPr>
              <w:spacing w:after="0"/>
            </w:pPr>
            <w:r>
              <w:rPr>
                <w:sz w:val="17"/>
                <w:szCs w:val="17"/>
              </w:rPr>
              <w:t xml:space="preserve">Signaler et consigner l’incident</w:t>
            </w:r>
          </w:p>
        </w:tc>
        <w:tc>
          <w:tcPr>
            <w:tcW w:w="1828" w:type="dxa"/>
          </w:tcPr>
          <w:p>
            <w:pPr>
              <w:spacing w:after="0"/>
            </w:pPr>
            <w:r>
              <w:rPr>
                <w:sz w:val="17"/>
                <w:szCs w:val="17"/>
              </w:rPr>
              <w:t xml:space="preserve">Déclarant; le gestionnaire des TI</w:t>
            </w:r>
          </w:p>
        </w:tc>
        <w:tc>
          <w:tcPr>
            <w:tcW w:w="1828" w:type="dxa"/>
          </w:tcPr>
          <w:p>
            <w:pPr>
              <w:spacing w:after="0"/>
            </w:pPr>
            <w:r>
              <w:rPr>
                <w:sz w:val="17"/>
                <w:szCs w:val="17"/>
              </w:rPr>
              <w:t xml:space="preserve">Le gestionnaire des TI</w:t>
            </w:r>
          </w:p>
        </w:tc>
        <w:tc>
          <w:tcPr>
            <w:tcW w:w="1828" w:type="dxa"/>
          </w:tcPr>
          <w:p>
            <w:pPr>
              <w:spacing w:after="0"/>
            </w:pPr>
            <w:r>
              <w:rPr>
                <w:sz w:val="17"/>
                <w:szCs w:val="17"/>
              </w:rPr>
              <w:t xml:space="preserve">—</w:t>
            </w:r>
          </w:p>
        </w:tc>
        <w:tc>
          <w:tcPr>
            <w:tcW w:w="1828" w:type="dxa"/>
          </w:tcPr>
          <w:p>
            <w:pPr>
              <w:spacing w:after="0"/>
            </w:pPr>
            <w:r>
              <w:rPr>
                <w:sz w:val="17"/>
                <w:szCs w:val="17"/>
              </w:rPr>
              <w:t xml:space="preserve">Gestionnaire du déclarant</w:t>
            </w:r>
          </w:p>
        </w:tc>
      </w:tr>
      <w:tr>
        <w:trPr>
          <w:cantSplit/>
        </w:trPr>
        <w:tc>
          <w:tcPr>
            <w:tcW w:w="2041" w:type="dxa"/>
          </w:tcPr>
          <w:p>
            <w:pPr>
              <w:spacing w:after="0"/>
            </w:pPr>
            <w:r>
              <w:rPr>
                <w:sz w:val="17"/>
                <w:szCs w:val="17"/>
              </w:rPr>
              <w:t xml:space="preserve">Triage et gravité</w:t>
            </w:r>
          </w:p>
        </w:tc>
        <w:tc>
          <w:tcPr>
            <w:tcW w:w="1828" w:type="dxa"/>
          </w:tcPr>
          <w:p>
            <w:pPr>
              <w:spacing w:after="0"/>
            </w:pPr>
            <w:r>
              <w:rPr>
                <w:sz w:val="17"/>
                <w:szCs w:val="17"/>
              </w:rPr>
              <w:t xml:space="preserve">Le gestionnaire des TI</w:t>
            </w:r>
          </w:p>
        </w:tc>
        <w:tc>
          <w:tcPr>
            <w:tcW w:w="1828" w:type="dxa"/>
          </w:tcPr>
          <w:p>
            <w:pPr>
              <w:spacing w:after="0"/>
            </w:pPr>
            <w:r>
              <w:rPr>
                <w:sz w:val="17"/>
                <w:szCs w:val="17"/>
              </w:rPr>
              <w:t xml:space="preserve">Le gestionnaire des TI</w:t>
            </w:r>
          </w:p>
        </w:tc>
        <w:tc>
          <w:tcPr>
            <w:tcW w:w="1828" w:type="dxa"/>
          </w:tcPr>
          <w:p>
            <w:pPr>
              <w:spacing w:after="0"/>
            </w:pPr>
            <w:r>
              <w:rPr>
                <w:sz w:val="17"/>
                <w:szCs w:val="17"/>
              </w:rPr>
              <w:t xml:space="preserve">Responsable du système</w:t>
            </w:r>
          </w:p>
        </w:tc>
        <w:tc>
          <w:tcPr>
            <w:tcW w:w="1828" w:type="dxa"/>
          </w:tcPr>
          <w:p>
            <w:pPr>
              <w:spacing w:after="0"/>
            </w:pPr>
            <w:r>
              <w:rPr>
                <w:sz w:val="17"/>
                <w:szCs w:val="17"/>
              </w:rPr>
              <w:t xml:space="preserve">Dirigeant désigné (S1–S2)</w:t>
            </w:r>
          </w:p>
        </w:tc>
      </w:tr>
      <w:tr>
        <w:trPr>
          <w:cantSplit/>
        </w:trPr>
        <w:tc>
          <w:tcPr>
            <w:tcW w:w="2041" w:type="dxa"/>
          </w:tcPr>
          <w:p>
            <w:pPr>
              <w:spacing w:after="0"/>
            </w:pPr>
            <w:r>
              <w:rPr>
                <w:sz w:val="17"/>
                <w:szCs w:val="17"/>
              </w:rPr>
              <w:t xml:space="preserve">Confinement</w:t>
            </w:r>
          </w:p>
        </w:tc>
        <w:tc>
          <w:tcPr>
            <w:tcW w:w="1828" w:type="dxa"/>
          </w:tcPr>
          <w:p>
            <w:pPr>
              <w:spacing w:after="0"/>
            </w:pPr>
            <w:r>
              <w:rPr>
                <w:sz w:val="17"/>
                <w:szCs w:val="17"/>
              </w:rPr>
              <w:t xml:space="preserve">Exploitation des TI ou fournisseur de services</w:t>
            </w:r>
          </w:p>
        </w:tc>
        <w:tc>
          <w:tcPr>
            <w:tcW w:w="1828" w:type="dxa"/>
          </w:tcPr>
          <w:p>
            <w:pPr>
              <w:spacing w:after="0"/>
            </w:pPr>
            <w:r>
              <w:rPr>
                <w:sz w:val="17"/>
                <w:szCs w:val="17"/>
              </w:rPr>
              <w:t xml:space="preserve">Le gestionnaire des TI</w:t>
            </w:r>
          </w:p>
        </w:tc>
        <w:tc>
          <w:tcPr>
            <w:tcW w:w="1828" w:type="dxa"/>
          </w:tcPr>
          <w:p>
            <w:pPr>
              <w:spacing w:after="0"/>
            </w:pPr>
            <w:r>
              <w:rPr>
                <w:sz w:val="17"/>
                <w:szCs w:val="17"/>
              </w:rPr>
              <w:t xml:space="preserve">Responsable du système</w:t>
            </w:r>
          </w:p>
        </w:tc>
        <w:tc>
          <w:tcPr>
            <w:tcW w:w="1828" w:type="dxa"/>
          </w:tcPr>
          <w:p>
            <w:pPr>
              <w:spacing w:after="0"/>
            </w:pPr>
            <w:r>
              <w:rPr>
                <w:sz w:val="17"/>
                <w:szCs w:val="17"/>
              </w:rPr>
              <w:t xml:space="preserve">Dirigeant désigné</w:t>
            </w:r>
          </w:p>
        </w:tc>
      </w:tr>
      <w:tr>
        <w:trPr>
          <w:cantSplit/>
        </w:trPr>
        <w:tc>
          <w:tcPr>
            <w:tcW w:w="2041" w:type="dxa"/>
          </w:tcPr>
          <w:p>
            <w:pPr>
              <w:spacing w:after="0"/>
            </w:pPr>
            <w:r>
              <w:rPr>
                <w:sz w:val="17"/>
                <w:szCs w:val="17"/>
              </w:rPr>
              <w:t xml:space="preserve">Évaluation des notifications</w:t>
            </w:r>
          </w:p>
        </w:tc>
        <w:tc>
          <w:tcPr>
            <w:tcW w:w="1828" w:type="dxa"/>
          </w:tcPr>
          <w:p>
            <w:pPr>
              <w:spacing w:after="0"/>
            </w:pPr>
            <w:r>
              <w:rPr>
                <w:b/>
                <w:sz w:val="17"/>
                <w:szCs w:val="17"/>
                <w:highlight w:val="yellow"/>
              </w:rPr>
              <w:t xml:space="preserve">[RÔLE : personne responsable de la protection des renseignements personnels]</w:t>
            </w:r>
            <w:r>
              <w:rPr>
                <w:sz w:val="17"/>
                <w:szCs w:val="17"/>
              </w:rPr>
              <w:t xml:space="preserve">; conseiller juridique</w:t>
            </w:r>
          </w:p>
        </w:tc>
        <w:tc>
          <w:tcPr>
            <w:tcW w:w="1828" w:type="dxa"/>
          </w:tcPr>
          <w:p>
            <w:pPr>
              <w:spacing w:after="0"/>
            </w:pPr>
            <w:r>
              <w:rPr>
                <w:sz w:val="17"/>
                <w:szCs w:val="17"/>
              </w:rPr>
              <w:t xml:space="preserve">Dirigeant désigné</w:t>
            </w:r>
          </w:p>
        </w:tc>
        <w:tc>
          <w:tcPr>
            <w:tcW w:w="1828" w:type="dxa"/>
          </w:tcPr>
          <w:p>
            <w:pPr>
              <w:spacing w:after="0"/>
            </w:pPr>
            <w:r>
              <w:rPr>
                <w:sz w:val="17"/>
                <w:szCs w:val="17"/>
              </w:rPr>
              <w:t xml:space="preserve">Le gestionnaire des TI</w:t>
            </w:r>
          </w:p>
        </w:tc>
        <w:tc>
          <w:tcPr>
            <w:tcW w:w="1828" w:type="dxa"/>
          </w:tcPr>
          <w:p>
            <w:pPr>
              <w:spacing w:after="0"/>
            </w:pPr>
            <w:r>
              <w:rPr>
                <w:b/>
                <w:sz w:val="17"/>
                <w:szCs w:val="17"/>
                <w:highlight w:val="yellow"/>
              </w:rPr>
              <w:t xml:space="preserve">[DÉCISION : comité ou instance de gouvernance de la sécurité]</w:t>
            </w:r>
          </w:p>
        </w:tc>
      </w:tr>
      <w:tr>
        <w:trPr>
          <w:cantSplit/>
        </w:trPr>
        <w:tc>
          <w:tcPr>
            <w:tcW w:w="2041" w:type="dxa"/>
          </w:tcPr>
          <w:p>
            <w:pPr>
              <w:spacing w:after="0"/>
            </w:pPr>
            <w:r>
              <w:rPr>
                <w:sz w:val="17"/>
                <w:szCs w:val="17"/>
              </w:rPr>
              <w:t xml:space="preserve">Communication externe</w:t>
            </w:r>
          </w:p>
        </w:tc>
        <w:tc>
          <w:tcPr>
            <w:tcW w:w="1828" w:type="dxa"/>
          </w:tcPr>
          <w:p>
            <w:pPr>
              <w:spacing w:after="0"/>
            </w:pPr>
            <w:r>
              <w:rPr>
                <w:sz w:val="17"/>
                <w:szCs w:val="17"/>
              </w:rPr>
              <w:t xml:space="preserve">Communications</w:t>
            </w:r>
          </w:p>
        </w:tc>
        <w:tc>
          <w:tcPr>
            <w:tcW w:w="1828" w:type="dxa"/>
          </w:tcPr>
          <w:p>
            <w:pPr>
              <w:spacing w:after="0"/>
            </w:pPr>
            <w:r>
              <w:rPr>
                <w:sz w:val="17"/>
                <w:szCs w:val="17"/>
              </w:rPr>
              <w:t xml:space="preserve">Dirigeant désigné</w:t>
            </w:r>
          </w:p>
        </w:tc>
        <w:tc>
          <w:tcPr>
            <w:tcW w:w="1828" w:type="dxa"/>
          </w:tcPr>
          <w:p>
            <w:pPr>
              <w:spacing w:after="0"/>
            </w:pPr>
            <w:r>
              <w:rPr>
                <w:sz w:val="17"/>
                <w:szCs w:val="17"/>
              </w:rPr>
              <w:t xml:space="preserve">Conseiller juridique; le gestionnaire des TI</w:t>
            </w:r>
          </w:p>
        </w:tc>
        <w:tc>
          <w:tcPr>
            <w:tcW w:w="1828" w:type="dxa"/>
          </w:tcPr>
          <w:p>
            <w:pPr>
              <w:spacing w:after="0"/>
            </w:pPr>
            <w:r>
              <w:rPr>
                <w:sz w:val="17"/>
                <w:szCs w:val="17"/>
              </w:rPr>
              <w:t xml:space="preserve">Personnel</w:t>
            </w:r>
          </w:p>
        </w:tc>
      </w:tr>
      <w:tr>
        <w:trPr>
          <w:cantSplit/>
        </w:trPr>
        <w:tc>
          <w:tcPr>
            <w:tcW w:w="2041" w:type="dxa"/>
          </w:tcPr>
          <w:p>
            <w:pPr>
              <w:spacing w:after="0"/>
            </w:pPr>
            <w:r>
              <w:rPr>
                <w:sz w:val="17"/>
                <w:szCs w:val="17"/>
              </w:rPr>
              <w:t xml:space="preserve">Revue post-incident</w:t>
            </w:r>
          </w:p>
        </w:tc>
        <w:tc>
          <w:tcPr>
            <w:tcW w:w="1828" w:type="dxa"/>
          </w:tcPr>
          <w:p>
            <w:pPr>
              <w:spacing w:after="0"/>
            </w:pPr>
            <w:r>
              <w:rPr>
                <w:sz w:val="17"/>
                <w:szCs w:val="17"/>
              </w:rPr>
              <w:t xml:space="preserve">Le gestionnaire des TI</w:t>
            </w:r>
          </w:p>
        </w:tc>
        <w:tc>
          <w:tcPr>
            <w:tcW w:w="1828" w:type="dxa"/>
          </w:tcPr>
          <w:p>
            <w:pPr>
              <w:spacing w:after="0"/>
            </w:pPr>
            <w:r>
              <w:rPr>
                <w:b/>
                <w:sz w:val="17"/>
                <w:szCs w:val="17"/>
                <w:highlight w:val="yellow"/>
              </w:rPr>
              <w:t xml:space="preserve">[DÉCISION : comité ou instance de gouvernance de la sécurité]</w:t>
            </w:r>
          </w:p>
        </w:tc>
        <w:tc>
          <w:tcPr>
            <w:tcW w:w="1828" w:type="dxa"/>
          </w:tcPr>
          <w:p>
            <w:pPr>
              <w:spacing w:after="0"/>
            </w:pPr>
            <w:r>
              <w:rPr>
                <w:sz w:val="17"/>
                <w:szCs w:val="17"/>
              </w:rPr>
              <w:t xml:space="preserve">Toutes les personnes impliquées</w:t>
            </w:r>
          </w:p>
        </w:tc>
        <w:tc>
          <w:tcPr>
            <w:tcW w:w="1828" w:type="dxa"/>
          </w:tcPr>
          <w:p>
            <w:pPr>
              <w:spacing w:after="0"/>
            </w:pPr>
            <w:r>
              <w:rPr>
                <w:sz w:val="17"/>
                <w:szCs w:val="17"/>
              </w:rPr>
              <w:t xml:space="preserve">Direction</w:t>
            </w:r>
          </w:p>
        </w:tc>
      </w:tr>
    </w:tbl>
    <w:p>
      <w:pPr>
        <w:spacing w:after="40"/>
      </w:pPr>
      <w:r/>
    </w:p>
    <w:p>
      <w:pPr>
        <w:pStyle w:val="Heading1"/>
      </w:pPr>
      <w:r>
        <w:t xml:space="preserve">5. Étapes</w:t>
      </w:r>
    </w:p>
    <w:p>
      <w:bookmarkStart w:id="7" w:name="_crgt_C4_1"/>
      <w:r>
        <w:t xml:space="preserve">Triage : confirmer s’il s’agit d’un incident et attribuer une gravité selon le tableau ci-dessous.</w:t>
      </w:r>
      <w:bookmarkEnd w:id="7"/>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041"/>
        <w:gridCol w:w="3657"/>
        <w:gridCol w:w="3657"/>
      </w:tblGrid>
      <w:tr>
        <w:trPr>
          <w:tblHeader/>
          <w:cantSplit/>
        </w:trPr>
        <w:tc>
          <w:tcPr>
            <w:tcW w:w="2041" w:type="dxa"/>
            <w:shd w:val="clear" w:color="auto" w:fill="0B4F6C"/>
          </w:tcPr>
          <w:p>
            <w:pPr>
              <w:spacing w:after="0"/>
            </w:pPr>
            <w:r>
              <w:rPr>
                <w:b/>
                <w:color w:val="FFFFFF"/>
                <w:sz w:val="18"/>
                <w:szCs w:val="18"/>
              </w:rPr>
              <w:t xml:space="preserve">Gravité</w:t>
            </w:r>
          </w:p>
        </w:tc>
        <w:tc>
          <w:tcPr>
            <w:tcW w:w="3657" w:type="dxa"/>
            <w:shd w:val="clear" w:color="auto" w:fill="0B4F6C"/>
          </w:tcPr>
          <w:p>
            <w:pPr>
              <w:spacing w:after="0"/>
            </w:pPr>
            <w:r>
              <w:rPr>
                <w:b/>
                <w:color w:val="FFFFFF"/>
                <w:sz w:val="18"/>
                <w:szCs w:val="18"/>
              </w:rPr>
              <w:t xml:space="preserve">Critères types</w:t>
            </w:r>
          </w:p>
        </w:tc>
        <w:tc>
          <w:tcPr>
            <w:tcW w:w="3657" w:type="dxa"/>
            <w:shd w:val="clear" w:color="auto" w:fill="0B4F6C"/>
          </w:tcPr>
          <w:p>
            <w:pPr>
              <w:spacing w:after="0"/>
            </w:pPr>
            <w:r>
              <w:rPr>
                <w:b/>
                <w:color w:val="FFFFFF"/>
                <w:sz w:val="18"/>
                <w:szCs w:val="18"/>
              </w:rPr>
              <w:t xml:space="preserve">Début de l’intervention</w:t>
            </w:r>
          </w:p>
        </w:tc>
      </w:tr>
      <w:tr>
        <w:trPr>
          <w:cantSplit/>
        </w:trPr>
        <w:tc>
          <w:tcPr>
            <w:tcW w:w="2041" w:type="dxa"/>
          </w:tcPr>
          <w:p>
            <w:pPr>
              <w:spacing w:after="0"/>
            </w:pPr>
            <w:r>
              <w:rPr>
                <w:sz w:val="18"/>
                <w:szCs w:val="18"/>
              </w:rPr>
              <w:t xml:space="preserve">S1 — Critique</w:t>
            </w:r>
          </w:p>
        </w:tc>
        <w:tc>
          <w:tcPr>
            <w:tcW w:w="3657" w:type="dxa"/>
          </w:tcPr>
          <w:p>
            <w:pPr>
              <w:spacing w:after="0"/>
            </w:pPr>
            <w:r>
              <w:rPr>
                <w:sz w:val="18"/>
                <w:szCs w:val="18"/>
              </w:rPr>
              <w:t xml:space="preserve">Un service essentiel est interrompu; vol ou exposition confirmés de renseignements personnels ou confidentiels; rançongiciel</w:t>
            </w:r>
          </w:p>
        </w:tc>
        <w:tc>
          <w:tcPr>
            <w:tcW w:w="3657" w:type="dxa"/>
          </w:tcPr>
          <w:p>
            <w:pPr>
              <w:spacing w:after="0"/>
            </w:pPr>
            <w:r>
              <w:rPr>
                <w:b/>
                <w:sz w:val="18"/>
                <w:szCs w:val="18"/>
                <w:highlight w:val="yellow"/>
              </w:rPr>
              <w:t xml:space="preserve">[DÉCISION : délai d’intervention S1]</w:t>
            </w:r>
          </w:p>
        </w:tc>
      </w:tr>
      <w:tr>
        <w:trPr>
          <w:cantSplit/>
        </w:trPr>
        <w:tc>
          <w:tcPr>
            <w:tcW w:w="2041" w:type="dxa"/>
          </w:tcPr>
          <w:p>
            <w:pPr>
              <w:spacing w:after="0"/>
            </w:pPr>
            <w:r>
              <w:rPr>
                <w:sz w:val="18"/>
                <w:szCs w:val="18"/>
              </w:rPr>
              <w:t xml:space="preserve">S2 — Élevée</w:t>
            </w:r>
          </w:p>
        </w:tc>
        <w:tc>
          <w:tcPr>
            <w:tcW w:w="3657" w:type="dxa"/>
          </w:tcPr>
          <w:p>
            <w:pPr>
              <w:spacing w:after="0"/>
            </w:pPr>
            <w:r>
              <w:rPr>
                <w:sz w:val="18"/>
                <w:szCs w:val="18"/>
              </w:rPr>
              <w:t xml:space="preserve">Compte privilégié compromis; logiciel malveillant qui se propage; incident chez un fournisseur touchant des données critiques</w:t>
            </w:r>
          </w:p>
        </w:tc>
        <w:tc>
          <w:tcPr>
            <w:tcW w:w="3657" w:type="dxa"/>
          </w:tcPr>
          <w:p>
            <w:pPr>
              <w:spacing w:after="0"/>
            </w:pPr>
            <w:r>
              <w:rPr>
                <w:b/>
                <w:sz w:val="18"/>
                <w:szCs w:val="18"/>
                <w:highlight w:val="yellow"/>
              </w:rPr>
              <w:t xml:space="preserve">[DÉCISION : délai d’intervention S2]</w:t>
            </w:r>
          </w:p>
        </w:tc>
      </w:tr>
      <w:tr>
        <w:trPr>
          <w:cantSplit/>
        </w:trPr>
        <w:tc>
          <w:tcPr>
            <w:tcW w:w="2041" w:type="dxa"/>
          </w:tcPr>
          <w:p>
            <w:pPr>
              <w:spacing w:after="0"/>
            </w:pPr>
            <w:r>
              <w:rPr>
                <w:sz w:val="18"/>
                <w:szCs w:val="18"/>
              </w:rPr>
              <w:t xml:space="preserve">S3 — Moyenne</w:t>
            </w:r>
          </w:p>
        </w:tc>
        <w:tc>
          <w:tcPr>
            <w:tcW w:w="3657" w:type="dxa"/>
          </w:tcPr>
          <w:p>
            <w:pPr>
              <w:spacing w:after="0"/>
            </w:pPr>
            <w:r>
              <w:rPr>
                <w:sz w:val="18"/>
                <w:szCs w:val="18"/>
              </w:rPr>
              <w:t xml:space="preserve">Un seul compte ou appareil compromis, maîtrisé</w:t>
            </w:r>
          </w:p>
        </w:tc>
        <w:tc>
          <w:tcPr>
            <w:tcW w:w="3657" w:type="dxa"/>
          </w:tcPr>
          <w:p>
            <w:pPr>
              <w:spacing w:after="0"/>
            </w:pPr>
            <w:r>
              <w:rPr>
                <w:b/>
                <w:sz w:val="18"/>
                <w:szCs w:val="18"/>
                <w:highlight w:val="yellow"/>
              </w:rPr>
              <w:t xml:space="preserve">[DÉCISION : délai d’intervention S3]</w:t>
            </w:r>
          </w:p>
        </w:tc>
      </w:tr>
      <w:tr>
        <w:trPr>
          <w:cantSplit/>
        </w:trPr>
        <w:tc>
          <w:tcPr>
            <w:tcW w:w="2041" w:type="dxa"/>
          </w:tcPr>
          <w:p>
            <w:pPr>
              <w:spacing w:after="0"/>
            </w:pPr>
            <w:r>
              <w:rPr>
                <w:sz w:val="18"/>
                <w:szCs w:val="18"/>
              </w:rPr>
              <w:t xml:space="preserve">S4 — Faible</w:t>
            </w:r>
          </w:p>
        </w:tc>
        <w:tc>
          <w:tcPr>
            <w:tcW w:w="3657" w:type="dxa"/>
          </w:tcPr>
          <w:p>
            <w:pPr>
              <w:spacing w:after="0"/>
            </w:pPr>
            <w:r>
              <w:rPr>
                <w:sz w:val="18"/>
                <w:szCs w:val="18"/>
              </w:rPr>
              <w:t xml:space="preserve">Manquement à une politique ou tentative bloquée sans impact</w:t>
            </w:r>
          </w:p>
        </w:tc>
        <w:tc>
          <w:tcPr>
            <w:tcW w:w="3657" w:type="dxa"/>
          </w:tcPr>
          <w:p>
            <w:pPr>
              <w:spacing w:after="0"/>
            </w:pPr>
            <w:r>
              <w:rPr>
                <w:sz w:val="18"/>
                <w:szCs w:val="18"/>
              </w:rPr>
              <w:t xml:space="preserve">Jour ouvrable suivant</w:t>
            </w:r>
          </w:p>
        </w:tc>
      </w:tr>
    </w:tbl>
    <w:p>
      <w:pPr>
        <w:spacing w:after="40"/>
      </w:pPr>
      <w:r/>
    </w:p>
    <w:p>
      <w:pPr>
        <w:tabs>
          <w:tab w:val="left" w:pos="680"/>
        </w:tabs>
        <w:ind w:left="680" w:hanging="680"/>
      </w:pPr>
      <w:bookmarkStart w:id="8" w:name="_crgs_POL_014_3"/>
      <w:r>
        <w:rPr>
          <w:b/>
          <w:color w:val="0B4F6C"/>
        </w:rPr>
        <w:t xml:space="preserve">5.1</w:t>
        <w:tab/>
      </w:r>
      <w:r>
        <w:t xml:space="preserve">Recevoir le signalement par le canal publié, ouvrir une entrée au registre des incidents (heure, déclarant, systèmes, premières observations) et en accuser réception au déclarant.</w:t>
      </w:r>
      <w:bookmarkEnd w:id="8"/>
    </w:p>
    <w:p>
      <w:pPr>
        <w:tabs>
          <w:tab w:val="left" w:pos="680"/>
        </w:tabs>
        <w:ind w:left="680" w:hanging="680"/>
      </w:pPr>
      <w:bookmarkStart w:id="9" w:name="_crgs_POL_014_4"/>
      <w:r>
        <w:rPr>
          <w:b/>
          <w:color w:val="0B4F6C"/>
        </w:rPr>
        <w:t xml:space="preserve">5.2</w:t>
        <w:tab/>
      </w:r>
      <w:r>
        <w:t xml:space="preserve">Pour S1 et S2, informer immédiatement le dirigeant désigné et réunir l’équipe d’intervention; le dirigeant décide d’activer ou non la gestion de crise et les plans de continuité.</w:t>
      </w:r>
      <w:bookmarkEnd w:id="9"/>
    </w:p>
    <w:p>
      <w:pPr>
        <w:tabs>
          <w:tab w:val="left" w:pos="680"/>
        </w:tabs>
        <w:ind w:left="680" w:hanging="680"/>
      </w:pPr>
      <w:bookmarkStart w:id="10" w:name="_crgs_POL_014_5"/>
      <w:r>
        <w:rPr>
          <w:b/>
          <w:color w:val="0B4F6C"/>
        </w:rPr>
        <w:t xml:space="preserve">5.3</w:t>
        <w:tab/>
      </w:r>
      <w:r>
        <w:t xml:space="preserve">Confiner : isoler les appareils touchés, désactiver les comptes compromis, bloquer les adresses malveillantes, dans les limites de l’autorité prévue par la politique de gestion des incidents. Consigner chaque action et son heure au journal des décisions.</w:t>
      </w:r>
      <w:bookmarkEnd w:id="10"/>
    </w:p>
    <w:p>
      <w:pPr>
        <w:tabs>
          <w:tab w:val="left" w:pos="680"/>
        </w:tabs>
        <w:ind w:left="680" w:hanging="680"/>
      </w:pPr>
      <w:bookmarkStart w:id="11" w:name="_crgs_POL_014_6"/>
      <w:r>
        <w:rPr>
          <w:b/>
          <w:color w:val="0B4F6C"/>
        </w:rPr>
        <w:t xml:space="preserve">5.4</w:t>
        <w:tab/>
      </w:r>
      <w:r>
        <w:t xml:space="preserve">Préserver la preuve avant d’effacer ou de reconstruire : images ou instantanés des systèmes, journaux et messages pertinents, en consignant qui les a recueillis et quand.</w:t>
      </w:r>
      <w:bookmarkEnd w:id="11"/>
    </w:p>
    <w:p>
      <w:pPr>
        <w:tabs>
          <w:tab w:val="left" w:pos="680"/>
        </w:tabs>
        <w:ind w:left="680" w:hanging="680"/>
      </w:pPr>
      <w:bookmarkStart w:id="12" w:name="_crgs_POL_014_7"/>
      <w:r>
        <w:rPr>
          <w:b/>
          <w:color w:val="0B4F6C"/>
        </w:rPr>
        <w:t xml:space="preserve">5.5</w:t>
        <w:tab/>
      </w:r>
      <w:r>
        <w:t xml:space="preserve">Évaluer sans délai les obligations de notification : </w:t>
      </w:r>
      <w:r>
        <w:rPr>
          <w:b/>
          <w:highlight w:val="yellow"/>
        </w:rPr>
        <w:t xml:space="preserve">[RÔLE : personne responsable de la protection des renseignements personnels]</w:t>
      </w:r>
      <w:r>
        <w:t xml:space="preserve"> et le conseiller juridique déterminent si les régulateurs, les personnes concernées, les clients, l’assureur ou les forces de l’ordre doivent être avisés, et dans quel délai.</w:t>
      </w:r>
      <w:bookmarkEnd w:id="12"/>
    </w:p>
    <w:p>
      <w:pPr>
        <w:tabs>
          <w:tab w:val="left" w:pos="680"/>
        </w:tabs>
        <w:ind w:left="680" w:hanging="680"/>
      </w:pPr>
      <w:bookmarkStart w:id="13" w:name="_crgs_POL_014_8"/>
      <w:r>
        <w:rPr>
          <w:b/>
          <w:color w:val="0B4F6C"/>
        </w:rPr>
        <w:t xml:space="preserve">5.6</w:t>
        <w:tab/>
      </w:r>
      <w:r>
        <w:t xml:space="preserve">Éliminer la cause, restaurer à partir de sauvegardes saines, vérifier l’intégrité et surveiller étroitement avant le retour à l’exploitation normale.</w:t>
      </w:r>
      <w:bookmarkEnd w:id="13"/>
    </w:p>
    <w:p>
      <w:pPr>
        <w:tabs>
          <w:tab w:val="left" w:pos="680"/>
        </w:tabs>
        <w:ind w:left="680" w:hanging="680"/>
      </w:pPr>
      <w:bookmarkStart w:id="14" w:name="_crgs_POL_014_9"/>
      <w:r>
        <w:rPr>
          <w:b/>
          <w:color w:val="0B4F6C"/>
        </w:rPr>
        <w:t xml:space="preserve">5.7</w:t>
        <w:tab/>
      </w:r>
      <w:r>
        <w:t xml:space="preserve">Clore l’incident et tenir une revue post-incident dans un délai de </w:t>
      </w:r>
      <w:r>
        <w:rPr>
          <w:b/>
          <w:highlight w:val="yellow"/>
        </w:rPr>
        <w:t xml:space="preserve">[DÉCISION : délai de la revue post-incident]</w:t>
      </w:r>
      <w:r>
        <w:t xml:space="preserve">.</w:t>
      </w:r>
      <w:bookmarkEnd w:id="14"/>
    </w:p>
    <w:p>
      <w:pPr>
        <w:pStyle w:val="Heading1"/>
      </w:pPr>
      <w:r>
        <w:t xml:space="preserve">6. Registres et preuves</w:t>
      </w:r>
    </w:p>
    <w:p>
      <w:bookmarkStart w:id="15" w:name="_crgt_C5_1"/>
      <w:r>
        <w:t xml:space="preserve">Registres tenus : entrée au registre des incidents, journal des décisions, inventaire des preuves, notifications effectuées et leurs dates, rapport post-incident et plan d’action.</w:t>
      </w:r>
      <w:bookmarkEnd w:id="15"/>
    </w:p>
    <w:p>
      <w:pPr>
        <w:pStyle w:val="Heading1"/>
      </w:pPr>
      <w:r>
        <w:t xml:space="preserve">7. Mise à l’essai et tenue à jour</w:t>
      </w:r>
    </w:p>
    <w:p>
      <w:pPr>
        <w:tabs>
          <w:tab w:val="left" w:pos="680"/>
        </w:tabs>
        <w:ind w:left="680" w:hanging="680"/>
      </w:pPr>
      <w:bookmarkStart w:id="16" w:name="_crgs_POL_014_10"/>
      <w:r>
        <w:rPr>
          <w:b/>
          <w:color w:val="0B4F6C"/>
        </w:rPr>
        <w:t xml:space="preserve">7.1</w:t>
        <w:tab/>
      </w:r>
      <w:r>
        <w:t xml:space="preserve">La présente procédure est mise à l’essai </w:t>
      </w:r>
      <w:r>
        <w:rPr>
          <w:b/>
          <w:highlight w:val="yellow"/>
        </w:rPr>
        <w:t xml:space="preserve">[DÉCISION : À quelle fréquence la réponse aux incidents est-elle exercée?]</w:t>
      </w:r>
      <w:r>
        <w:t xml:space="preserve"> et mise à jour après chaque exercice et chaque incident S1–S2.</w:t>
      </w:r>
      <w:bookmarkEnd w:id="16"/>
    </w:p>
    <w:p>
      <w:pPr>
        <w:pStyle w:val="Heading1"/>
      </w:pPr>
      <w:r>
        <w:t xml:space="preserve">8. Dérogations</w:t>
      </w:r>
    </w:p>
    <w:p>
      <w:pPr>
        <w:tabs>
          <w:tab w:val="left" w:pos="680"/>
        </w:tabs>
        <w:ind w:left="680" w:hanging="680"/>
      </w:pPr>
      <w:bookmarkStart w:id="17" w:name="_crgs_POL_014_11"/>
      <w:r>
        <w:rPr>
          <w:b/>
          <w:color w:val="0B4F6C"/>
        </w:rPr>
        <w:t xml:space="preserve">8.1</w:t>
        <w:tab/>
      </w:r>
      <w:r>
        <w:t xml:space="preserve">Tout écart au présent document exige une dérogation approuvée selon le processus de dérogation prévu à la Politique de sécurité de l’information de l’entreprise.</w:t>
      </w:r>
      <w:bookmarkEnd w:id="17"/>
    </w:p>
    <w:p>
      <w:pPr>
        <w:pStyle w:val="Heading1"/>
      </w:pPr>
      <w:r>
        <w:t xml:space="preserve">9. Révision</w:t>
      </w:r>
    </w:p>
    <w:p>
      <w:pPr>
        <w:tabs>
          <w:tab w:val="left" w:pos="680"/>
        </w:tabs>
        <w:ind w:left="680" w:hanging="680"/>
      </w:pPr>
      <w:bookmarkStart w:id="18" w:name="_crgs_POL_014_12"/>
      <w:r>
        <w:rPr>
          <w:b/>
          <w:color w:val="0B4F6C"/>
        </w:rPr>
        <w:t xml:space="preserve">9.1</w:t>
        <w:tab/>
      </w:r>
      <w:r>
        <w:t xml:space="preserve">Le gestionnaire des TI tient à jour le présent document. Il est révisé </w:t>
      </w:r>
      <w:r>
        <w:rPr>
          <w:b/>
          <w:highlight w:val="yellow"/>
        </w:rPr>
        <w:t xml:space="preserve">[DÉCISION : cycle de révision des politiques]</w:t>
      </w:r>
      <w:r>
        <w:t xml:space="preserve">, lorsque sa politique parente change et après tout incident ou constat d’audit qui en démontre l’inefficacité.</w:t>
      </w:r>
      <w:bookmarkEnd w:id="18"/>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3.1 (POL-014.1)</w:t>
            </w:r>
          </w:p>
        </w:tc>
        <w:tc>
          <w:tcPr>
            <w:tcW w:w="1474" w:type="dxa"/>
          </w:tcPr>
          <w:p>
            <w:pPr>
              <w:spacing w:after="0"/>
            </w:pPr>
            <w:r>
              <w:rPr>
                <w:sz w:val="17"/>
                <w:szCs w:val="17"/>
              </w:rPr>
              <w:t xml:space="preserve">VALEUR</w:t>
            </w:r>
          </w:p>
        </w:tc>
        <w:tc>
          <w:tcPr>
            <w:tcW w:w="5329" w:type="dxa"/>
          </w:tcPr>
          <w:p>
            <w:pPr>
              <w:spacing w:after="0"/>
            </w:pPr>
            <w:r>
              <w:rPr>
                <w:sz w:val="17"/>
                <w:szCs w:val="17"/>
              </w:rPr>
              <w:t xml:space="preserve">emplacement de la liste des contacts d’incident</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5.5 (POL-014.7)</w:t>
            </w:r>
          </w:p>
        </w:tc>
        <w:tc>
          <w:tcPr>
            <w:tcW w:w="1474" w:type="dxa"/>
          </w:tcPr>
          <w:p>
            <w:pPr>
              <w:spacing w:after="0"/>
            </w:pPr>
            <w:r>
              <w:rPr>
                <w:sz w:val="17"/>
                <w:szCs w:val="17"/>
              </w:rPr>
              <w:t xml:space="preserve">RÔLE</w:t>
            </w:r>
          </w:p>
        </w:tc>
        <w:tc>
          <w:tcPr>
            <w:tcW w:w="5329" w:type="dxa"/>
          </w:tcPr>
          <w:p>
            <w:pPr>
              <w:spacing w:after="0"/>
            </w:pPr>
            <w:r>
              <w:rPr>
                <w:sz w:val="17"/>
                <w:szCs w:val="17"/>
              </w:rPr>
              <w:t xml:space="preserve">personne responsable de la protection des renseignements personnels</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5.7 (POL-014.9)</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délai de la revue post-incident</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7.1 (POL-014.10)</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À quelle fréquence la réponse aux incidents est-elle exercée?</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9.1 (POL-014.12)</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3.1 · POL-014.1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3.2 · POL-014.2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POL-014.3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POL-014.4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POL-014.5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POL-014.6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5.5 · POL-014.7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5.6 · POL-014.8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5.7 · POL-014.9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POL-014.10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POL-014.11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POL-014.12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NOR-PRC-IR-001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d’intervention en cas d’incident de sécurité</dc:title>
  <dc:subject>NOR-PRC-IR-001</dc:subject>
  <dc:creator>CyberRiskGuardian</dc:creator>
  <cp:keywords>isp=POL-014; writer=PRC-IR;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crg-isp|sample|POL-014|v0.1|fr|draft|392e2f35df35493f</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