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Authentication and Password Standard</w:t>
      </w:r>
    </w:p>
    <w:p>
      <w:r>
        <w:rPr>
          <w:color w:val="5F6B76"/>
          <w:sz w:val="22"/>
          <w:szCs w:val="22"/>
        </w:rPr>
        <w:t xml:space="preserve">Northstar Digital Services (fictional)  ·  NOR-STD-AUTH-001  ·  Standard</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NOR-STD-AUTH-001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POL-011</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standard sets the minimum authentication requirements for accounts that access Northstar’s information and systems.</w:t>
      </w:r>
      <w:bookmarkEnd w:id="1"/>
    </w:p>
    <w:p>
      <w:pPr>
        <w:pStyle w:val="Heading1"/>
      </w:pPr>
      <w:r>
        <w:t xml:space="preserve">2. Enabling policy</w:t>
      </w:r>
    </w:p>
    <w:p>
      <w:bookmarkStart w:id="2" w:name="_crgt_C1_1"/>
      <w:r>
        <w:t xml:space="preserve">This standard sets the mandatory, measurable requirements that implement the Identity and Access Management Policy. If they conflict, the policy prevails and this standard must be corrected.</w:t>
      </w:r>
      <w:bookmarkEnd w:id="2"/>
    </w:p>
    <w:p>
      <w:pPr>
        <w:pStyle w:val="Heading1"/>
      </w:pPr>
      <w:r>
        <w:t xml:space="preserve">3. Applicability</w:t>
      </w:r>
    </w:p>
    <w:p>
      <w:pPr>
        <w:tabs>
          <w:tab w:val="left" w:pos="680"/>
        </w:tabs>
        <w:ind w:left="680" w:hanging="680"/>
      </w:pPr>
      <w:bookmarkStart w:id="3" w:name="_crgs_POL_011_1"/>
      <w:r>
        <w:rPr>
          <w:b/>
          <w:color w:val="0B4F6C"/>
        </w:rPr>
        <w:t xml:space="preserve">3.1</w:t>
        <w:tab/>
      </w:r>
      <w:r>
        <w:t xml:space="preserve">It applies to every user, privileged, service and third-party account on systems owned or used by Northstar, including cloud services. Multi-factor authentication is mandatory for: </w:t>
      </w:r>
      <w:r>
        <w:rPr>
          <w:b/>
          <w:highlight w:val="yellow"/>
        </w:rPr>
        <w:t xml:space="preserve">[DECISION: Where must multi-factor authentication be required?]</w:t>
      </w:r>
      <w:r>
        <w:t xml:space="preserve">.</w:t>
      </w:r>
      <w:bookmarkEnd w:id="3"/>
    </w:p>
    <w:p>
      <w:pPr>
        <w:pStyle w:val="Heading1"/>
      </w:pPr>
      <w:r>
        <w:t xml:space="preserve">4. Ownership</w:t>
      </w:r>
    </w:p>
    <w:p>
      <w:bookmarkStart w:id="4" w:name="_crgt_C3_1"/>
      <w:r>
        <w:t xml:space="preserve">The IT Manager owns this standard. System owners apply it to their systems; custodians configure and operate the controls.</w:t>
      </w:r>
      <w:bookmarkEnd w:id="4"/>
    </w:p>
    <w:p>
      <w:pPr>
        <w:pStyle w:val="Heading1"/>
      </w:pPr>
      <w:r>
        <w:t xml:space="preserve">5. Passwords</w:t>
      </w:r>
    </w:p>
    <w:p>
      <w:pPr>
        <w:tabs>
          <w:tab w:val="left" w:pos="680"/>
        </w:tabs>
        <w:ind w:left="680" w:hanging="680"/>
      </w:pPr>
      <w:bookmarkStart w:id="5" w:name="_crgs_POL_011_2"/>
      <w:r>
        <w:rPr>
          <w:b/>
          <w:color w:val="0B4F6C"/>
        </w:rPr>
        <w:t xml:space="preserve">5.1</w:t>
        <w:tab/>
      </w:r>
      <w:r>
        <w:t xml:space="preserve">Passwords must contain at least </w:t>
      </w:r>
      <w:r>
        <w:rPr>
          <w:b/>
          <w:highlight w:val="yellow"/>
        </w:rPr>
        <w:t xml:space="preserve">[DECISION: minimum password length]</w:t>
      </w:r>
      <w:r>
        <w:t xml:space="preserve"> characters.</w:t>
      </w:r>
      <w:bookmarkEnd w:id="5"/>
    </w:p>
    <w:p>
      <w:pPr>
        <w:tabs>
          <w:tab w:val="left" w:pos="680"/>
        </w:tabs>
        <w:ind w:left="680" w:hanging="680"/>
      </w:pPr>
      <w:bookmarkStart w:id="6" w:name="_crgs_POL_011_3"/>
      <w:r>
        <w:rPr>
          <w:b/>
          <w:color w:val="0B4F6C"/>
        </w:rPr>
        <w:t xml:space="preserve">5.2</w:t>
        <w:tab/>
      </w:r>
      <w:r>
        <w:t xml:space="preserve">New and changed passwords must be checked against a list of commonly used and known-compromised passwords and rejected if they match.</w:t>
      </w:r>
      <w:bookmarkEnd w:id="6"/>
    </w:p>
    <w:p>
      <w:pPr>
        <w:tabs>
          <w:tab w:val="left" w:pos="680"/>
        </w:tabs>
        <w:ind w:left="680" w:hanging="680"/>
      </w:pPr>
      <w:bookmarkStart w:id="7" w:name="_crgs_POL_011_4"/>
      <w:r>
        <w:rPr>
          <w:b/>
          <w:color w:val="0B4F6C"/>
        </w:rPr>
        <w:t xml:space="preserve">5.3</w:t>
        <w:tab/>
      </w:r>
      <w:r>
        <w:t xml:space="preserve">Composition rules (mandatory mixes of character types) and periodic forced changes must not be imposed; a password must be changed when there is evidence or suspicion of compromise.</w:t>
      </w:r>
      <w:bookmarkEnd w:id="7"/>
    </w:p>
    <w:p>
      <w:pPr>
        <w:tabs>
          <w:tab w:val="left" w:pos="680"/>
        </w:tabs>
        <w:ind w:left="680" w:hanging="680"/>
      </w:pPr>
      <w:bookmarkStart w:id="8" w:name="_crgs_POL_011_5"/>
      <w:r>
        <w:rPr>
          <w:b/>
          <w:color w:val="0B4F6C"/>
        </w:rPr>
        <w:t xml:space="preserve">5.4</w:t>
        <w:tab/>
      </w:r>
      <w:r>
        <w:t xml:space="preserve">After </w:t>
      </w:r>
      <w:r>
        <w:rPr>
          <w:b/>
          <w:highlight w:val="yellow"/>
        </w:rPr>
        <w:t xml:space="preserve">[DECISION: number of failed attempts]</w:t>
      </w:r>
      <w:r>
        <w:t xml:space="preserve"> consecutive failed sign-in attempts, the account must be locked or throttled.</w:t>
      </w:r>
      <w:bookmarkEnd w:id="8"/>
    </w:p>
    <w:p>
      <w:pPr>
        <w:tabs>
          <w:tab w:val="left" w:pos="680"/>
        </w:tabs>
        <w:ind w:left="680" w:hanging="680"/>
      </w:pPr>
      <w:bookmarkStart w:id="9" w:name="_crgs_POL_011_6"/>
      <w:r>
        <w:rPr>
          <w:b/>
          <w:color w:val="0B4F6C"/>
        </w:rPr>
        <w:t xml:space="preserve">5.5</w:t>
        <w:tab/>
      </w:r>
      <w:r>
        <w:t xml:space="preserve">A password manager approved by the IT Manager should be provided to staff who hold several credentials.</w:t>
      </w:r>
      <w:bookmarkEnd w:id="9"/>
    </w:p>
    <w:p>
      <w:pPr>
        <w:pStyle w:val="Heading1"/>
      </w:pPr>
      <w:r>
        <w:t xml:space="preserve">6. Multi-factor authentication</w:t>
      </w:r>
    </w:p>
    <w:p>
      <w:pPr>
        <w:tabs>
          <w:tab w:val="left" w:pos="680"/>
        </w:tabs>
        <w:ind w:left="680" w:hanging="680"/>
      </w:pPr>
      <w:bookmarkStart w:id="10" w:name="_crgs_POL_011_7"/>
      <w:r>
        <w:rPr>
          <w:b/>
          <w:color w:val="0B4F6C"/>
        </w:rPr>
        <w:t xml:space="preserve">6.1</w:t>
        <w:tab/>
      </w:r>
      <w:r>
        <w:t xml:space="preserve">Accepted second factors are </w:t>
      </w:r>
      <w:r>
        <w:rPr>
          <w:b/>
          <w:highlight w:val="yellow"/>
        </w:rPr>
        <w:t xml:space="preserve">[DECISION: accepted second factors]</w:t>
      </w:r>
      <w:r>
        <w:t xml:space="preserve">.</w:t>
      </w:r>
      <w:bookmarkEnd w:id="10"/>
    </w:p>
    <w:p>
      <w:pPr>
        <w:tabs>
          <w:tab w:val="left" w:pos="680"/>
        </w:tabs>
        <w:ind w:left="680" w:hanging="680"/>
      </w:pPr>
      <w:bookmarkStart w:id="11" w:name="_crgs_POL_011_8"/>
      <w:r>
        <w:rPr>
          <w:b/>
          <w:color w:val="0B4F6C"/>
        </w:rPr>
        <w:t xml:space="preserve">6.2</w:t>
        <w:tab/>
      </w:r>
      <w:r>
        <w:t xml:space="preserve">Resetting a second factor requires verifying the person’s identity through a channel other than the one being reset.</w:t>
      </w:r>
      <w:bookmarkEnd w:id="11"/>
    </w:p>
    <w:p>
      <w:pPr>
        <w:pStyle w:val="Heading1"/>
      </w:pPr>
      <w:r>
        <w:t xml:space="preserve">7. Sessions and devices</w:t>
      </w:r>
    </w:p>
    <w:p>
      <w:pPr>
        <w:tabs>
          <w:tab w:val="left" w:pos="680"/>
        </w:tabs>
        <w:ind w:left="680" w:hanging="680"/>
      </w:pPr>
      <w:bookmarkStart w:id="12" w:name="_crgs_POL_011_9"/>
      <w:r>
        <w:rPr>
          <w:b/>
          <w:color w:val="0B4F6C"/>
        </w:rPr>
        <w:t xml:space="preserve">7.1</w:t>
        <w:tab/>
      </w:r>
      <w:r>
        <w:t xml:space="preserve">Workstations and mobile devices must lock automatically after </w:t>
      </w:r>
      <w:r>
        <w:rPr>
          <w:b/>
          <w:highlight w:val="yellow"/>
        </w:rPr>
        <w:t xml:space="preserve">[DECISION: inactivity delay]</w:t>
      </w:r>
      <w:r>
        <w:t xml:space="preserve"> of inactivity.</w:t>
      </w:r>
      <w:bookmarkEnd w:id="12"/>
    </w:p>
    <w:p>
      <w:pPr>
        <w:tabs>
          <w:tab w:val="left" w:pos="680"/>
        </w:tabs>
        <w:ind w:left="680" w:hanging="680"/>
      </w:pPr>
      <w:bookmarkStart w:id="13" w:name="_crgs_POL_011_10"/>
      <w:r>
        <w:rPr>
          <w:b/>
          <w:color w:val="0B4F6C"/>
        </w:rPr>
        <w:t xml:space="preserve">7.2</w:t>
        <w:tab/>
      </w:r>
      <w:r>
        <w:t xml:space="preserve">Remote-access and administrative sessions must end or require re-authentication after </w:t>
      </w:r>
      <w:r>
        <w:rPr>
          <w:b/>
          <w:highlight w:val="yellow"/>
        </w:rPr>
        <w:t xml:space="preserve">[VALUE: maximum session duration in hours]</w:t>
      </w:r>
      <w:r>
        <w:t xml:space="preserve">.</w:t>
      </w:r>
      <w:bookmarkEnd w:id="13"/>
    </w:p>
    <w:p>
      <w:pPr>
        <w:pStyle w:val="Heading1"/>
      </w:pPr>
      <w:r>
        <w:t xml:space="preserve">8. Service accounts and secrets</w:t>
      </w:r>
    </w:p>
    <w:p>
      <w:pPr>
        <w:tabs>
          <w:tab w:val="left" w:pos="680"/>
        </w:tabs>
        <w:ind w:left="680" w:hanging="680"/>
      </w:pPr>
      <w:bookmarkStart w:id="14" w:name="_crgs_POL_011_11"/>
      <w:r>
        <w:rPr>
          <w:b/>
          <w:color w:val="0B4F6C"/>
        </w:rPr>
        <w:t xml:space="preserve">8.1</w:t>
        <w:tab/>
      </w:r>
      <w:r>
        <w:t xml:space="preserve">Service-account passwords and API secrets must be randomly generated with at least 32 characters, stored only in an approved secrets vault, and never sent by email or chat.</w:t>
      </w:r>
      <w:bookmarkEnd w:id="14"/>
    </w:p>
    <w:p>
      <w:pPr>
        <w:tabs>
          <w:tab w:val="left" w:pos="680"/>
        </w:tabs>
        <w:ind w:left="680" w:hanging="680"/>
      </w:pPr>
      <w:bookmarkStart w:id="15" w:name="_crgs_POL_011_12"/>
      <w:r>
        <w:rPr>
          <w:b/>
          <w:color w:val="0B4F6C"/>
        </w:rPr>
        <w:t xml:space="preserve">8.2</w:t>
        <w:tab/>
      </w:r>
      <w:r>
        <w:t xml:space="preserve">Secrets must be changed when a person who knew them leaves or changes role, and when compromise is suspected.</w:t>
      </w:r>
      <w:bookmarkEnd w:id="15"/>
    </w:p>
    <w:p>
      <w:pPr>
        <w:tabs>
          <w:tab w:val="left" w:pos="680"/>
        </w:tabs>
        <w:ind w:left="680" w:hanging="680"/>
      </w:pPr>
      <w:bookmarkStart w:id="16" w:name="_crgs_POL_011_13"/>
      <w:r>
        <w:rPr>
          <w:b/>
          <w:color w:val="0B4F6C"/>
        </w:rPr>
        <w:t xml:space="preserve">8.3</w:t>
        <w:tab/>
      </w:r>
      <w:r>
        <w:t xml:space="preserve">Default and vendor-supplied credentials must be changed before a system or device is connected to the network.</w:t>
      </w:r>
      <w:bookmarkEnd w:id="16"/>
    </w:p>
    <w:p>
      <w:pPr>
        <w:pStyle w:val="Heading1"/>
      </w:pPr>
      <w:r>
        <w:t xml:space="preserve">9. Evidence of compliance</w:t>
      </w:r>
    </w:p>
    <w:p>
      <w:pPr>
        <w:tabs>
          <w:tab w:val="left" w:pos="680"/>
        </w:tabs>
        <w:ind w:left="680" w:hanging="680"/>
      </w:pPr>
      <w:bookmarkStart w:id="17" w:name="_crgs_POL_011_14"/>
      <w:r>
        <w:rPr>
          <w:b/>
          <w:color w:val="0B4F6C"/>
        </w:rPr>
        <w:t xml:space="preserve">9.1</w:t>
        <w:tab/>
      </w:r>
      <w:r>
        <w:t xml:space="preserve">Evidence of compliance includes identity-provider configuration exports, MFA enrolment reports, and lists of exceptions; the IT Manager reviews them at least annually.</w:t>
      </w:r>
      <w:bookmarkEnd w:id="17"/>
    </w:p>
    <w:p>
      <w:pPr>
        <w:pStyle w:val="Heading1"/>
      </w:pPr>
      <w:r>
        <w:t xml:space="preserve">10. Exceptions</w:t>
      </w:r>
    </w:p>
    <w:p>
      <w:pPr>
        <w:tabs>
          <w:tab w:val="left" w:pos="680"/>
        </w:tabs>
        <w:ind w:left="680" w:hanging="680"/>
      </w:pPr>
      <w:bookmarkStart w:id="18" w:name="_crgs_POL_011_15"/>
      <w:r>
        <w:rPr>
          <w:b/>
          <w:color w:val="0B4F6C"/>
        </w:rPr>
        <w:t xml:space="preserve">10.1</w:t>
        <w:tab/>
      </w:r>
      <w:r>
        <w:t xml:space="preserve">Departures from this document require an exception approved through the exception process set out in the Enterprise Information Security Policy.</w:t>
      </w:r>
      <w:bookmarkEnd w:id="18"/>
    </w:p>
    <w:p>
      <w:pPr>
        <w:pStyle w:val="Heading1"/>
      </w:pPr>
      <w:r>
        <w:t xml:space="preserve">11. Review</w:t>
      </w:r>
    </w:p>
    <w:p>
      <w:pPr>
        <w:tabs>
          <w:tab w:val="left" w:pos="680"/>
        </w:tabs>
        <w:ind w:left="680" w:hanging="680"/>
      </w:pPr>
      <w:bookmarkStart w:id="19" w:name="_crgs_POL_011_16"/>
      <w:r>
        <w:rPr>
          <w:b/>
          <w:color w:val="0B4F6C"/>
        </w:rPr>
        <w:t xml:space="preserve">11.1</w:t>
        <w:tab/>
      </w:r>
      <w:r>
        <w:t xml:space="preserve">The IT Manager maintains this document. It is reviewed </w:t>
      </w:r>
      <w:r>
        <w:rPr>
          <w:b/>
          <w:highlight w:val="yellow"/>
        </w:rPr>
        <w:t xml:space="preserve">[DECISION: policy review cycle]</w:t>
      </w:r>
      <w:r>
        <w:t xml:space="preserve">, when its parent policy changes, and after any incident or audit finding that shows it to be ineffective.</w:t>
      </w:r>
      <w:bookmarkEnd w:id="19"/>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3.1 (POL-011.1)</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Where must multi-factor authentication be required?</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5.1 (POL-011.2)</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minimum password length</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5.4 (POL-011.5)</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number of failed attempts</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6.1 (POL-011.7)</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accepted second factors</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7.1 (POL-011.9)</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inactivity delay</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7.2 (POL-011.10)</w:t>
            </w:r>
          </w:p>
        </w:tc>
        <w:tc>
          <w:tcPr>
            <w:tcW w:w="1474" w:type="dxa"/>
          </w:tcPr>
          <w:p>
            <w:pPr>
              <w:spacing w:after="0"/>
            </w:pPr>
            <w:r>
              <w:rPr>
                <w:sz w:val="17"/>
                <w:szCs w:val="17"/>
              </w:rPr>
              <w:t xml:space="preserve">VALUE</w:t>
            </w:r>
          </w:p>
        </w:tc>
        <w:tc>
          <w:tcPr>
            <w:tcW w:w="5329" w:type="dxa"/>
          </w:tcPr>
          <w:p>
            <w:pPr>
              <w:spacing w:after="0"/>
            </w:pPr>
            <w:r>
              <w:rPr>
                <w:sz w:val="17"/>
                <w:szCs w:val="17"/>
              </w:rPr>
              <w:t xml:space="preserve">maximum session duration in hours</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11.1 (POL-011.16)</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3.1 · POL-011.1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5.1 · POL-011.2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ISO22:5.17, SP800-63B</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5.2 · POL-011.3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5.3 · POL-011.4</w:t>
            </w:r>
          </w:p>
        </w:tc>
        <w:tc>
          <w:tcPr>
            <w:tcW w:w="1077" w:type="dxa"/>
          </w:tcPr>
          <w:p>
            <w:pPr>
              <w:spacing w:after="0"/>
            </w:pPr>
            <w:r>
              <w:rPr>
                <w:sz w:val="16"/>
                <w:szCs w:val="16"/>
              </w:rPr>
              <w:t xml:space="preserve">Must not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SP800-63B</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5.4 · POL-011.5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5.5 · POL-011.6</w:t>
            </w:r>
          </w:p>
        </w:tc>
        <w:tc>
          <w:tcPr>
            <w:tcW w:w="1077" w:type="dxa"/>
          </w:tcPr>
          <w:p>
            <w:pPr>
              <w:spacing w:after="0"/>
            </w:pPr>
            <w:r>
              <w:rPr>
                <w:sz w:val="16"/>
                <w:szCs w:val="16"/>
              </w:rPr>
              <w:t xml:space="preserve">Should</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6.1 · POL-011.7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ISO22:8.5, CSF2:PR.AA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6.2 · POL-011.8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POL-011.9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POL-011.10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POL-011.11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ISO22:5.17</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POL-011.12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8.3 · POL-011.13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ISO22:8.9, CIS81:4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POL-011.14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POL-011.15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POL-011.16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w:t>
            </w:r>
          </w:p>
        </w:tc>
        <w:tc>
          <w:tcPr>
            <w:tcW w:w="1984" w:type="dxa"/>
          </w:tcPr>
          <w:p>
            <w:pPr>
              <w:spacing w:after="0"/>
            </w:pPr>
            <w:r>
              <w:rPr>
                <w:sz w:val="16"/>
                <w:szCs w:val="16"/>
              </w:rPr>
              <w:t xml:space="preserve">—</w:t>
            </w:r>
          </w:p>
        </w:tc>
      </w:tr>
    </w:tbl>
    <w:p>
      <w:pPr>
        <w:spacing w:after="40"/>
      </w:pPr>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NOR-STD-AUTH-001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Authentication and Password Standard</dc:title>
  <dc:subject>NOR-STD-AUTH-001</dc:subject>
  <dc:creator>CyberRiskGuardian</dc:creator>
  <cp:keywords>isp=POL-011; writer=STD-AUTH;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crg-isp|sample|POL-011|v0.1|en|draft|661065c504953836</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