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Norme d’authentification et de mots de passe</w:t>
      </w:r>
    </w:p>
    <w:p>
      <w:r>
        <w:rPr>
          <w:color w:val="5F6B76"/>
          <w:sz w:val="22"/>
          <w:szCs w:val="22"/>
        </w:rPr>
        <w:t xml:space="preserve">Northstar Digital Services (fictional)  ·  NOR-STD-AUTH-001  ·  Norme</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ÉBAUCHE — NON APPROUVÉE</w:t>
            </w:r>
          </w:p>
        </w:tc>
      </w:tr>
    </w:tbl>
    <w:p>
      <w:r/>
    </w:p>
    <w:p>
      <w:pPr>
        <w:pStyle w:val="Heading2"/>
      </w:pPr>
      <w:r>
        <w:t xml:space="preserve">Contrôle du document</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Numéro du document</w:t>
            </w:r>
          </w:p>
        </w:tc>
        <w:tc>
          <w:tcPr>
            <w:tcW w:w="6520" w:type="dxa"/>
          </w:tcPr>
          <w:p>
            <w:pPr>
              <w:spacing w:after="0"/>
            </w:pPr>
            <w:r>
              <w:rPr>
                <w:sz w:val="18"/>
                <w:szCs w:val="18"/>
              </w:rPr>
              <w:t xml:space="preserve">NOR-STD-AUTH-001</w:t>
            </w:r>
          </w:p>
        </w:tc>
      </w:tr>
      <w:tr>
        <w:trPr>
          <w:cantSplit/>
        </w:trPr>
        <w:tc>
          <w:tcPr>
            <w:tcW w:w="2835" w:type="dxa"/>
            <w:shd w:val="clear" w:color="auto" w:fill="E8EEF2"/>
          </w:tcPr>
          <w:p>
            <w:pPr>
              <w:spacing w:after="0"/>
            </w:pPr>
            <w:r>
              <w:rPr>
                <w:b/>
                <w:sz w:val="18"/>
                <w:szCs w:val="18"/>
              </w:rPr>
              <w:t xml:space="preserve">Dossier GPSI</w:t>
            </w:r>
          </w:p>
        </w:tc>
        <w:tc>
          <w:tcPr>
            <w:tcW w:w="6520" w:type="dxa"/>
          </w:tcPr>
          <w:p>
            <w:pPr>
              <w:spacing w:after="0"/>
            </w:pPr>
            <w:r>
              <w:rPr>
                <w:sz w:val="18"/>
                <w:szCs w:val="18"/>
              </w:rPr>
              <w:t xml:space="preserve">POL-012</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Statut</w:t>
            </w:r>
          </w:p>
        </w:tc>
        <w:tc>
          <w:tcPr>
            <w:tcW w:w="6520" w:type="dxa"/>
          </w:tcPr>
          <w:p>
            <w:pPr>
              <w:spacing w:after="0"/>
            </w:pPr>
            <w:r>
              <w:rPr>
                <w:sz w:val="18"/>
                <w:szCs w:val="18"/>
              </w:rPr>
              <w:t xml:space="preserve">Ébauche — non approuvée; non en vigueur</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Interne</w:t>
            </w:r>
          </w:p>
        </w:tc>
      </w:tr>
      <w:tr>
        <w:trPr>
          <w:cantSplit/>
        </w:trPr>
        <w:tc>
          <w:tcPr>
            <w:tcW w:w="2835" w:type="dxa"/>
            <w:shd w:val="clear" w:color="auto" w:fill="E8EEF2"/>
          </w:tcPr>
          <w:p>
            <w:pPr>
              <w:spacing w:after="0"/>
            </w:pPr>
            <w:r>
              <w:rPr>
                <w:b/>
                <w:sz w:val="18"/>
                <w:szCs w:val="18"/>
              </w:rPr>
              <w:t xml:space="preserve">Responsable de la politique</w:t>
            </w:r>
          </w:p>
        </w:tc>
        <w:tc>
          <w:tcPr>
            <w:tcW w:w="6520" w:type="dxa"/>
          </w:tcPr>
          <w:p>
            <w:pPr>
              <w:spacing w:after="0"/>
            </w:pPr>
            <w:r>
              <w:rPr>
                <w:sz w:val="18"/>
                <w:szCs w:val="18"/>
              </w:rPr>
              <w:t xml:space="preserve">Le gestionnaire des TI</w:t>
            </w:r>
          </w:p>
        </w:tc>
      </w:tr>
      <w:tr>
        <w:trPr>
          <w:cantSplit/>
        </w:trPr>
        <w:tc>
          <w:tcPr>
            <w:tcW w:w="2835" w:type="dxa"/>
            <w:shd w:val="clear" w:color="auto" w:fill="E8EEF2"/>
          </w:tcPr>
          <w:p>
            <w:pPr>
              <w:spacing w:after="0"/>
            </w:pPr>
            <w:r>
              <w:rPr>
                <w:b/>
                <w:sz w:val="18"/>
                <w:szCs w:val="18"/>
              </w:rPr>
              <w:t xml:space="preserve">Autorité d’approbation</w:t>
            </w:r>
          </w:p>
        </w:tc>
        <w:tc>
          <w:tcPr>
            <w:tcW w:w="6520" w:type="dxa"/>
          </w:tcPr>
          <w:p>
            <w:pPr>
              <w:spacing w:after="0"/>
            </w:pPr>
            <w:r>
              <w:rPr>
                <w:b/>
                <w:sz w:val="18"/>
                <w:szCs w:val="18"/>
                <w:highlight w:val="yellow"/>
              </w:rPr>
              <w:t xml:space="preserve">[APPROBATEUR : autorité d’approbation]</w:t>
            </w:r>
          </w:p>
        </w:tc>
      </w:tr>
      <w:tr>
        <w:trPr>
          <w:cantSplit/>
        </w:trPr>
        <w:tc>
          <w:tcPr>
            <w:tcW w:w="2835" w:type="dxa"/>
            <w:shd w:val="clear" w:color="auto" w:fill="E8EEF2"/>
          </w:tcPr>
          <w:p>
            <w:pPr>
              <w:spacing w:after="0"/>
            </w:pPr>
            <w:r>
              <w:rPr>
                <w:b/>
                <w:sz w:val="18"/>
                <w:szCs w:val="18"/>
              </w:rPr>
              <w:t xml:space="preserve">Cycle de révision</w:t>
            </w:r>
          </w:p>
        </w:tc>
        <w:tc>
          <w:tcPr>
            <w:tcW w:w="6520" w:type="dxa"/>
          </w:tcPr>
          <w:p>
            <w:pPr>
              <w:spacing w:after="0"/>
            </w:pPr>
            <w:r>
              <w:rPr>
                <w:sz w:val="18"/>
                <w:szCs w:val="18"/>
              </w:rPr>
              <w:t xml:space="preserve">12 mois</w:t>
            </w:r>
          </w:p>
        </w:tc>
      </w:tr>
      <w:tr>
        <w:trPr>
          <w:cantSplit/>
        </w:trPr>
        <w:tc>
          <w:tcPr>
            <w:tcW w:w="2835" w:type="dxa"/>
            <w:shd w:val="clear" w:color="auto" w:fill="E8EEF2"/>
          </w:tcPr>
          <w:p>
            <w:pPr>
              <w:spacing w:after="0"/>
            </w:pPr>
            <w:r>
              <w:rPr>
                <w:b/>
                <w:sz w:val="18"/>
                <w:szCs w:val="18"/>
              </w:rPr>
              <w:t xml:space="preserve">Date d’entrée en vigueur</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Prochaine révision</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Langue</w:t>
            </w:r>
          </w:p>
        </w:tc>
        <w:tc>
          <w:tcPr>
            <w:tcW w:w="6520" w:type="dxa"/>
          </w:tcPr>
          <w:p>
            <w:pPr>
              <w:spacing w:after="0"/>
            </w:pPr>
            <w:r>
              <w:rPr>
                <w:sz w:val="18"/>
                <w:szCs w:val="18"/>
              </w:rPr>
              <w:t xml:space="preserve">Français</w:t>
            </w:r>
          </w:p>
        </w:tc>
      </w:tr>
      <w:tr>
        <w:trPr>
          <w:cantSplit/>
        </w:trPr>
        <w:tc>
          <w:tcPr>
            <w:tcW w:w="2835" w:type="dxa"/>
            <w:shd w:val="clear" w:color="auto" w:fill="E8EEF2"/>
          </w:tcPr>
          <w:p>
            <w:pPr>
              <w:spacing w:after="0"/>
            </w:pPr>
            <w:r>
              <w:rPr>
                <w:b/>
                <w:sz w:val="18"/>
                <w:szCs w:val="18"/>
              </w:rPr>
              <w:t xml:space="preserve">Produit avec</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Exporté le</w:t>
            </w:r>
          </w:p>
        </w:tc>
        <w:tc>
          <w:tcPr>
            <w:tcW w:w="6520" w:type="dxa"/>
          </w:tcPr>
          <w:p>
            <w:pPr>
              <w:spacing w:after="0"/>
            </w:pPr>
            <w:r>
              <w:rPr>
                <w:sz w:val="18"/>
                <w:szCs w:val="18"/>
              </w:rPr>
              <w:t xml:space="preserve">2026-10-19</w:t>
            </w:r>
          </w:p>
        </w:tc>
      </w:tr>
    </w:tbl>
    <w:p>
      <w:pPr>
        <w:spacing w:after="40"/>
      </w:pPr>
      <w:r/>
    </w:p>
    <w:p>
      <w:pPr>
        <w:pStyle w:val="Heading2"/>
      </w:pPr>
      <w:r>
        <w:t xml:space="preserve">Approbation</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Rôle</w:t>
            </w:r>
          </w:p>
        </w:tc>
        <w:tc>
          <w:tcPr>
            <w:tcW w:w="3175" w:type="dxa"/>
            <w:shd w:val="clear" w:color="auto" w:fill="0B4F6C"/>
          </w:tcPr>
          <w:p>
            <w:pPr>
              <w:spacing w:after="0"/>
            </w:pPr>
            <w:r>
              <w:rPr>
                <w:b/>
                <w:color w:val="FFFFFF"/>
                <w:sz w:val="18"/>
                <w:szCs w:val="18"/>
              </w:rPr>
              <w:t xml:space="preserve">Nom</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Autorité d’approbation</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Responsable de la politique</w:t>
            </w:r>
          </w:p>
        </w:tc>
        <w:tc>
          <w:tcPr>
            <w:tcW w:w="3175" w:type="dxa"/>
          </w:tcPr>
          <w:p>
            <w:pPr>
              <w:spacing w:after="0"/>
            </w:pPr>
            <w:r>
              <w:rPr>
                <w:sz w:val="18"/>
                <w:szCs w:val="18"/>
              </w:rPr>
              <w:t xml:space="preserve">Le gestionnaire des TI</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Ébauche produite avec un logiciel d’aide à la décision (CyberRiskGuardian Security Policy Writer). Elle ne constitue pas un avis juridique et n’est pas en vigueur tant qu’elle n’a pas été approuvée et publiée dans la gestion des PSI par les personnes autorisées. Les renvois aux mesures indiquent les sujets traités; une correspondance, un énoncé ou une attestation ne prouve jamais la conformité.</w:t>
      </w:r>
    </w:p>
    <w:p>
      <w:r>
        <w:br w:type="page"/>
      </w:r>
    </w:p>
    <w:p>
      <w:pPr>
        <w:pStyle w:val="Heading2"/>
      </w:pPr>
      <w:r>
        <w:t xml:space="preserve">Table des matières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Cliquez avec le bouton droit et choisissez « Mettre à jour les champs » (ou F9) pour générer la table des matières.</w:t>
      </w:r>
      <w:r>
        <w:rPr>
          <w:i/>
          <w:color w:val="5F6B76"/>
        </w:rPr>
        <w:fldChar w:fldCharType="end"/>
      </w:r>
    </w:p>
    <w:p>
      <w:r/>
    </w:p>
    <w:p>
      <w:pPr>
        <w:pStyle w:val="Heading1"/>
      </w:pPr>
      <w:r>
        <w:t xml:space="preserve">1. Objet</w:t>
      </w:r>
    </w:p>
    <w:p>
      <w:bookmarkStart w:id="1" w:name="_crgt_purpose_1"/>
      <w:r>
        <w:t xml:space="preserve">La présente norme fixe les exigences minimales d’authentification des comptes qui accèdent à l’information et aux systèmes de Northstar.</w:t>
      </w:r>
      <w:bookmarkEnd w:id="1"/>
    </w:p>
    <w:p>
      <w:pPr>
        <w:pStyle w:val="Heading1"/>
      </w:pPr>
      <w:r>
        <w:t xml:space="preserve">2. Politique habilitante</w:t>
      </w:r>
    </w:p>
    <w:p>
      <w:bookmarkStart w:id="2" w:name="_crgt_C1_1"/>
      <w:r>
        <w:t xml:space="preserve">La présente norme fixe les exigences obligatoires et mesurables qui mettent en œuvre la Politique de gestion des identités et des accès. En cas de conflit, la politique prévaut et la norme doit être corrigée.</w:t>
      </w:r>
      <w:bookmarkEnd w:id="2"/>
    </w:p>
    <w:p>
      <w:pPr>
        <w:pStyle w:val="Heading1"/>
      </w:pPr>
      <w:r>
        <w:t xml:space="preserve">3. Application</w:t>
      </w:r>
    </w:p>
    <w:p>
      <w:pPr>
        <w:tabs>
          <w:tab w:val="left" w:pos="680"/>
        </w:tabs>
        <w:ind w:left="680" w:hanging="680"/>
      </w:pPr>
      <w:bookmarkStart w:id="3" w:name="_crgs_POL_012_1"/>
      <w:r>
        <w:rPr>
          <w:b/>
          <w:color w:val="0B4F6C"/>
        </w:rPr>
        <w:t xml:space="preserve">3.1</w:t>
        <w:tab/>
      </w:r>
      <w:r>
        <w:t xml:space="preserve">Elle s’applique à tous les comptes d’utilisateurs, privilégiés, de service et de tiers sur les systèmes possédés ou utilisés par Northstar, y compris les services infonuagiques. L’authentification multifacteur est obligatoire pour : </w:t>
      </w:r>
      <w:r>
        <w:rPr>
          <w:b/>
          <w:highlight w:val="yellow"/>
        </w:rPr>
        <w:t xml:space="preserve">[DÉCISION : Où l’authentification multifacteur doit-elle être exigée?]</w:t>
      </w:r>
      <w:r>
        <w:t xml:space="preserve">.</w:t>
      </w:r>
      <w:bookmarkEnd w:id="3"/>
    </w:p>
    <w:p>
      <w:pPr>
        <w:pStyle w:val="Heading1"/>
      </w:pPr>
      <w:r>
        <w:t xml:space="preserve">4. Responsabilité</w:t>
      </w:r>
    </w:p>
    <w:p>
      <w:bookmarkStart w:id="4" w:name="_crgt_C3_1"/>
      <w:r>
        <w:t xml:space="preserve">Le gestionnaire des TI est responsable de la présente norme. Les responsables des systèmes l’appliquent à leurs systèmes; les gardiens configurent et exploitent les mesures.</w:t>
      </w:r>
      <w:bookmarkEnd w:id="4"/>
    </w:p>
    <w:p>
      <w:pPr>
        <w:pStyle w:val="Heading1"/>
      </w:pPr>
      <w:r>
        <w:t xml:space="preserve">5. Mots de passe</w:t>
      </w:r>
    </w:p>
    <w:p>
      <w:pPr>
        <w:tabs>
          <w:tab w:val="left" w:pos="680"/>
        </w:tabs>
        <w:ind w:left="680" w:hanging="680"/>
      </w:pPr>
      <w:bookmarkStart w:id="5" w:name="_crgs_POL_012_2"/>
      <w:r>
        <w:rPr>
          <w:b/>
          <w:color w:val="0B4F6C"/>
        </w:rPr>
        <w:t xml:space="preserve">5.1</w:t>
        <w:tab/>
      </w:r>
      <w:r>
        <w:t xml:space="preserve">Les mots de passe doivent compter au moins </w:t>
      </w:r>
      <w:r>
        <w:rPr>
          <w:b/>
          <w:highlight w:val="yellow"/>
        </w:rPr>
        <w:t xml:space="preserve">[DÉCISION : longueur minimale des mots de passe]</w:t>
      </w:r>
      <w:r>
        <w:t xml:space="preserve"> caractères.</w:t>
      </w:r>
      <w:bookmarkEnd w:id="5"/>
    </w:p>
    <w:p>
      <w:pPr>
        <w:tabs>
          <w:tab w:val="left" w:pos="680"/>
        </w:tabs>
        <w:ind w:left="680" w:hanging="680"/>
      </w:pPr>
      <w:bookmarkStart w:id="6" w:name="_crgs_POL_012_3"/>
      <w:r>
        <w:rPr>
          <w:b/>
          <w:color w:val="0B4F6C"/>
        </w:rPr>
        <w:t xml:space="preserve">5.2</w:t>
        <w:tab/>
      </w:r>
      <w:r>
        <w:t xml:space="preserve">Les mots de passe nouveaux ou modifiés doivent être comparés à une liste de mots de passe courants ou connus comme compromis et refusés s’ils y figurent.</w:t>
      </w:r>
      <w:bookmarkEnd w:id="6"/>
    </w:p>
    <w:p>
      <w:pPr>
        <w:tabs>
          <w:tab w:val="left" w:pos="680"/>
        </w:tabs>
        <w:ind w:left="680" w:hanging="680"/>
      </w:pPr>
      <w:bookmarkStart w:id="7" w:name="_crgs_POL_012_4"/>
      <w:r>
        <w:rPr>
          <w:b/>
          <w:color w:val="0B4F6C"/>
        </w:rPr>
        <w:t xml:space="preserve">5.3</w:t>
        <w:tab/>
      </w:r>
      <w:r>
        <w:t xml:space="preserve">Des règles de composition (mélanges obligatoires de types de caractères) et des changements périodiques forcés ne doivent pas être imposés; un mot de passe doit être changé lorsqu’il y a preuve ou soupçon de compromission.</w:t>
      </w:r>
      <w:bookmarkEnd w:id="7"/>
    </w:p>
    <w:p>
      <w:pPr>
        <w:tabs>
          <w:tab w:val="left" w:pos="680"/>
        </w:tabs>
        <w:ind w:left="680" w:hanging="680"/>
      </w:pPr>
      <w:bookmarkStart w:id="8" w:name="_crgs_POL_012_5"/>
      <w:r>
        <w:rPr>
          <w:b/>
          <w:color w:val="0B4F6C"/>
        </w:rPr>
        <w:t xml:space="preserve">5.4</w:t>
        <w:tab/>
      </w:r>
      <w:r>
        <w:t xml:space="preserve">Après </w:t>
      </w:r>
      <w:r>
        <w:rPr>
          <w:b/>
          <w:highlight w:val="yellow"/>
        </w:rPr>
        <w:t xml:space="preserve">[DÉCISION : nombre de tentatives échouées]</w:t>
      </w:r>
      <w:r>
        <w:t xml:space="preserve"> tentatives de connexion consécutives échouées, le compte doit être verrouillé ou ralenti.</w:t>
      </w:r>
      <w:bookmarkEnd w:id="8"/>
    </w:p>
    <w:p>
      <w:pPr>
        <w:tabs>
          <w:tab w:val="left" w:pos="680"/>
        </w:tabs>
        <w:ind w:left="680" w:hanging="680"/>
      </w:pPr>
      <w:bookmarkStart w:id="9" w:name="_crgs_POL_012_6"/>
      <w:r>
        <w:rPr>
          <w:b/>
          <w:color w:val="0B4F6C"/>
        </w:rPr>
        <w:t xml:space="preserve">5.5</w:t>
        <w:tab/>
      </w:r>
      <w:r>
        <w:t xml:space="preserve">Un gestionnaire de mots de passe approuvé par le gestionnaire des TI devrait être fourni au personnel qui détient plusieurs authentifiants.</w:t>
      </w:r>
      <w:bookmarkEnd w:id="9"/>
    </w:p>
    <w:p>
      <w:pPr>
        <w:pStyle w:val="Heading1"/>
      </w:pPr>
      <w:r>
        <w:t xml:space="preserve">6. Authentification multifacteur</w:t>
      </w:r>
    </w:p>
    <w:p>
      <w:pPr>
        <w:tabs>
          <w:tab w:val="left" w:pos="680"/>
        </w:tabs>
        <w:ind w:left="680" w:hanging="680"/>
      </w:pPr>
      <w:bookmarkStart w:id="10" w:name="_crgs_POL_012_7"/>
      <w:r>
        <w:rPr>
          <w:b/>
          <w:color w:val="0B4F6C"/>
        </w:rPr>
        <w:t xml:space="preserve">6.1</w:t>
        <w:tab/>
      </w:r>
      <w:r>
        <w:t xml:space="preserve">Les seconds facteurs acceptés sont </w:t>
      </w:r>
      <w:r>
        <w:rPr>
          <w:b/>
          <w:highlight w:val="yellow"/>
        </w:rPr>
        <w:t xml:space="preserve">[DÉCISION : seconds facteurs acceptés]</w:t>
      </w:r>
      <w:r>
        <w:t xml:space="preserve">.</w:t>
      </w:r>
      <w:bookmarkEnd w:id="10"/>
    </w:p>
    <w:p>
      <w:pPr>
        <w:tabs>
          <w:tab w:val="left" w:pos="680"/>
        </w:tabs>
        <w:ind w:left="680" w:hanging="680"/>
      </w:pPr>
      <w:bookmarkStart w:id="11" w:name="_crgs_POL_012_8"/>
      <w:r>
        <w:rPr>
          <w:b/>
          <w:color w:val="0B4F6C"/>
        </w:rPr>
        <w:t xml:space="preserve">6.2</w:t>
        <w:tab/>
      </w:r>
      <w:r>
        <w:t xml:space="preserve">La réinitialisation d’un second facteur exige de vérifier l’identité de la personne par un canal différent de celui qui est réinitialisé.</w:t>
      </w:r>
      <w:bookmarkEnd w:id="11"/>
    </w:p>
    <w:p>
      <w:pPr>
        <w:pStyle w:val="Heading1"/>
      </w:pPr>
      <w:r>
        <w:t xml:space="preserve">7. Sessions et appareils</w:t>
      </w:r>
    </w:p>
    <w:p>
      <w:pPr>
        <w:tabs>
          <w:tab w:val="left" w:pos="680"/>
        </w:tabs>
        <w:ind w:left="680" w:hanging="680"/>
      </w:pPr>
      <w:bookmarkStart w:id="12" w:name="_crgs_POL_012_9"/>
      <w:r>
        <w:rPr>
          <w:b/>
          <w:color w:val="0B4F6C"/>
        </w:rPr>
        <w:t xml:space="preserve">7.1</w:t>
        <w:tab/>
      </w:r>
      <w:r>
        <w:t xml:space="preserve">Les postes et appareils mobiles doivent se verrouiller automatiquement après </w:t>
      </w:r>
      <w:r>
        <w:rPr>
          <w:b/>
          <w:highlight w:val="yellow"/>
        </w:rPr>
        <w:t xml:space="preserve">[DÉCISION : délai d’inactivité]</w:t>
      </w:r>
      <w:r>
        <w:t xml:space="preserve"> d’inactivité.</w:t>
      </w:r>
      <w:bookmarkEnd w:id="12"/>
    </w:p>
    <w:p>
      <w:pPr>
        <w:tabs>
          <w:tab w:val="left" w:pos="680"/>
        </w:tabs>
        <w:ind w:left="680" w:hanging="680"/>
      </w:pPr>
      <w:bookmarkStart w:id="13" w:name="_crgs_POL_012_10"/>
      <w:r>
        <w:rPr>
          <w:b/>
          <w:color w:val="0B4F6C"/>
        </w:rPr>
        <w:t xml:space="preserve">7.2</w:t>
        <w:tab/>
      </w:r>
      <w:r>
        <w:t xml:space="preserve">Les sessions d’accès à distance et d’administration doivent prendre fin ou exiger une nouvelle authentification après </w:t>
      </w:r>
      <w:r>
        <w:rPr>
          <w:b/>
          <w:highlight w:val="yellow"/>
        </w:rPr>
        <w:t xml:space="preserve">[VALEUR : durée maximale de session en heures]</w:t>
      </w:r>
      <w:r>
        <w:t xml:space="preserve">.</w:t>
      </w:r>
      <w:bookmarkEnd w:id="13"/>
    </w:p>
    <w:p>
      <w:pPr>
        <w:pStyle w:val="Heading1"/>
      </w:pPr>
      <w:r>
        <w:t xml:space="preserve">8. Comptes de service et secrets</w:t>
      </w:r>
    </w:p>
    <w:p>
      <w:pPr>
        <w:tabs>
          <w:tab w:val="left" w:pos="680"/>
        </w:tabs>
        <w:ind w:left="680" w:hanging="680"/>
      </w:pPr>
      <w:bookmarkStart w:id="14" w:name="_crgs_POL_012_11"/>
      <w:r>
        <w:rPr>
          <w:b/>
          <w:color w:val="0B4F6C"/>
        </w:rPr>
        <w:t xml:space="preserve">8.1</w:t>
        <w:tab/>
      </w:r>
      <w:r>
        <w:t xml:space="preserve">Les mots de passe des comptes de service et les secrets d’API doivent être générés aléatoirement, compter au moins 32 caractères, être conservés uniquement dans un coffre de secrets approuvé et ne jamais être transmis par courriel ou clavardage.</w:t>
      </w:r>
      <w:bookmarkEnd w:id="14"/>
    </w:p>
    <w:p>
      <w:pPr>
        <w:tabs>
          <w:tab w:val="left" w:pos="680"/>
        </w:tabs>
        <w:ind w:left="680" w:hanging="680"/>
      </w:pPr>
      <w:bookmarkStart w:id="15" w:name="_crgs_POL_012_12"/>
      <w:r>
        <w:rPr>
          <w:b/>
          <w:color w:val="0B4F6C"/>
        </w:rPr>
        <w:t xml:space="preserve">8.2</w:t>
        <w:tab/>
      </w:r>
      <w:r>
        <w:t xml:space="preserve">Les secrets doivent être changés lorsqu’une personne qui les connaissait quitte ou change de fonctions, et en cas de soupçon de compromission.</w:t>
      </w:r>
      <w:bookmarkEnd w:id="15"/>
    </w:p>
    <w:p>
      <w:pPr>
        <w:tabs>
          <w:tab w:val="left" w:pos="680"/>
        </w:tabs>
        <w:ind w:left="680" w:hanging="680"/>
      </w:pPr>
      <w:bookmarkStart w:id="16" w:name="_crgs_POL_012_13"/>
      <w:r>
        <w:rPr>
          <w:b/>
          <w:color w:val="0B4F6C"/>
        </w:rPr>
        <w:t xml:space="preserve">8.3</w:t>
        <w:tab/>
      </w:r>
      <w:r>
        <w:t xml:space="preserve">Les authentifiants par défaut ou fournis par le fabricant doivent être changés avant qu’un système ou un appareil soit branché au réseau.</w:t>
      </w:r>
      <w:bookmarkEnd w:id="16"/>
    </w:p>
    <w:p>
      <w:pPr>
        <w:pStyle w:val="Heading1"/>
      </w:pPr>
      <w:r>
        <w:t xml:space="preserve">9. Preuves de conformité</w:t>
      </w:r>
    </w:p>
    <w:p>
      <w:pPr>
        <w:tabs>
          <w:tab w:val="left" w:pos="680"/>
        </w:tabs>
        <w:ind w:left="680" w:hanging="680"/>
      </w:pPr>
      <w:bookmarkStart w:id="17" w:name="_crgs_POL_012_14"/>
      <w:r>
        <w:rPr>
          <w:b/>
          <w:color w:val="0B4F6C"/>
        </w:rPr>
        <w:t xml:space="preserve">9.1</w:t>
        <w:tab/>
      </w:r>
      <w:r>
        <w:t xml:space="preserve">Les preuves de conformité comprennent les exportations de configuration du fournisseur d’identité, les rapports d’inscription à l’AMF et la liste des dérogations; le gestionnaire des TI les examine au moins une fois par année.</w:t>
      </w:r>
      <w:bookmarkEnd w:id="17"/>
    </w:p>
    <w:p>
      <w:pPr>
        <w:pStyle w:val="Heading1"/>
      </w:pPr>
      <w:r>
        <w:t xml:space="preserve">10. Dérogations</w:t>
      </w:r>
    </w:p>
    <w:p>
      <w:pPr>
        <w:tabs>
          <w:tab w:val="left" w:pos="680"/>
        </w:tabs>
        <w:ind w:left="680" w:hanging="680"/>
      </w:pPr>
      <w:bookmarkStart w:id="18" w:name="_crgs_POL_012_15"/>
      <w:r>
        <w:rPr>
          <w:b/>
          <w:color w:val="0B4F6C"/>
        </w:rPr>
        <w:t xml:space="preserve">10.1</w:t>
        <w:tab/>
      </w:r>
      <w:r>
        <w:t xml:space="preserve">Tout écart au présent document exige une dérogation approuvée selon le processus de dérogation prévu à la Politique de sécurité de l’information de l’entreprise.</w:t>
      </w:r>
      <w:bookmarkEnd w:id="18"/>
    </w:p>
    <w:p>
      <w:pPr>
        <w:pStyle w:val="Heading1"/>
      </w:pPr>
      <w:r>
        <w:t xml:space="preserve">11. Révision</w:t>
      </w:r>
    </w:p>
    <w:p>
      <w:pPr>
        <w:tabs>
          <w:tab w:val="left" w:pos="680"/>
        </w:tabs>
        <w:ind w:left="680" w:hanging="680"/>
      </w:pPr>
      <w:bookmarkStart w:id="19" w:name="_crgs_POL_012_16"/>
      <w:r>
        <w:rPr>
          <w:b/>
          <w:color w:val="0B4F6C"/>
        </w:rPr>
        <w:t xml:space="preserve">11.1</w:t>
        <w:tab/>
      </w:r>
      <w:r>
        <w:t xml:space="preserve">Le gestionnaire des TI tient à jour le présent document. Il est révisé </w:t>
      </w:r>
      <w:r>
        <w:rPr>
          <w:b/>
          <w:highlight w:val="yellow"/>
        </w:rPr>
        <w:t xml:space="preserve">[DÉCISION : cycle de révision des politiques]</w:t>
      </w:r>
      <w:r>
        <w:t xml:space="preserve">, lorsque sa politique parente change et après tout incident ou constat d’audit qui en démontre l’inefficacité.</w:t>
      </w:r>
      <w:bookmarkEnd w:id="19"/>
    </w:p>
    <w:p>
      <w:r>
        <w:br w:type="page"/>
      </w:r>
    </w:p>
    <w:p>
      <w:pPr>
        <w:pStyle w:val="Heading1"/>
      </w:pPr>
      <w:r>
        <w:t xml:space="preserve">Annexe A — Décisions ouvertes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Emplacement</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Décision ou information requise</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3.1 (POL-012.1)</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Où l’authentification multifacteur doit-elle être exigée?</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5.1 (POL-012.2)</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longueur minimale des mots de passe</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5.4 (POL-012.5)</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nombre de tentatives échouées</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6.1 (POL-012.7)</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seconds facteurs acceptés</w:t>
            </w:r>
          </w:p>
        </w:tc>
      </w:tr>
      <w:tr>
        <w:trPr>
          <w:cantSplit/>
        </w:trPr>
        <w:tc>
          <w:tcPr>
            <w:tcW w:w="510" w:type="dxa"/>
          </w:tcPr>
          <w:p>
            <w:pPr>
              <w:spacing w:after="0"/>
            </w:pPr>
            <w:r>
              <w:rPr>
                <w:sz w:val="17"/>
                <w:szCs w:val="17"/>
              </w:rPr>
              <w:t xml:space="preserve">5</w:t>
            </w:r>
          </w:p>
        </w:tc>
        <w:tc>
          <w:tcPr>
            <w:tcW w:w="2041" w:type="dxa"/>
          </w:tcPr>
          <w:p>
            <w:pPr>
              <w:spacing w:after="0"/>
            </w:pPr>
            <w:r>
              <w:rPr>
                <w:sz w:val="17"/>
                <w:szCs w:val="17"/>
              </w:rPr>
              <w:t xml:space="preserve">7.1 (POL-012.9)</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délai d’inactivité</w:t>
            </w:r>
          </w:p>
        </w:tc>
      </w:tr>
      <w:tr>
        <w:trPr>
          <w:cantSplit/>
        </w:trPr>
        <w:tc>
          <w:tcPr>
            <w:tcW w:w="510" w:type="dxa"/>
          </w:tcPr>
          <w:p>
            <w:pPr>
              <w:spacing w:after="0"/>
            </w:pPr>
            <w:r>
              <w:rPr>
                <w:sz w:val="17"/>
                <w:szCs w:val="17"/>
              </w:rPr>
              <w:t xml:space="preserve">6</w:t>
            </w:r>
          </w:p>
        </w:tc>
        <w:tc>
          <w:tcPr>
            <w:tcW w:w="2041" w:type="dxa"/>
          </w:tcPr>
          <w:p>
            <w:pPr>
              <w:spacing w:after="0"/>
            </w:pPr>
            <w:r>
              <w:rPr>
                <w:sz w:val="17"/>
                <w:szCs w:val="17"/>
              </w:rPr>
              <w:t xml:space="preserve">7.2 (POL-012.10)</w:t>
            </w:r>
          </w:p>
        </w:tc>
        <w:tc>
          <w:tcPr>
            <w:tcW w:w="1474" w:type="dxa"/>
          </w:tcPr>
          <w:p>
            <w:pPr>
              <w:spacing w:after="0"/>
            </w:pPr>
            <w:r>
              <w:rPr>
                <w:sz w:val="17"/>
                <w:szCs w:val="17"/>
              </w:rPr>
              <w:t xml:space="preserve">VALEUR</w:t>
            </w:r>
          </w:p>
        </w:tc>
        <w:tc>
          <w:tcPr>
            <w:tcW w:w="5329" w:type="dxa"/>
          </w:tcPr>
          <w:p>
            <w:pPr>
              <w:spacing w:after="0"/>
            </w:pPr>
            <w:r>
              <w:rPr>
                <w:sz w:val="17"/>
                <w:szCs w:val="17"/>
              </w:rPr>
              <w:t xml:space="preserve">durée maximale de session en heures</w:t>
            </w:r>
          </w:p>
        </w:tc>
      </w:tr>
      <w:tr>
        <w:trPr>
          <w:cantSplit/>
        </w:trPr>
        <w:tc>
          <w:tcPr>
            <w:tcW w:w="510" w:type="dxa"/>
          </w:tcPr>
          <w:p>
            <w:pPr>
              <w:spacing w:after="0"/>
            </w:pPr>
            <w:r>
              <w:rPr>
                <w:sz w:val="17"/>
                <w:szCs w:val="17"/>
              </w:rPr>
              <w:t xml:space="preserve">7</w:t>
            </w:r>
          </w:p>
        </w:tc>
        <w:tc>
          <w:tcPr>
            <w:tcW w:w="2041" w:type="dxa"/>
          </w:tcPr>
          <w:p>
            <w:pPr>
              <w:spacing w:after="0"/>
            </w:pPr>
            <w:r>
              <w:rPr>
                <w:sz w:val="17"/>
                <w:szCs w:val="17"/>
              </w:rPr>
              <w:t xml:space="preserve">11.1 (POL-012.16)</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cycle de révision des politiques</w:t>
            </w:r>
          </w:p>
        </w:tc>
      </w:tr>
    </w:tbl>
    <w:p>
      <w:pPr>
        <w:spacing w:after="40"/>
      </w:pPr>
      <w:r/>
    </w:p>
    <w:p>
      <w:pPr>
        <w:pStyle w:val="Heading1"/>
      </w:pPr>
      <w:r>
        <w:t xml:space="preserve">Annexe B — Énoncés et traçabilité</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Énoncé</w:t>
            </w:r>
          </w:p>
        </w:tc>
        <w:tc>
          <w:tcPr>
            <w:tcW w:w="1077" w:type="dxa"/>
            <w:shd w:val="clear" w:color="auto" w:fill="0B4F6C"/>
          </w:tcPr>
          <w:p>
            <w:pPr>
              <w:spacing w:after="0"/>
            </w:pPr>
            <w:r>
              <w:rPr>
                <w:b/>
                <w:color w:val="FFFFFF"/>
                <w:sz w:val="16"/>
                <w:szCs w:val="16"/>
              </w:rPr>
              <w:t xml:space="preserve">Modalité</w:t>
            </w:r>
          </w:p>
        </w:tc>
        <w:tc>
          <w:tcPr>
            <w:tcW w:w="2041" w:type="dxa"/>
            <w:shd w:val="clear" w:color="auto" w:fill="0B4F6C"/>
          </w:tcPr>
          <w:p>
            <w:pPr>
              <w:spacing w:after="0"/>
            </w:pPr>
            <w:r>
              <w:rPr>
                <w:b/>
                <w:color w:val="FFFFFF"/>
                <w:sz w:val="16"/>
                <w:szCs w:val="16"/>
              </w:rPr>
              <w:t xml:space="preserve">Fondement</w:t>
            </w:r>
          </w:p>
        </w:tc>
        <w:tc>
          <w:tcPr>
            <w:tcW w:w="2381" w:type="dxa"/>
            <w:shd w:val="clear" w:color="auto" w:fill="0B4F6C"/>
          </w:tcPr>
          <w:p>
            <w:pPr>
              <w:spacing w:after="0"/>
            </w:pPr>
            <w:r>
              <w:rPr>
                <w:b/>
                <w:color w:val="FFFFFF"/>
                <w:sz w:val="16"/>
                <w:szCs w:val="16"/>
              </w:rPr>
              <w:t xml:space="preserve">Mesures (CRGO)</w:t>
            </w:r>
          </w:p>
        </w:tc>
        <w:tc>
          <w:tcPr>
            <w:tcW w:w="1984" w:type="dxa"/>
            <w:shd w:val="clear" w:color="auto" w:fill="0B4F6C"/>
          </w:tcPr>
          <w:p>
            <w:pPr>
              <w:spacing w:after="0"/>
            </w:pPr>
            <w:r>
              <w:rPr>
                <w:b/>
                <w:color w:val="FFFFFF"/>
                <w:sz w:val="16"/>
                <w:szCs w:val="16"/>
              </w:rPr>
              <w:t xml:space="preserve">Révision</w:t>
            </w:r>
          </w:p>
        </w:tc>
      </w:tr>
      <w:tr>
        <w:trPr>
          <w:cantSplit/>
        </w:trPr>
        <w:tc>
          <w:tcPr>
            <w:tcW w:w="1871" w:type="dxa"/>
          </w:tcPr>
          <w:p>
            <w:pPr>
              <w:spacing w:after="0"/>
            </w:pPr>
            <w:r>
              <w:rPr>
                <w:sz w:val="16"/>
                <w:szCs w:val="16"/>
              </w:rPr>
              <w:t xml:space="preserve">3.1 · POL-012.1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5.1 · POL-012.2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ISO22:5.17, SP800-63B</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5.2 · POL-012.3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5.3 · POL-012.4</w:t>
            </w:r>
          </w:p>
        </w:tc>
        <w:tc>
          <w:tcPr>
            <w:tcW w:w="1077" w:type="dxa"/>
          </w:tcPr>
          <w:p>
            <w:pPr>
              <w:spacing w:after="0"/>
            </w:pPr>
            <w:r>
              <w:rPr>
                <w:sz w:val="16"/>
                <w:szCs w:val="16"/>
              </w:rPr>
              <w:t xml:space="preserve">Ne doit pas</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SP800-63B</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5.4 · POL-012.5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5.5 · POL-012.6</w:t>
            </w:r>
          </w:p>
        </w:tc>
        <w:tc>
          <w:tcPr>
            <w:tcW w:w="1077" w:type="dxa"/>
          </w:tcPr>
          <w:p>
            <w:pPr>
              <w:spacing w:after="0"/>
            </w:pPr>
            <w:r>
              <w:rPr>
                <w:sz w:val="16"/>
                <w:szCs w:val="16"/>
              </w:rPr>
              <w:t xml:space="preserve">Devrait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6.1 · POL-012.7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ISO22:8.5, CSF2:PR.AA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6.2 · POL-012.8</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POL-012.9</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ISO22:8.1</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7.2 · POL-012.10</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POL-012.11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8.2 · POL-012.12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8.3 · POL-012.13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ISO22:8.9, CIS81:4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POL-012.14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10.1 · POL-012.15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ISO22:5.36</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11.1 · POL-012.16</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w:t>
            </w:r>
          </w:p>
        </w:tc>
        <w:tc>
          <w:tcPr>
            <w:tcW w:w="1984" w:type="dxa"/>
          </w:tcPr>
          <w:p>
            <w:pPr>
              <w:spacing w:after="0"/>
            </w:pPr>
            <w:r>
              <w:rPr>
                <w:sz w:val="16"/>
                <w:szCs w:val="16"/>
              </w:rPr>
              <w:t xml:space="preserve">—</w:t>
            </w:r>
          </w:p>
        </w:tc>
      </w:tr>
    </w:tbl>
    <w:p>
      <w:pPr>
        <w:spacing w:after="40"/>
      </w:pPr>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Interne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de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NOR-STD-AUTH-001</w:t>
    </w:r>
    <w:r>
      <w:tab/>
    </w:r>
    <w:r>
      <w:rPr>
        <w:b/>
        <w:color w:val="B42318"/>
        <w:sz w:val="17"/>
        <w:szCs w:val="17"/>
      </w:rPr>
      <w:t xml:space="preserve">ÉBAUCHE — NON APPROUVÉE</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fr-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Norme d’authentification et de mots de passe</dc:title>
  <dc:subject>NOR-STD-AUTH-001</dc:subject>
  <dc:creator>CyberRiskGuardian</dc:creator>
  <cp:keywords>isp=POL-012; writer=STD-AUTH; library=2026.10-2</cp:keywords>
  <dc:description>Ébauche produite avec un logiciel d’aide à la décision (CyberRiskGuardian Security Policy Writer). Elle ne constitue pas un avis juridique et n’est pas en vigueur tant qu’elle n’a pas été approuvée et publiée dans la gestion des PSI par les personnes</dc:description>
  <dc:identifier>crg-isp|sample|POL-012|v0.1|fr|draft|49e8dfc382779ad7</dc:identifier>
  <dc:language>fr-CA</dc:language>
  <cp:category>Politique de sécurité de l’information — ÉBAUCHE</cp:category>
  <cp:version>0.1</cp:version>
  <cp:lastModifiedBy>CyberRiskGuardian</cp:lastModifiedBy>
  <dcterms:created xsi:type="dcterms:W3CDTF">2026-10-19T20:35:40Z</dcterms:created>
  <dcterms:modified xsi:type="dcterms:W3CDTF">2026-10-19T20:35:40Z</dcterms:modified>
</cp:coreProperties>
</file>