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w:t>
      </w:r>
    </w:p>
    <w:p>
      <w:pPr>
        <w:spacing w:after="600"/>
      </w:pPr>
      <w:r>
        <w:rPr>
          <w:rFonts w:ascii="Arial" w:cs="Arial" w:eastAsia="Arial" w:hAnsi="Arial"/>
          <w:color w:val="595959"/>
          <w:sz w:val="24"/>
          <w:szCs w:val="24"/>
        </w:rPr>
        <w:t xml:space="preserve">Ten material risk scenarios, quantified risk indicators, treatment portfolio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Workbook.xlsx (live calculations)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w:t>
            </w:r>
            <w:r>
              <w:rPr>
                <w:rFonts w:ascii="Arial" w:cs="Arial" w:eastAsia="Arial" w:hAnsi="Arial"/>
                <w:b/>
                <w:bCs/>
                <w:sz w:val="19"/>
                <w:szCs w:val="19"/>
              </w:rPr>
              <w:t xml:space="preserve">analytical estimates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although no breach is confirmed, the case evidence shows the weak points a real intrusion would use: push-based MFA that can be fatigued, alerts closed without correlation, untested backups and recovery, and little visibility over cloud storage, service accounts, medical devices and vendors.</w:t>
      </w:r>
    </w:p>
    <w:p>
      <w:pPr>
        <w:spacing w:after="120"/>
      </w:pPr>
      <w:r>
        <w:rPr>
          <w:rFonts w:ascii="Arial" w:cs="Arial" w:eastAsia="Arial" w:hAnsi="Arial"/>
        </w:rPr>
        <w:t xml:space="preserve">From 20 candidate scenarios, ten were retained. Against an estimated risk appetite of </w:t>
      </w:r>
      <w:r>
        <w:rPr>
          <w:rFonts w:ascii="Arial" w:cs="Arial" w:eastAsia="Arial" w:hAnsi="Arial"/>
          <w:b/>
          <w:bCs/>
        </w:rPr>
        <w:t xml:space="preserve">0.30</w:t>
      </w:r>
      <w:r>
        <w:rPr>
          <w:rFonts w:ascii="Arial" w:cs="Arial" w:eastAsia="Arial" w:hAnsi="Arial"/>
        </w:rPr>
        <w:t xml:space="preserve">, </w:t>
      </w:r>
      <w:r>
        <w:rPr>
          <w:rFonts w:ascii="Arial" w:cs="Arial" w:eastAsia="Arial" w:hAnsi="Arial"/>
          <w:b/>
          <w:bCs/>
        </w:rPr>
        <w:t xml:space="preserve">every scenario is currently above tolerance</w:t>
      </w:r>
      <w:r>
        <w:rPr>
          <w:rFonts w:ascii="Arial" w:cs="Arial" w:eastAsia="Arial" w:hAnsi="Arial"/>
        </w:rPr>
        <w:t xml:space="preserve"> (pre-treatment estimated-to-tolerated ratios of 2.00-2.75). After the recommended portfolio, the picture is:</w:t>
      </w:r>
    </w:p>
    <w:p>
      <w:pPr>
        <w:pStyle w:val="ListParagraph"/>
        <w:numPr>
          <w:ilvl w:val="0"/>
          <w:numId w:val="2"/>
        </w:numPr>
        <w:spacing w:after="60"/>
      </w:pPr>
      <w:r>
        <w:rPr>
          <w:rFonts w:ascii="Arial" w:cs="Arial" w:eastAsia="Arial" w:hAnsi="Arial"/>
          <w:b/>
          <w:bCs/>
        </w:rPr>
        <w:t xml:space="preserve">Above tolerance (5):</w:t>
      </w:r>
      <w:r>
        <w:rPr>
          <w:rFonts w:ascii="Arial" w:cs="Arial" w:eastAsia="Arial" w:hAnsi="Arial"/>
        </w:rPr>
        <w:t xml:space="preserve"> S2 (1.20), S5 (1.22), S7 (1.45), S9 (1.54), S10 (1.19) - ransomware, insider/privileged misuse, medical devices, vendors and record integrity.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(4):</w:t>
      </w:r>
      <w:r>
        <w:rPr>
          <w:rFonts w:ascii="Arial" w:cs="Arial" w:eastAsia="Arial" w:hAnsi="Arial"/>
        </w:rPr>
        <w:t xml:space="preserve"> S1 (0.93), S4 (0.91), S6 (1.01), S8 (1.10).</w:t>
      </w:r>
    </w:p>
    <w:p>
      <w:pPr>
        <w:pStyle w:val="ListParagraph"/>
        <w:numPr>
          <w:ilvl w:val="0"/>
          <w:numId w:val="2"/>
        </w:numPr>
        <w:spacing w:after="60"/>
      </w:pPr>
      <w:r>
        <w:rPr>
          <w:rFonts w:ascii="Arial" w:cs="Arial" w:eastAsia="Arial" w:hAnsi="Arial"/>
          <w:b/>
          <w:bCs/>
        </w:rPr>
        <w:t xml:space="preserve">Below tolerance (1):</w:t>
      </w:r>
      <w:r>
        <w:rPr>
          <w:rFonts w:ascii="Arial" w:cs="Arial" w:eastAsia="Arial" w:hAnsi="Arial"/>
        </w:rPr>
        <w:t xml:space="preserve"> S3 (0.80) - backup compromise, provided immutable and isolated backups are delivered.</w:t>
      </w:r>
    </w:p>
    <w:p>
      <w:pPr>
        <w:spacing w:after="120"/>
      </w:pPr>
      <w:r>
        <w:rPr>
          <w:rFonts w:ascii="Arial" w:cs="Arial" w:eastAsia="Arial" w:hAnsi="Arial"/>
        </w:rPr>
        <w:t xml:space="preserve">The portfolio of </w:t>
      </w:r>
      <w:r>
        <w:rPr>
          <w:rFonts w:ascii="Arial" w:cs="Arial" w:eastAsia="Arial" w:hAnsi="Arial"/>
          <w:b/>
          <w:bCs/>
        </w:rPr>
        <w:t xml:space="preserve">13 initiatives</w:t>
      </w:r>
      <w:r>
        <w:rPr>
          <w:rFonts w:ascii="Arial" w:cs="Arial" w:eastAsia="Arial" w:hAnsi="Arial"/>
        </w:rPr>
        <w:t xml:space="preserve"> reduces aggregate estimated risk by about </w:t>
      </w:r>
      <w:r>
        <w:rPr>
          <w:rFonts w:ascii="Arial" w:cs="Arial" w:eastAsia="Arial" w:hAnsi="Arial"/>
          <w:b/>
          <w:bCs/>
        </w:rPr>
        <w:t xml:space="preserve">55%</w:t>
      </w:r>
      <w:r>
        <w:rPr>
          <w:rFonts w:ascii="Arial" w:cs="Arial" w:eastAsia="Arial" w:hAnsi="Arial"/>
        </w:rPr>
        <w:t xml:space="preserve"> (50,306 to 22,722 risk units). Indicative cost: </w:t>
      </w:r>
      <w:r>
        <w:rPr>
          <w:rFonts w:ascii="Arial" w:cs="Arial" w:eastAsia="Arial" w:hAnsi="Arial"/>
          <w:b/>
          <w:bCs/>
        </w:rPr>
        <w:t xml:space="preserve">$2,410,000 initial</w:t>
      </w:r>
      <w:r>
        <w:rPr>
          <w:rFonts w:ascii="Arial" w:cs="Arial" w:eastAsia="Arial" w:hAnsi="Arial"/>
        </w:rPr>
        <w:t xml:space="preserve"> plus </w:t>
      </w:r>
      <w:r>
        <w:rPr>
          <w:rFonts w:ascii="Arial" w:cs="Arial" w:eastAsia="Arial" w:hAnsi="Arial"/>
          <w:b/>
          <w:bCs/>
        </w:rPr>
        <w:t xml:space="preserve">$1,456,000 per year</w:t>
      </w:r>
      <w:r>
        <w:rPr>
          <w:rFonts w:ascii="Arial" w:cs="Arial" w:eastAsia="Arial" w:hAnsi="Arial"/>
        </w:rPr>
        <w:t xml:space="preserve"> recurring, i.e. </w:t>
      </w:r>
      <w:r>
        <w:rPr>
          <w:rFonts w:ascii="Arial" w:cs="Arial" w:eastAsia="Arial" w:hAnsi="Arial"/>
          <w:b/>
          <w:bCs/>
        </w:rPr>
        <w:t xml:space="preserve">$3,866,000 in Year 1</w:t>
      </w:r>
      <w:r>
        <w:rPr>
          <w:rFonts w:ascii="Arial" w:cs="Arial" w:eastAsia="Arial" w:hAnsi="Arial"/>
        </w:rPr>
        <w:t xml:space="preserve"> (implementation plus first-year operation; no quotations obtained).</w:t>
      </w:r>
    </w:p>
    <w:p>
      <w:pPr>
        <w:pStyle w:val="Heading3"/>
      </w:pPr>
      <w:r>
        <w:rPr>
          <w:rFonts w:ascii="Arial" w:cs="Arial" w:eastAsia="Arial" w:hAnsi="Arial"/>
        </w:rPr>
        <w:t xml:space="preserve">Most material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bl>
    <w:p>
      <w:pPr>
        <w:spacing w:after="80"/>
      </w:pPr>
    </w:p>
    <w:p>
      <w:pPr>
        <w:pStyle w:val="Heading3"/>
      </w:pPr>
      <w:r>
        <w:rPr>
          <w:rFonts w:ascii="Arial" w:cs="Arial" w:eastAsia="Arial" w:hAnsi="Arial"/>
        </w:rPr>
        <w:t xml:space="preserve">Systemic weaknesses</w:t>
      </w:r>
    </w:p>
    <w:p>
      <w:pPr>
        <w:pStyle w:val="ListParagraph"/>
        <w:numPr>
          <w:ilvl w:val="0"/>
          <w:numId w:val="2"/>
        </w:numPr>
        <w:spacing w:after="60"/>
      </w:pPr>
      <w:r>
        <w:rPr>
          <w:rFonts w:ascii="Arial" w:cs="Arial" w:eastAsia="Arial" w:hAnsi="Arial"/>
          <w:b/>
          <w:bCs/>
        </w:rPr>
        <w:t xml:space="preserve">Identity</w:t>
      </w:r>
      <w:r>
        <w:rPr>
          <w:rFonts w:ascii="Arial" w:cs="Arial" w:eastAsia="Arial" w:hAnsi="Arial"/>
        </w:rPr>
        <w:t xml:space="preserve"> - push MFA without phishing resistance, no evidence of conditional access or privileged-access management; over-privileged service account (ehr-sync-svc).</w:t>
      </w:r>
    </w:p>
    <w:p>
      <w:pPr>
        <w:pStyle w:val="ListParagraph"/>
        <w:numPr>
          <w:ilvl w:val="0"/>
          <w:numId w:val="2"/>
        </w:numPr>
        <w:spacing w:after="60"/>
      </w:pPr>
      <w:r>
        <w:rPr>
          <w:rFonts w:ascii="Arial" w:cs="Arial" w:eastAsia="Arial" w:hAnsi="Arial"/>
          <w:b/>
          <w:bCs/>
        </w:rPr>
        <w:t xml:space="preserve">Detection and response capacity</w:t>
      </w:r>
      <w:r>
        <w:rPr>
          <w:rFonts w:ascii="Arial" w:cs="Arial" w:eastAsia="Arial" w:hAnsi="Arial"/>
        </w:rPr>
        <w:t xml:space="preserve"> - two staff, no 24/7 monitoring, weak alert triage, untested incident response across clinics.</w:t>
      </w:r>
    </w:p>
    <w:p>
      <w:pPr>
        <w:pStyle w:val="ListParagraph"/>
        <w:numPr>
          <w:ilvl w:val="0"/>
          <w:numId w:val="2"/>
        </w:numPr>
        <w:spacing w:after="60"/>
      </w:pPr>
      <w:r>
        <w:rPr>
          <w:rFonts w:ascii="Arial" w:cs="Arial" w:eastAsia="Arial" w:hAnsi="Arial"/>
          <w:b/>
          <w:bCs/>
        </w:rPr>
        <w:t xml:space="preserve">Recoverability</w:t>
      </w:r>
      <w:r>
        <w:rPr>
          <w:rFonts w:ascii="Arial" w:cs="Arial" w:eastAsia="Arial" w:hAnsi="Arial"/>
        </w:rPr>
        <w:t xml:space="preserve"> - backups exist but isolation, immutability and restore testing are not evidenced.</w:t>
      </w:r>
    </w:p>
    <w:p>
      <w:pPr>
        <w:pStyle w:val="ListParagraph"/>
        <w:numPr>
          <w:ilvl w:val="0"/>
          <w:numId w:val="2"/>
        </w:numPr>
        <w:spacing w:after="60"/>
      </w:pPr>
      <w:r>
        <w:rPr>
          <w:rFonts w:ascii="Arial" w:cs="Arial" w:eastAsia="Arial" w:hAnsi="Arial"/>
          <w:b/>
          <w:bCs/>
        </w:rPr>
        <w:t xml:space="preserve">Flat, device-rich clinic networks</w:t>
      </w:r>
      <w:r>
        <w:rPr>
          <w:rFonts w:ascii="Arial" w:cs="Arial" w:eastAsia="Arial" w:hAnsi="Arial"/>
        </w:rPr>
        <w:t xml:space="preserve"> - medical devices, Wi-Fi and workstations not demonstrably segmented; patching constrained.</w:t>
      </w:r>
    </w:p>
    <w:p>
      <w:pPr>
        <w:pStyle w:val="ListParagraph"/>
        <w:numPr>
          <w:ilvl w:val="0"/>
          <w:numId w:val="2"/>
        </w:numPr>
        <w:spacing w:after="60"/>
      </w:pPr>
      <w:r>
        <w:rPr>
          <w:rFonts w:ascii="Arial" w:cs="Arial" w:eastAsia="Arial" w:hAnsi="Arial"/>
          <w:b/>
          <w:bCs/>
        </w:rPr>
        <w:t xml:space="preserve">Third-party and cloud visibility</w:t>
      </w:r>
      <w:r>
        <w:rPr>
          <w:rFonts w:ascii="Arial" w:cs="Arial" w:eastAsia="Arial" w:hAnsi="Arial"/>
        </w:rPr>
        <w:t xml:space="preserve"> - no vendor assurance, contract clauses or cloud posture management evidenced.</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cybersecurity risk appetite (analyst estimate 0.30 vs. 0.40 stated in the case). At 0.40, only S9 remains above tolerance and S7 sits at the upper edge.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treatment portfolio ($3,866,000 Year 1) and immediate 0-90-day actions: phishing-resistant MFA for privileged and remote access, 24/7 MDR, backup isolation, cloud public-access block, service-account lockdown, tabletop exercise.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residual risk above tolerance for S2, S5, S7, S9, S10: accept formally, fund further treatment, or transfer (cyber insurance, vendor contracts).</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and S10: the appetite statement allows no residual risk creating a credible immediate threat to patient care.</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one dedicated vulnerability-management FTE (costed) and assess a second IAM/PAM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scheduling and online services, billing and administration, identity and remote access, cloud storage, data centre, WAN, backups, clinic networks and Wi-Fi, connected medical equipment, critical vendors.</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Exclusions</w:t>
            </w:r>
          </w:p>
        </w:tc>
        <w:tc>
          <w:tcPr>
            <w:tcW w:type="dxa" w:w="7676"/>
            <w:tcMar>
              <w:top w:type="dxa" w:w="50"/>
              <w:left w:type="dxa" w:w="80"/>
              <w:bottom w:type="dxa" w:w="50"/>
              <w:right w:type="dxa" w:w="80"/>
            </w:tcMar>
          </w:tcPr>
          <w:p>
            <w:r>
              <w:rPr>
                <w:rFonts w:ascii="Arial" w:cs="Arial" w:eastAsia="Arial" w:hAnsi="Arial"/>
                <w:sz w:val="16"/>
                <w:szCs w:val="16"/>
              </w:rPr>
              <w:t xml:space="preserve">Physical security, non-malicious data-centre outages (candidate C16 - referred to BCP/DR review), payment-card scope, detailed legal analysis.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Evidence limits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Incident injects (Appendices A-B of the case) are treated as illustrative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The assessment follows the CyberRiskGuardian method: context and crown jewels, risk appetite, 20 candidate scenarios screened to 10, detailed causal-chain scenarios, six parameters on a 0-1 scale, CVSS v4.0 base score (CVSS-B) for a representative weakness, KRI calculation, treatment portfolio with shared-control allocation, residual-risk recalculation, sensitivity analysis and multi-criteria prioritization.</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never negative because both reductions stay within 0-1 (the corrected template adds a MAX(0) guard)</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 (risk units removed per $1,000)</w:t>
            </w:r>
          </w:p>
        </w:tc>
      </w:tr>
    </w:tbl>
    <w:p>
      <w:pPr>
        <w:spacing w:after="80"/>
      </w:pPr>
    </w:p>
    <w:p>
      <w:pPr>
        <w:spacing w:after="120"/>
      </w:pPr>
      <w:r>
        <w:rPr>
          <w:rFonts w:ascii="Arial" w:cs="Arial" w:eastAsia="Arial" w:hAnsi="Arial"/>
        </w:rPr>
        <w:t xml:space="preserve">Factor = 1,000 for every scenario. Parameters: Pb(A) threat presence; Pb(psi,A) exploitation; de expected damage; dm maximum damage; theta organizational resilience (higher = stronger); mu(E) criticality of the affected service. Confidence is rated High / Medium / Low for each value. The 'approximately at' band of +/-10% is an analyst convention reflecting estimate precision.</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used in this report: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Instructor Annex A values were used only as a calibration cross-check: the estimates here fall in a comparable range (e.g. resilience 0.30-0.40 vs. 0.38-0.55 in the annex), but were derived independently.</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 a single failure has network-wide effects.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 arguing against a neutral appetite.</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MediBec accepts moderate risk for governed innovation (E5), which argues against an extreme (0.1-0.2) value.</w:t>
      </w:r>
    </w:p>
    <w:p>
      <w:pPr>
        <w:spacing w:after="120"/>
      </w:pPr>
      <w:r>
        <w:rPr>
          <w:rFonts w:ascii="Arial" w:cs="Arial" w:eastAsia="Arial" w:hAnsi="Arial"/>
          <w:b/>
          <w:bCs/>
        </w:rPr>
        <w:t xml:space="preserve">Relationship to the case value.</w:t>
      </w:r>
      <w:r>
        <w:rPr>
          <w:rFonts w:ascii="Arial" w:cs="Arial" w:eastAsia="Arial" w:hAnsi="Arial"/>
        </w:rPr>
        <w:t xml:space="preserve"> The case gives a normalized tolerance of 0.40, blending low appetite for clinical and privacy risk with moderate appetite for innovation, and designed for a different scoring scale (T x E x I). Every scenario in this assessment involves health data or patient care, so the stricter 0.30 is proposed. Because the choice changes outcomes, it is shown below as a sensitivity.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Ratio @ 0.40 (case)</w:t>
            </w:r>
          </w:p>
        </w:tc>
      </w:tr>
      <w:tr>
        <w:tc>
          <w:tcPr>
            <w:tcW w:type="dxa" w:w="5148"/>
            <w:tcMar>
              <w:top w:type="dxa" w:w="50"/>
              <w:left w:type="dxa" w:w="80"/>
              <w:bottom w:type="dxa" w:w="50"/>
              <w:right w:type="dxa" w:w="80"/>
            </w:tcMar>
          </w:tcPr>
          <w:p>
            <w:r>
              <w:rPr>
                <w:rFonts w:ascii="Arial" w:cs="Arial" w:eastAsia="Arial" w:hAnsi="Arial"/>
                <w:sz w:val="16"/>
                <w:szCs w:val="16"/>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0.70</w:t>
            </w:r>
          </w:p>
        </w:tc>
      </w:tr>
      <w:tr>
        <w:tc>
          <w:tcPr>
            <w:tcW w:type="dxa" w:w="5148"/>
            <w:tcMar>
              <w:top w:type="dxa" w:w="50"/>
              <w:left w:type="dxa" w:w="80"/>
              <w:bottom w:type="dxa" w:w="50"/>
              <w:right w:type="dxa" w:w="80"/>
            </w:tcMar>
          </w:tcPr>
          <w:p>
            <w:r>
              <w:rPr>
                <w:rFonts w:ascii="Arial" w:cs="Arial" w:eastAsia="Arial" w:hAnsi="Arial"/>
                <w:sz w:val="16"/>
                <w:szCs w:val="16"/>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0.90</w:t>
            </w:r>
          </w:p>
        </w:tc>
      </w:tr>
      <w:tr>
        <w:tc>
          <w:tcPr>
            <w:tcW w:type="dxa" w:w="5148"/>
            <w:tcMar>
              <w:top w:type="dxa" w:w="50"/>
              <w:left w:type="dxa" w:w="80"/>
              <w:bottom w:type="dxa" w:w="50"/>
              <w:right w:type="dxa" w:w="80"/>
            </w:tcMar>
          </w:tcPr>
          <w:p>
            <w:r>
              <w:rPr>
                <w:rFonts w:ascii="Arial" w:cs="Arial" w:eastAsia="Arial" w:hAnsi="Arial"/>
                <w:sz w:val="16"/>
                <w:szCs w:val="16"/>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0.60</w:t>
            </w:r>
          </w:p>
        </w:tc>
      </w:tr>
      <w:tr>
        <w:tc>
          <w:tcPr>
            <w:tcW w:type="dxa" w:w="5148"/>
            <w:tcMar>
              <w:top w:type="dxa" w:w="50"/>
              <w:left w:type="dxa" w:w="80"/>
              <w:bottom w:type="dxa" w:w="50"/>
              <w:right w:type="dxa" w:w="80"/>
            </w:tcMar>
          </w:tcPr>
          <w:p>
            <w:r>
              <w:rPr>
                <w:rFonts w:ascii="Arial" w:cs="Arial" w:eastAsia="Arial" w:hAnsi="Arial"/>
                <w:sz w:val="16"/>
                <w:szCs w:val="16"/>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0.68</w:t>
            </w:r>
          </w:p>
        </w:tc>
      </w:tr>
      <w:tr>
        <w:tc>
          <w:tcPr>
            <w:tcW w:type="dxa" w:w="5148"/>
            <w:tcMar>
              <w:top w:type="dxa" w:w="50"/>
              <w:left w:type="dxa" w:w="80"/>
              <w:bottom w:type="dxa" w:w="50"/>
              <w:right w:type="dxa" w:w="80"/>
            </w:tcMar>
          </w:tcPr>
          <w:p>
            <w:r>
              <w:rPr>
                <w:rFonts w:ascii="Arial" w:cs="Arial" w:eastAsia="Arial" w:hAnsi="Arial"/>
                <w:sz w:val="16"/>
                <w:szCs w:val="16"/>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0.91</w:t>
            </w:r>
          </w:p>
        </w:tc>
      </w:tr>
      <w:tr>
        <w:tc>
          <w:tcPr>
            <w:tcW w:type="dxa" w:w="5148"/>
            <w:tcMar>
              <w:top w:type="dxa" w:w="50"/>
              <w:left w:type="dxa" w:w="80"/>
              <w:bottom w:type="dxa" w:w="50"/>
              <w:right w:type="dxa" w:w="80"/>
            </w:tcMar>
          </w:tcPr>
          <w:p>
            <w:r>
              <w:rPr>
                <w:rFonts w:ascii="Arial" w:cs="Arial" w:eastAsia="Arial" w:hAnsi="Arial"/>
                <w:sz w:val="16"/>
                <w:szCs w:val="16"/>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0.76</w:t>
            </w:r>
          </w:p>
        </w:tc>
      </w:tr>
      <w:tr>
        <w:tc>
          <w:tcPr>
            <w:tcW w:type="dxa" w:w="5148"/>
            <w:tcMar>
              <w:top w:type="dxa" w:w="50"/>
              <w:left w:type="dxa" w:w="80"/>
              <w:bottom w:type="dxa" w:w="50"/>
              <w:right w:type="dxa" w:w="80"/>
            </w:tcMar>
          </w:tcPr>
          <w:p>
            <w:r>
              <w:rPr>
                <w:rFonts w:ascii="Arial" w:cs="Arial" w:eastAsia="Arial" w:hAnsi="Arial"/>
                <w:sz w:val="16"/>
                <w:szCs w:val="16"/>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1.09</w:t>
            </w:r>
          </w:p>
        </w:tc>
      </w:tr>
      <w:tr>
        <w:tc>
          <w:tcPr>
            <w:tcW w:type="dxa" w:w="5148"/>
            <w:tcMar>
              <w:top w:type="dxa" w:w="50"/>
              <w:left w:type="dxa" w:w="80"/>
              <w:bottom w:type="dxa" w:w="50"/>
              <w:right w:type="dxa" w:w="80"/>
            </w:tcMar>
          </w:tcPr>
          <w:p>
            <w:r>
              <w:rPr>
                <w:rFonts w:ascii="Arial" w:cs="Arial" w:eastAsia="Arial" w:hAnsi="Arial"/>
                <w:sz w:val="16"/>
                <w:szCs w:val="16"/>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6"/>
                <w:szCs w:val="16"/>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0.82</w:t>
            </w:r>
          </w:p>
        </w:tc>
      </w:tr>
      <w:tr>
        <w:tc>
          <w:tcPr>
            <w:tcW w:type="dxa" w:w="5148"/>
            <w:tcMar>
              <w:top w:type="dxa" w:w="50"/>
              <w:left w:type="dxa" w:w="80"/>
              <w:bottom w:type="dxa" w:w="50"/>
              <w:right w:type="dxa" w:w="80"/>
            </w:tcMar>
          </w:tcPr>
          <w:p>
            <w:r>
              <w:rPr>
                <w:rFonts w:ascii="Arial" w:cs="Arial" w:eastAsia="Arial" w:hAnsi="Arial"/>
                <w:sz w:val="16"/>
                <w:szCs w:val="16"/>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1.15</w:t>
            </w:r>
          </w:p>
        </w:tc>
      </w:tr>
      <w:tr>
        <w:tc>
          <w:tcPr>
            <w:tcW w:type="dxa" w:w="5148"/>
            <w:tcMar>
              <w:top w:type="dxa" w:w="50"/>
              <w:left w:type="dxa" w:w="80"/>
              <w:bottom w:type="dxa" w:w="50"/>
              <w:right w:type="dxa" w:w="80"/>
            </w:tcMar>
          </w:tcPr>
          <w:p>
            <w:r>
              <w:rPr>
                <w:rFonts w:ascii="Arial" w:cs="Arial" w:eastAsia="Arial" w:hAnsi="Arial"/>
                <w:sz w:val="16"/>
                <w:szCs w:val="16"/>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6"/>
                <w:szCs w:val="16"/>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6"/>
                <w:szCs w:val="16"/>
              </w:rPr>
              <w:t xml:space="preserve">0.89</w:t>
            </w:r>
          </w:p>
        </w:tc>
      </w:tr>
    </w:tbl>
    <w:p>
      <w:pPr>
        <w:spacing w:after="80"/>
      </w:pPr>
    </w:p>
    <w:p>
      <w:pPr>
        <w:spacing w:after="120"/>
      </w:pPr>
      <w:r>
        <w:rPr>
          <w:rFonts w:ascii="Arial" w:cs="Arial" w:eastAsia="Arial" w:hAnsi="Arial"/>
        </w:rPr>
        <w:t xml:space="preserve">Residual risk / tolerated risk after treatment. At 0.40, only S9 (vendors) stays above tolerance and S7 (medical devices) sits at the upper edge (1.09); at 0.20 all ten would be above.</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Twenty candidates were generated from six perspectives - top-down (clinical continuity, privacy), bottom-up (documented weaknesses), threat-driven, asset-driven (crown jewels), third-party and human - using the case scenario library (MED-CYR-01 to 15), the exercise evidence and the extended catalogue. Each is expressed as threat source, condition, asset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Plausible but thin evidence on MediBec's development footprint; controls partly shared with S4/S5. Keep on watch list.</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Treated as an access path; the consequence driver is the flat network addressed in S7/S2.</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Clinics can continue care; limited privacy impact; criticality of online services not documented.</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Non-malicious availability risk; better handled in BCP/DR review. Shares recovery controls with S3.</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Encryption documented (E2); exposure absorbed into S2/S3 scope.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Financial only; lower mission impact than selected scenarios.</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Lower volume of records; standard MDM control.</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bl>
    <w:p>
      <w:pPr>
        <w:spacing w:after="80"/>
      </w:pPr>
    </w:p>
    <w:p>
      <w:pPr>
        <w:spacing w:after="120"/>
      </w:pPr>
      <w:r>
        <w:rPr>
          <w:rFonts w:ascii="Arial" w:cs="Arial" w:eastAsia="Arial" w:hAnsi="Arial"/>
          <w:b/>
          <w:bCs/>
        </w:rPr>
        <w:t xml:space="preserve">Screening criteria:</w:t>
      </w:r>
      <w:r>
        <w:rPr>
          <w:rFonts w:ascii="Arial" w:cs="Arial" w:eastAsia="Arial" w:hAnsi="Arial"/>
        </w:rPr>
        <w:t xml:space="preserve"> plausibility over 12 months, consequence severity (patient safety and privacy weighted highest), evidence of exposure in the case, uniqueness of the causal chain, regulatory and operational significance. Five candidates were merged into selected scenarios to avoid duplication; five were not selected because of lower consequence, thin evidence or a non-malicious cause. CVSS played no role in selection.</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Key treatment</w:t>
            </w:r>
          </w:p>
        </w:tc>
      </w:tr>
      <w:tr>
        <w:tc>
          <w:tcPr>
            <w:tcW w:type="dxa" w:w="374"/>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4"/>
                <w:szCs w:val="14"/>
              </w:rPr>
              <w:t xml:space="preserve">9.3</w:t>
            </w:r>
          </w:p>
        </w:tc>
        <w:tc>
          <w:tcPr>
            <w:tcW w:type="dxa" w:w="748"/>
            <w:tcMar>
              <w:top w:type="dxa" w:w="50"/>
              <w:left w:type="dxa" w:w="80"/>
              <w:bottom w:type="dxa" w:w="50"/>
              <w:right w:type="dxa" w:w="80"/>
            </w:tcMar>
          </w:tcPr>
          <w:p>
            <w:r>
              <w:rPr>
                <w:rFonts w:ascii="Arial" w:cs="Arial" w:eastAsia="Arial" w:hAnsi="Arial"/>
                <w:sz w:val="14"/>
                <w:szCs w:val="14"/>
              </w:rPr>
              <w:t xml:space="preserve">6,467</w:t>
            </w:r>
          </w:p>
        </w:tc>
        <w:tc>
          <w:tcPr>
            <w:tcW w:type="dxa" w:w="748"/>
            <w:tcMar>
              <w:top w:type="dxa" w:w="50"/>
              <w:left w:type="dxa" w:w="80"/>
              <w:bottom w:type="dxa" w:w="50"/>
              <w:right w:type="dxa" w:w="80"/>
            </w:tcMar>
          </w:tcPr>
          <w:p>
            <w:r>
              <w:rPr>
                <w:rFonts w:ascii="Arial" w:cs="Arial" w:eastAsia="Arial" w:hAnsi="Arial"/>
                <w:sz w:val="14"/>
                <w:szCs w:val="14"/>
              </w:rPr>
              <w:t xml:space="preserve">2,772</w:t>
            </w:r>
          </w:p>
        </w:tc>
        <w:tc>
          <w:tcPr>
            <w:tcW w:type="dxa" w:w="748"/>
            <w:tcMar>
              <w:top w:type="dxa" w:w="50"/>
              <w:left w:type="dxa" w:w="80"/>
              <w:bottom w:type="dxa" w:w="50"/>
              <w:right w:type="dxa" w:w="80"/>
            </w:tcMar>
          </w:tcPr>
          <w:p>
            <w:r>
              <w:rPr>
                <w:rFonts w:ascii="Arial" w:cs="Arial" w:eastAsia="Arial" w:hAnsi="Arial"/>
                <w:sz w:val="14"/>
                <w:szCs w:val="14"/>
              </w:rPr>
              <w:t xml:space="preserve">2,587</w:t>
            </w:r>
          </w:p>
        </w:tc>
        <w:tc>
          <w:tcPr>
            <w:tcW w:type="dxa" w:w="655"/>
            <w:tcMar>
              <w:top w:type="dxa" w:w="50"/>
              <w:left w:type="dxa" w:w="80"/>
              <w:bottom w:type="dxa" w:w="50"/>
              <w:right w:type="dxa" w:w="80"/>
            </w:tcMar>
          </w:tcPr>
          <w:p>
            <w:r>
              <w:rPr>
                <w:rFonts w:ascii="Arial" w:cs="Arial" w:eastAsia="Arial" w:hAnsi="Arial"/>
                <w:sz w:val="14"/>
                <w:szCs w:val="14"/>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I12</w:t>
            </w:r>
          </w:p>
        </w:tc>
      </w:tr>
      <w:tr>
        <w:tc>
          <w:tcPr>
            <w:tcW w:type="dxa" w:w="374"/>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4"/>
                <w:szCs w:val="14"/>
              </w:rPr>
              <w:t xml:space="preserve">9.3</w:t>
            </w:r>
          </w:p>
        </w:tc>
        <w:tc>
          <w:tcPr>
            <w:tcW w:type="dxa" w:w="748"/>
            <w:tcMar>
              <w:top w:type="dxa" w:w="50"/>
              <w:left w:type="dxa" w:w="80"/>
              <w:bottom w:type="dxa" w:w="50"/>
              <w:right w:type="dxa" w:w="80"/>
            </w:tcMar>
          </w:tcPr>
          <w:p>
            <w:r>
              <w:rPr>
                <w:rFonts w:ascii="Arial" w:cs="Arial" w:eastAsia="Arial" w:hAnsi="Arial"/>
                <w:sz w:val="14"/>
                <w:szCs w:val="14"/>
              </w:rPr>
              <w:t xml:space="preserve">7,810</w:t>
            </w:r>
          </w:p>
        </w:tc>
        <w:tc>
          <w:tcPr>
            <w:tcW w:type="dxa" w:w="748"/>
            <w:tcMar>
              <w:top w:type="dxa" w:w="50"/>
              <w:left w:type="dxa" w:w="80"/>
              <w:bottom w:type="dxa" w:w="50"/>
              <w:right w:type="dxa" w:w="80"/>
            </w:tcMar>
          </w:tcPr>
          <w:p>
            <w:r>
              <w:rPr>
                <w:rFonts w:ascii="Arial" w:cs="Arial" w:eastAsia="Arial" w:hAnsi="Arial"/>
                <w:sz w:val="14"/>
                <w:szCs w:val="14"/>
              </w:rPr>
              <w:t xml:space="preserve">2,840</w:t>
            </w:r>
          </w:p>
        </w:tc>
        <w:tc>
          <w:tcPr>
            <w:tcW w:type="dxa" w:w="748"/>
            <w:tcMar>
              <w:top w:type="dxa" w:w="50"/>
              <w:left w:type="dxa" w:w="80"/>
              <w:bottom w:type="dxa" w:w="50"/>
              <w:right w:type="dxa" w:w="80"/>
            </w:tcMar>
          </w:tcPr>
          <w:p>
            <w:r>
              <w:rPr>
                <w:rFonts w:ascii="Arial" w:cs="Arial" w:eastAsia="Arial" w:hAnsi="Arial"/>
                <w:sz w:val="14"/>
                <w:szCs w:val="14"/>
              </w:rPr>
              <w:t xml:space="preserve">3,417</w:t>
            </w:r>
          </w:p>
        </w:tc>
        <w:tc>
          <w:tcPr>
            <w:tcW w:type="dxa" w:w="655"/>
            <w:tcMar>
              <w:top w:type="dxa" w:w="50"/>
              <w:left w:type="dxa" w:w="80"/>
              <w:bottom w:type="dxa" w:w="50"/>
              <w:right w:type="dxa" w:w="80"/>
            </w:tcMar>
          </w:tcPr>
          <w:p>
            <w:r>
              <w:rPr>
                <w:rFonts w:ascii="Arial" w:cs="Arial" w:eastAsia="Arial" w:hAnsi="Arial"/>
                <w:sz w:val="14"/>
                <w:szCs w:val="14"/>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4"/>
                <w:szCs w:val="14"/>
              </w:rPr>
              <w:t xml:space="preserve">S3</w:t>
            </w:r>
          </w:p>
        </w:tc>
        <w:tc>
          <w:tcPr>
            <w:tcW w:type="dxa" w:w="2808"/>
            <w:tcMar>
              <w:top w:type="dxa" w:w="50"/>
              <w:left w:type="dxa" w:w="80"/>
              <w:bottom w:type="dxa" w:w="50"/>
              <w:right w:type="dxa" w:w="80"/>
            </w:tcMar>
          </w:tcPr>
          <w:p>
            <w:r>
              <w:rPr>
                <w:rFonts w:ascii="Arial" w:cs="Arial" w:eastAsia="Arial" w:hAnsi="Arial"/>
                <w:sz w:val="14"/>
                <w:szCs w:val="14"/>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4"/>
                <w:szCs w:val="14"/>
              </w:rPr>
              <w:t xml:space="preserve">9.2</w:t>
            </w:r>
          </w:p>
        </w:tc>
        <w:tc>
          <w:tcPr>
            <w:tcW w:type="dxa" w:w="748"/>
            <w:tcMar>
              <w:top w:type="dxa" w:w="50"/>
              <w:left w:type="dxa" w:w="80"/>
              <w:bottom w:type="dxa" w:w="50"/>
              <w:right w:type="dxa" w:w="80"/>
            </w:tcMar>
          </w:tcPr>
          <w:p>
            <w:r>
              <w:rPr>
                <w:rFonts w:ascii="Arial" w:cs="Arial" w:eastAsia="Arial" w:hAnsi="Arial"/>
                <w:sz w:val="14"/>
                <w:szCs w:val="14"/>
              </w:rPr>
              <w:t xml:space="preserve">4,879</w:t>
            </w:r>
          </w:p>
        </w:tc>
        <w:tc>
          <w:tcPr>
            <w:tcW w:type="dxa" w:w="748"/>
            <w:tcMar>
              <w:top w:type="dxa" w:w="50"/>
              <w:left w:type="dxa" w:w="80"/>
              <w:bottom w:type="dxa" w:w="50"/>
              <w:right w:type="dxa" w:w="80"/>
            </w:tcMar>
          </w:tcPr>
          <w:p>
            <w:r>
              <w:rPr>
                <w:rFonts w:ascii="Arial" w:cs="Arial" w:eastAsia="Arial" w:hAnsi="Arial"/>
                <w:sz w:val="14"/>
                <w:szCs w:val="14"/>
              </w:rPr>
              <w:t xml:space="preserve">1,952</w:t>
            </w:r>
          </w:p>
        </w:tc>
        <w:tc>
          <w:tcPr>
            <w:tcW w:type="dxa" w:w="748"/>
            <w:tcMar>
              <w:top w:type="dxa" w:w="50"/>
              <w:left w:type="dxa" w:w="80"/>
              <w:bottom w:type="dxa" w:w="50"/>
              <w:right w:type="dxa" w:w="80"/>
            </w:tcMar>
          </w:tcPr>
          <w:p>
            <w:r>
              <w:rPr>
                <w:rFonts w:ascii="Arial" w:cs="Arial" w:eastAsia="Arial" w:hAnsi="Arial"/>
                <w:sz w:val="14"/>
                <w:szCs w:val="14"/>
              </w:rPr>
              <w:t xml:space="preserve">1,561</w:t>
            </w:r>
          </w:p>
        </w:tc>
        <w:tc>
          <w:tcPr>
            <w:tcW w:type="dxa" w:w="655"/>
            <w:tcMar>
              <w:top w:type="dxa" w:w="50"/>
              <w:left w:type="dxa" w:w="80"/>
              <w:bottom w:type="dxa" w:w="50"/>
              <w:right w:type="dxa" w:w="80"/>
            </w:tcMar>
          </w:tcPr>
          <w:p>
            <w:r>
              <w:rPr>
                <w:rFonts w:ascii="Arial" w:cs="Arial" w:eastAsia="Arial" w:hAnsi="Arial"/>
                <w:sz w:val="14"/>
                <w:szCs w:val="14"/>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4"/>
                <w:szCs w:val="14"/>
              </w:rPr>
              <w:t xml:space="preserve">Below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I04, I06, I11</w:t>
            </w:r>
          </w:p>
        </w:tc>
      </w:tr>
      <w:tr>
        <w:tc>
          <w:tcPr>
            <w:tcW w:type="dxa" w:w="374"/>
            <w:tcMar>
              <w:top w:type="dxa" w:w="50"/>
              <w:left w:type="dxa" w:w="80"/>
              <w:bottom w:type="dxa" w:w="50"/>
              <w:right w:type="dxa" w:w="80"/>
            </w:tcMar>
          </w:tcPr>
          <w:p>
            <w:r>
              <w:rPr>
                <w:rFonts w:ascii="Arial" w:cs="Arial" w:eastAsia="Arial" w:hAnsi="Arial"/>
                <w:sz w:val="14"/>
                <w:szCs w:val="14"/>
              </w:rPr>
              <w:t xml:space="preserve">S4</w:t>
            </w:r>
          </w:p>
        </w:tc>
        <w:tc>
          <w:tcPr>
            <w:tcW w:type="dxa" w:w="2808"/>
            <w:tcMar>
              <w:top w:type="dxa" w:w="50"/>
              <w:left w:type="dxa" w:w="80"/>
              <w:bottom w:type="dxa" w:w="50"/>
              <w:right w:type="dxa" w:w="80"/>
            </w:tcMar>
          </w:tcPr>
          <w:p>
            <w:r>
              <w:rPr>
                <w:rFonts w:ascii="Arial" w:cs="Arial" w:eastAsia="Arial" w:hAnsi="Arial"/>
                <w:sz w:val="14"/>
                <w:szCs w:val="14"/>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4"/>
                <w:szCs w:val="14"/>
              </w:rPr>
              <w:t xml:space="preserve">8.7</w:t>
            </w:r>
          </w:p>
        </w:tc>
        <w:tc>
          <w:tcPr>
            <w:tcW w:type="dxa" w:w="748"/>
            <w:tcMar>
              <w:top w:type="dxa" w:w="50"/>
              <w:left w:type="dxa" w:w="80"/>
              <w:bottom w:type="dxa" w:w="50"/>
              <w:right w:type="dxa" w:w="80"/>
            </w:tcMar>
          </w:tcPr>
          <w:p>
            <w:r>
              <w:rPr>
                <w:rFonts w:ascii="Arial" w:cs="Arial" w:eastAsia="Arial" w:hAnsi="Arial"/>
                <w:sz w:val="14"/>
                <w:szCs w:val="14"/>
              </w:rPr>
              <w:t xml:space="preserve">2,973</w:t>
            </w:r>
          </w:p>
        </w:tc>
        <w:tc>
          <w:tcPr>
            <w:tcW w:type="dxa" w:w="748"/>
            <w:tcMar>
              <w:top w:type="dxa" w:w="50"/>
              <w:left w:type="dxa" w:w="80"/>
              <w:bottom w:type="dxa" w:w="50"/>
              <w:right w:type="dxa" w:w="80"/>
            </w:tcMar>
          </w:tcPr>
          <w:p>
            <w:r>
              <w:rPr>
                <w:rFonts w:ascii="Arial" w:cs="Arial" w:eastAsia="Arial" w:hAnsi="Arial"/>
                <w:sz w:val="14"/>
                <w:szCs w:val="14"/>
              </w:rPr>
              <w:t xml:space="preserve">1,321</w:t>
            </w:r>
          </w:p>
        </w:tc>
        <w:tc>
          <w:tcPr>
            <w:tcW w:type="dxa" w:w="748"/>
            <w:tcMar>
              <w:top w:type="dxa" w:w="50"/>
              <w:left w:type="dxa" w:w="80"/>
              <w:bottom w:type="dxa" w:w="50"/>
              <w:right w:type="dxa" w:w="80"/>
            </w:tcMar>
          </w:tcPr>
          <w:p>
            <w:r>
              <w:rPr>
                <w:rFonts w:ascii="Arial" w:cs="Arial" w:eastAsia="Arial" w:hAnsi="Arial"/>
                <w:sz w:val="14"/>
                <w:szCs w:val="14"/>
              </w:rPr>
              <w:t xml:space="preserve">1,204</w:t>
            </w:r>
          </w:p>
        </w:tc>
        <w:tc>
          <w:tcPr>
            <w:tcW w:type="dxa" w:w="655"/>
            <w:tcMar>
              <w:top w:type="dxa" w:w="50"/>
              <w:left w:type="dxa" w:w="80"/>
              <w:bottom w:type="dxa" w:w="50"/>
              <w:right w:type="dxa" w:w="80"/>
            </w:tcMar>
          </w:tcPr>
          <w:p>
            <w:r>
              <w:rPr>
                <w:rFonts w:ascii="Arial" w:cs="Arial" w:eastAsia="Arial" w:hAnsi="Arial"/>
                <w:sz w:val="14"/>
                <w:szCs w:val="14"/>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I03, I08, I09</w:t>
            </w:r>
          </w:p>
        </w:tc>
      </w:tr>
      <w:tr>
        <w:tc>
          <w:tcPr>
            <w:tcW w:type="dxa" w:w="374"/>
            <w:tcMar>
              <w:top w:type="dxa" w:w="50"/>
              <w:left w:type="dxa" w:w="80"/>
              <w:bottom w:type="dxa" w:w="50"/>
              <w:right w:type="dxa" w:w="80"/>
            </w:tcMar>
          </w:tcPr>
          <w:p>
            <w:r>
              <w:rPr>
                <w:rFonts w:ascii="Arial" w:cs="Arial" w:eastAsia="Arial" w:hAnsi="Arial"/>
                <w:sz w:val="14"/>
                <w:szCs w:val="14"/>
              </w:rPr>
              <w:t xml:space="preserve">S5</w:t>
            </w:r>
          </w:p>
        </w:tc>
        <w:tc>
          <w:tcPr>
            <w:tcW w:type="dxa" w:w="2808"/>
            <w:tcMar>
              <w:top w:type="dxa" w:w="50"/>
              <w:left w:type="dxa" w:w="80"/>
              <w:bottom w:type="dxa" w:w="50"/>
              <w:right w:type="dxa" w:w="80"/>
            </w:tcMar>
          </w:tcPr>
          <w:p>
            <w:r>
              <w:rPr>
                <w:rFonts w:ascii="Arial" w:cs="Arial" w:eastAsia="Arial" w:hAnsi="Arial"/>
                <w:sz w:val="14"/>
                <w:szCs w:val="14"/>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4"/>
                <w:szCs w:val="14"/>
              </w:rPr>
              <w:t xml:space="preserve">7.1</w:t>
            </w:r>
          </w:p>
        </w:tc>
        <w:tc>
          <w:tcPr>
            <w:tcW w:type="dxa" w:w="748"/>
            <w:tcMar>
              <w:top w:type="dxa" w:w="50"/>
              <w:left w:type="dxa" w:w="80"/>
              <w:bottom w:type="dxa" w:w="50"/>
              <w:right w:type="dxa" w:w="80"/>
            </w:tcMar>
          </w:tcPr>
          <w:p>
            <w:r>
              <w:rPr>
                <w:rFonts w:ascii="Arial" w:cs="Arial" w:eastAsia="Arial" w:hAnsi="Arial"/>
                <w:sz w:val="14"/>
                <w:szCs w:val="14"/>
              </w:rPr>
              <w:t xml:space="preserve">2,812</w:t>
            </w:r>
          </w:p>
        </w:tc>
        <w:tc>
          <w:tcPr>
            <w:tcW w:type="dxa" w:w="748"/>
            <w:tcMar>
              <w:top w:type="dxa" w:w="50"/>
              <w:left w:type="dxa" w:w="80"/>
              <w:bottom w:type="dxa" w:w="50"/>
              <w:right w:type="dxa" w:w="80"/>
            </w:tcMar>
          </w:tcPr>
          <w:p>
            <w:r>
              <w:rPr>
                <w:rFonts w:ascii="Arial" w:cs="Arial" w:eastAsia="Arial" w:hAnsi="Arial"/>
                <w:sz w:val="14"/>
                <w:szCs w:val="14"/>
              </w:rPr>
              <w:t xml:space="preserve">1,406</w:t>
            </w:r>
          </w:p>
        </w:tc>
        <w:tc>
          <w:tcPr>
            <w:tcW w:type="dxa" w:w="748"/>
            <w:tcMar>
              <w:top w:type="dxa" w:w="50"/>
              <w:left w:type="dxa" w:w="80"/>
              <w:bottom w:type="dxa" w:w="50"/>
              <w:right w:type="dxa" w:w="80"/>
            </w:tcMar>
          </w:tcPr>
          <w:p>
            <w:r>
              <w:rPr>
                <w:rFonts w:ascii="Arial" w:cs="Arial" w:eastAsia="Arial" w:hAnsi="Arial"/>
                <w:sz w:val="14"/>
                <w:szCs w:val="14"/>
              </w:rPr>
              <w:t xml:space="preserve">1,715</w:t>
            </w:r>
          </w:p>
        </w:tc>
        <w:tc>
          <w:tcPr>
            <w:tcW w:type="dxa" w:w="655"/>
            <w:tcMar>
              <w:top w:type="dxa" w:w="50"/>
              <w:left w:type="dxa" w:w="80"/>
              <w:bottom w:type="dxa" w:w="50"/>
              <w:right w:type="dxa" w:w="80"/>
            </w:tcMar>
          </w:tcPr>
          <w:p>
            <w:r>
              <w:rPr>
                <w:rFonts w:ascii="Arial" w:cs="Arial" w:eastAsia="Arial" w:hAnsi="Arial"/>
                <w:sz w:val="14"/>
                <w:szCs w:val="14"/>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I02, I03, I09, I12</w:t>
            </w:r>
          </w:p>
        </w:tc>
      </w:tr>
      <w:tr>
        <w:tc>
          <w:tcPr>
            <w:tcW w:type="dxa" w:w="374"/>
            <w:tcMar>
              <w:top w:type="dxa" w:w="50"/>
              <w:left w:type="dxa" w:w="80"/>
              <w:bottom w:type="dxa" w:w="50"/>
              <w:right w:type="dxa" w:w="80"/>
            </w:tcMar>
          </w:tcPr>
          <w:p>
            <w:r>
              <w:rPr>
                <w:rFonts w:ascii="Arial" w:cs="Arial" w:eastAsia="Arial" w:hAnsi="Arial"/>
                <w:sz w:val="14"/>
                <w:szCs w:val="14"/>
              </w:rPr>
              <w:t xml:space="preserve">S6</w:t>
            </w:r>
          </w:p>
        </w:tc>
        <w:tc>
          <w:tcPr>
            <w:tcW w:type="dxa" w:w="2808"/>
            <w:tcMar>
              <w:top w:type="dxa" w:w="50"/>
              <w:left w:type="dxa" w:w="80"/>
              <w:bottom w:type="dxa" w:w="50"/>
              <w:right w:type="dxa" w:w="80"/>
            </w:tcMar>
          </w:tcPr>
          <w:p>
            <w:r>
              <w:rPr>
                <w:rFonts w:ascii="Arial" w:cs="Arial" w:eastAsia="Arial" w:hAnsi="Arial"/>
                <w:sz w:val="14"/>
                <w:szCs w:val="14"/>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4"/>
                <w:szCs w:val="14"/>
              </w:rPr>
              <w:t xml:space="preserve">10.0</w:t>
            </w:r>
          </w:p>
        </w:tc>
        <w:tc>
          <w:tcPr>
            <w:tcW w:type="dxa" w:w="748"/>
            <w:tcMar>
              <w:top w:type="dxa" w:w="50"/>
              <w:left w:type="dxa" w:w="80"/>
              <w:bottom w:type="dxa" w:w="50"/>
              <w:right w:type="dxa" w:w="80"/>
            </w:tcMar>
          </w:tcPr>
          <w:p>
            <w:r>
              <w:rPr>
                <w:rFonts w:ascii="Arial" w:cs="Arial" w:eastAsia="Arial" w:hAnsi="Arial"/>
                <w:sz w:val="14"/>
                <w:szCs w:val="14"/>
              </w:rPr>
              <w:t xml:space="preserve">6,375</w:t>
            </w:r>
          </w:p>
        </w:tc>
        <w:tc>
          <w:tcPr>
            <w:tcW w:type="dxa" w:w="748"/>
            <w:tcMar>
              <w:top w:type="dxa" w:w="50"/>
              <w:left w:type="dxa" w:w="80"/>
              <w:bottom w:type="dxa" w:w="50"/>
              <w:right w:type="dxa" w:w="80"/>
            </w:tcMar>
          </w:tcPr>
          <w:p>
            <w:r>
              <w:rPr>
                <w:rFonts w:ascii="Arial" w:cs="Arial" w:eastAsia="Arial" w:hAnsi="Arial"/>
                <w:sz w:val="14"/>
                <w:szCs w:val="14"/>
              </w:rPr>
              <w:t xml:space="preserve">2,550</w:t>
            </w:r>
          </w:p>
        </w:tc>
        <w:tc>
          <w:tcPr>
            <w:tcW w:type="dxa" w:w="748"/>
            <w:tcMar>
              <w:top w:type="dxa" w:w="50"/>
              <w:left w:type="dxa" w:w="80"/>
              <w:bottom w:type="dxa" w:w="50"/>
              <w:right w:type="dxa" w:w="80"/>
            </w:tcMar>
          </w:tcPr>
          <w:p>
            <w:r>
              <w:rPr>
                <w:rFonts w:ascii="Arial" w:cs="Arial" w:eastAsia="Arial" w:hAnsi="Arial"/>
                <w:sz w:val="14"/>
                <w:szCs w:val="14"/>
              </w:rPr>
              <w:t xml:space="preserve">2,582</w:t>
            </w:r>
          </w:p>
        </w:tc>
        <w:tc>
          <w:tcPr>
            <w:tcW w:type="dxa" w:w="655"/>
            <w:tcMar>
              <w:top w:type="dxa" w:w="50"/>
              <w:left w:type="dxa" w:w="80"/>
              <w:bottom w:type="dxa" w:w="50"/>
              <w:right w:type="dxa" w:w="80"/>
            </w:tcMar>
          </w:tcPr>
          <w:p>
            <w:r>
              <w:rPr>
                <w:rFonts w:ascii="Arial" w:cs="Arial" w:eastAsia="Arial" w:hAnsi="Arial"/>
                <w:sz w:val="14"/>
                <w:szCs w:val="14"/>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I03, I05, I06</w:t>
            </w:r>
          </w:p>
        </w:tc>
      </w:tr>
      <w:tr>
        <w:tc>
          <w:tcPr>
            <w:tcW w:type="dxa" w:w="374"/>
            <w:tcMar>
              <w:top w:type="dxa" w:w="50"/>
              <w:left w:type="dxa" w:w="80"/>
              <w:bottom w:type="dxa" w:w="50"/>
              <w:right w:type="dxa" w:w="80"/>
            </w:tcMar>
          </w:tcPr>
          <w:p>
            <w:r>
              <w:rPr>
                <w:rFonts w:ascii="Arial" w:cs="Arial" w:eastAsia="Arial" w:hAnsi="Arial"/>
                <w:sz w:val="14"/>
                <w:szCs w:val="14"/>
              </w:rPr>
              <w:t xml:space="preserve">S7</w:t>
            </w:r>
          </w:p>
        </w:tc>
        <w:tc>
          <w:tcPr>
            <w:tcW w:type="dxa" w:w="2808"/>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4"/>
                <w:szCs w:val="14"/>
              </w:rPr>
              <w:t xml:space="preserve">8.7</w:t>
            </w:r>
          </w:p>
        </w:tc>
        <w:tc>
          <w:tcPr>
            <w:tcW w:type="dxa" w:w="748"/>
            <w:tcMar>
              <w:top w:type="dxa" w:w="50"/>
              <w:left w:type="dxa" w:w="80"/>
              <w:bottom w:type="dxa" w:w="50"/>
              <w:right w:type="dxa" w:w="80"/>
            </w:tcMar>
          </w:tcPr>
          <w:p>
            <w:r>
              <w:rPr>
                <w:rFonts w:ascii="Arial" w:cs="Arial" w:eastAsia="Arial" w:hAnsi="Arial"/>
                <w:sz w:val="14"/>
                <w:szCs w:val="14"/>
              </w:rPr>
              <w:t xml:space="preserve">3,775</w:t>
            </w:r>
          </w:p>
        </w:tc>
        <w:tc>
          <w:tcPr>
            <w:tcW w:type="dxa" w:w="748"/>
            <w:tcMar>
              <w:top w:type="dxa" w:w="50"/>
              <w:left w:type="dxa" w:w="80"/>
              <w:bottom w:type="dxa" w:w="50"/>
              <w:right w:type="dxa" w:w="80"/>
            </w:tcMar>
          </w:tcPr>
          <w:p>
            <w:r>
              <w:rPr>
                <w:rFonts w:ascii="Arial" w:cs="Arial" w:eastAsia="Arial" w:hAnsi="Arial"/>
                <w:sz w:val="14"/>
                <w:szCs w:val="14"/>
              </w:rPr>
              <w:t xml:space="preserve">1,510</w:t>
            </w:r>
          </w:p>
        </w:tc>
        <w:tc>
          <w:tcPr>
            <w:tcW w:type="dxa" w:w="748"/>
            <w:tcMar>
              <w:top w:type="dxa" w:w="50"/>
              <w:left w:type="dxa" w:w="80"/>
              <w:bottom w:type="dxa" w:w="50"/>
              <w:right w:type="dxa" w:w="80"/>
            </w:tcMar>
          </w:tcPr>
          <w:p>
            <w:r>
              <w:rPr>
                <w:rFonts w:ascii="Arial" w:cs="Arial" w:eastAsia="Arial" w:hAnsi="Arial"/>
                <w:sz w:val="14"/>
                <w:szCs w:val="14"/>
              </w:rPr>
              <w:t xml:space="preserve">2,190</w:t>
            </w:r>
          </w:p>
        </w:tc>
        <w:tc>
          <w:tcPr>
            <w:tcW w:type="dxa" w:w="655"/>
            <w:tcMar>
              <w:top w:type="dxa" w:w="50"/>
              <w:left w:type="dxa" w:w="80"/>
              <w:bottom w:type="dxa" w:w="50"/>
              <w:right w:type="dxa" w:w="80"/>
            </w:tcMar>
          </w:tcPr>
          <w:p>
            <w:r>
              <w:rPr>
                <w:rFonts w:ascii="Arial" w:cs="Arial" w:eastAsia="Arial" w:hAnsi="Arial"/>
                <w:sz w:val="14"/>
                <w:szCs w:val="14"/>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I05, I06, I07</w:t>
            </w:r>
          </w:p>
        </w:tc>
      </w:tr>
      <w:tr>
        <w:tc>
          <w:tcPr>
            <w:tcW w:type="dxa" w:w="374"/>
            <w:tcMar>
              <w:top w:type="dxa" w:w="50"/>
              <w:left w:type="dxa" w:w="80"/>
              <w:bottom w:type="dxa" w:w="50"/>
              <w:right w:type="dxa" w:w="80"/>
            </w:tcMar>
          </w:tcPr>
          <w:p>
            <w:r>
              <w:rPr>
                <w:rFonts w:ascii="Arial" w:cs="Arial" w:eastAsia="Arial" w:hAnsi="Arial"/>
                <w:sz w:val="14"/>
                <w:szCs w:val="14"/>
              </w:rPr>
              <w:t xml:space="preserve">S8</w:t>
            </w:r>
          </w:p>
        </w:tc>
        <w:tc>
          <w:tcPr>
            <w:tcW w:type="dxa" w:w="2808"/>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4"/>
                <w:szCs w:val="14"/>
              </w:rPr>
              <w:t xml:space="preserve">9.2</w:t>
            </w:r>
          </w:p>
        </w:tc>
        <w:tc>
          <w:tcPr>
            <w:tcW w:type="dxa" w:w="748"/>
            <w:tcMar>
              <w:top w:type="dxa" w:w="50"/>
              <w:left w:type="dxa" w:w="80"/>
              <w:bottom w:type="dxa" w:w="50"/>
              <w:right w:type="dxa" w:w="80"/>
            </w:tcMar>
          </w:tcPr>
          <w:p>
            <w:r>
              <w:rPr>
                <w:rFonts w:ascii="Arial" w:cs="Arial" w:eastAsia="Arial" w:hAnsi="Arial"/>
                <w:sz w:val="14"/>
                <w:szCs w:val="14"/>
              </w:rPr>
              <w:t xml:space="preserve">9,384</w:t>
            </w:r>
          </w:p>
        </w:tc>
        <w:tc>
          <w:tcPr>
            <w:tcW w:type="dxa" w:w="748"/>
            <w:tcMar>
              <w:top w:type="dxa" w:w="50"/>
              <w:left w:type="dxa" w:w="80"/>
              <w:bottom w:type="dxa" w:w="50"/>
              <w:right w:type="dxa" w:w="80"/>
            </w:tcMar>
          </w:tcPr>
          <w:p>
            <w:r>
              <w:rPr>
                <w:rFonts w:ascii="Arial" w:cs="Arial" w:eastAsia="Arial" w:hAnsi="Arial"/>
                <w:sz w:val="14"/>
                <w:szCs w:val="14"/>
              </w:rPr>
              <w:t xml:space="preserve">3,754</w:t>
            </w:r>
          </w:p>
        </w:tc>
        <w:tc>
          <w:tcPr>
            <w:tcW w:type="dxa" w:w="748"/>
            <w:tcMar>
              <w:top w:type="dxa" w:w="50"/>
              <w:left w:type="dxa" w:w="80"/>
              <w:bottom w:type="dxa" w:w="50"/>
              <w:right w:type="dxa" w:w="80"/>
            </w:tcMar>
          </w:tcPr>
          <w:p>
            <w:r>
              <w:rPr>
                <w:rFonts w:ascii="Arial" w:cs="Arial" w:eastAsia="Arial" w:hAnsi="Arial"/>
                <w:sz w:val="14"/>
                <w:szCs w:val="14"/>
              </w:rPr>
              <w:t xml:space="preserve">4,129</w:t>
            </w:r>
          </w:p>
        </w:tc>
        <w:tc>
          <w:tcPr>
            <w:tcW w:type="dxa" w:w="655"/>
            <w:tcMar>
              <w:top w:type="dxa" w:w="50"/>
              <w:left w:type="dxa" w:w="80"/>
              <w:bottom w:type="dxa" w:w="50"/>
              <w:right w:type="dxa" w:w="80"/>
            </w:tcMar>
          </w:tcPr>
          <w:p>
            <w:r>
              <w:rPr>
                <w:rFonts w:ascii="Arial" w:cs="Arial" w:eastAsia="Arial" w:hAnsi="Arial"/>
                <w:sz w:val="14"/>
                <w:szCs w:val="14"/>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c>
          <w:tcPr>
            <w:tcW w:type="dxa" w:w="1502"/>
            <w:tcMar>
              <w:top w:type="dxa" w:w="50"/>
              <w:left w:type="dxa" w:w="80"/>
              <w:bottom w:type="dxa" w:w="50"/>
              <w:right w:type="dxa" w:w="80"/>
            </w:tcMar>
          </w:tcPr>
          <w:p>
            <w:r>
              <w:rPr>
                <w:rFonts w:ascii="Arial" w:cs="Arial" w:eastAsia="Arial" w:hAnsi="Arial"/>
                <w:sz w:val="14"/>
                <w:szCs w:val="14"/>
              </w:rPr>
              <w:t xml:space="preserve">I01, I03, I11, I12</w:t>
            </w:r>
          </w:p>
        </w:tc>
      </w:tr>
      <w:tr>
        <w:tc>
          <w:tcPr>
            <w:tcW w:type="dxa" w:w="374"/>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4"/>
                <w:szCs w:val="14"/>
              </w:rPr>
              <w:t xml:space="preserve">9.0</w:t>
            </w:r>
          </w:p>
        </w:tc>
        <w:tc>
          <w:tcPr>
            <w:tcW w:type="dxa" w:w="748"/>
            <w:tcMar>
              <w:top w:type="dxa" w:w="50"/>
              <w:left w:type="dxa" w:w="80"/>
              <w:bottom w:type="dxa" w:w="50"/>
              <w:right w:type="dxa" w:w="80"/>
            </w:tcMar>
          </w:tcPr>
          <w:p>
            <w:r>
              <w:rPr>
                <w:rFonts w:ascii="Arial" w:cs="Arial" w:eastAsia="Arial" w:hAnsi="Arial"/>
                <w:sz w:val="14"/>
                <w:szCs w:val="14"/>
              </w:rPr>
              <w:t xml:space="preserve">4,057</w:t>
            </w:r>
          </w:p>
        </w:tc>
        <w:tc>
          <w:tcPr>
            <w:tcW w:type="dxa" w:w="748"/>
            <w:tcMar>
              <w:top w:type="dxa" w:w="50"/>
              <w:left w:type="dxa" w:w="80"/>
              <w:bottom w:type="dxa" w:w="50"/>
              <w:right w:type="dxa" w:w="80"/>
            </w:tcMar>
          </w:tcPr>
          <w:p>
            <w:r>
              <w:rPr>
                <w:rFonts w:ascii="Arial" w:cs="Arial" w:eastAsia="Arial" w:hAnsi="Arial"/>
                <w:sz w:val="14"/>
                <w:szCs w:val="14"/>
              </w:rPr>
              <w:t xml:space="preserve">1,623</w:t>
            </w:r>
          </w:p>
        </w:tc>
        <w:tc>
          <w:tcPr>
            <w:tcW w:type="dxa" w:w="748"/>
            <w:tcMar>
              <w:top w:type="dxa" w:w="50"/>
              <w:left w:type="dxa" w:w="80"/>
              <w:bottom w:type="dxa" w:w="50"/>
              <w:right w:type="dxa" w:w="80"/>
            </w:tcMar>
          </w:tcPr>
          <w:p>
            <w:r>
              <w:rPr>
                <w:rFonts w:ascii="Arial" w:cs="Arial" w:eastAsia="Arial" w:hAnsi="Arial"/>
                <w:sz w:val="14"/>
                <w:szCs w:val="14"/>
              </w:rPr>
              <w:t xml:space="preserve">2,495</w:t>
            </w:r>
          </w:p>
        </w:tc>
        <w:tc>
          <w:tcPr>
            <w:tcW w:type="dxa" w:w="655"/>
            <w:tcMar>
              <w:top w:type="dxa" w:w="50"/>
              <w:left w:type="dxa" w:w="80"/>
              <w:bottom w:type="dxa" w:w="50"/>
              <w:right w:type="dxa" w:w="80"/>
            </w:tcMar>
          </w:tcPr>
          <w:p>
            <w:r>
              <w:rPr>
                <w:rFonts w:ascii="Arial" w:cs="Arial" w:eastAsia="Arial" w:hAnsi="Arial"/>
                <w:sz w:val="14"/>
                <w:szCs w:val="14"/>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I10, I11</w:t>
            </w:r>
          </w:p>
        </w:tc>
      </w:tr>
      <w:tr>
        <w:tc>
          <w:tcPr>
            <w:tcW w:type="dxa" w:w="374"/>
            <w:tcMar>
              <w:top w:type="dxa" w:w="50"/>
              <w:left w:type="dxa" w:w="80"/>
              <w:bottom w:type="dxa" w:w="50"/>
              <w:right w:type="dxa" w:w="80"/>
            </w:tcMar>
          </w:tcPr>
          <w:p>
            <w:r>
              <w:rPr>
                <w:rFonts w:ascii="Arial" w:cs="Arial" w:eastAsia="Arial" w:hAnsi="Arial"/>
                <w:sz w:val="14"/>
                <w:szCs w:val="14"/>
              </w:rPr>
              <w:t xml:space="preserve">S10</w:t>
            </w:r>
          </w:p>
        </w:tc>
        <w:tc>
          <w:tcPr>
            <w:tcW w:type="dxa" w:w="2808"/>
            <w:tcMar>
              <w:top w:type="dxa" w:w="50"/>
              <w:left w:type="dxa" w:w="80"/>
              <w:bottom w:type="dxa" w:w="50"/>
              <w:right w:type="dxa" w:w="80"/>
            </w:tcMar>
          </w:tcPr>
          <w:p>
            <w:r>
              <w:rPr>
                <w:rFonts w:ascii="Arial" w:cs="Arial" w:eastAsia="Arial" w:hAnsi="Arial"/>
                <w:sz w:val="14"/>
                <w:szCs w:val="14"/>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4"/>
                <w:szCs w:val="14"/>
              </w:rPr>
              <w:t xml:space="preserve">8.3</w:t>
            </w:r>
          </w:p>
        </w:tc>
        <w:tc>
          <w:tcPr>
            <w:tcW w:type="dxa" w:w="748"/>
            <w:tcMar>
              <w:top w:type="dxa" w:w="50"/>
              <w:left w:type="dxa" w:w="80"/>
              <w:bottom w:type="dxa" w:w="50"/>
              <w:right w:type="dxa" w:w="80"/>
            </w:tcMar>
          </w:tcPr>
          <w:p>
            <w:r>
              <w:rPr>
                <w:rFonts w:ascii="Arial" w:cs="Arial" w:eastAsia="Arial" w:hAnsi="Arial"/>
                <w:sz w:val="14"/>
                <w:szCs w:val="14"/>
              </w:rPr>
              <w:t xml:space="preserve">1,774</w:t>
            </w:r>
          </w:p>
        </w:tc>
        <w:tc>
          <w:tcPr>
            <w:tcW w:type="dxa" w:w="748"/>
            <w:tcMar>
              <w:top w:type="dxa" w:w="50"/>
              <w:left w:type="dxa" w:w="80"/>
              <w:bottom w:type="dxa" w:w="50"/>
              <w:right w:type="dxa" w:w="80"/>
            </w:tcMar>
          </w:tcPr>
          <w:p>
            <w:r>
              <w:rPr>
                <w:rFonts w:ascii="Arial" w:cs="Arial" w:eastAsia="Arial" w:hAnsi="Arial"/>
                <w:sz w:val="14"/>
                <w:szCs w:val="14"/>
              </w:rPr>
              <w:t xml:space="preserve">710</w:t>
            </w:r>
          </w:p>
        </w:tc>
        <w:tc>
          <w:tcPr>
            <w:tcW w:type="dxa" w:w="748"/>
            <w:tcMar>
              <w:top w:type="dxa" w:w="50"/>
              <w:left w:type="dxa" w:w="80"/>
              <w:bottom w:type="dxa" w:w="50"/>
              <w:right w:type="dxa" w:w="80"/>
            </w:tcMar>
          </w:tcPr>
          <w:p>
            <w:r>
              <w:rPr>
                <w:rFonts w:ascii="Arial" w:cs="Arial" w:eastAsia="Arial" w:hAnsi="Arial"/>
                <w:sz w:val="14"/>
                <w:szCs w:val="14"/>
              </w:rPr>
              <w:t xml:space="preserve">843</w:t>
            </w:r>
          </w:p>
        </w:tc>
        <w:tc>
          <w:tcPr>
            <w:tcW w:type="dxa" w:w="655"/>
            <w:tcMar>
              <w:top w:type="dxa" w:w="50"/>
              <w:left w:type="dxa" w:w="80"/>
              <w:bottom w:type="dxa" w:w="50"/>
              <w:right w:type="dxa" w:w="80"/>
            </w:tcMar>
          </w:tcPr>
          <w:p>
            <w:r>
              <w:rPr>
                <w:rFonts w:ascii="Arial" w:cs="Arial" w:eastAsia="Arial" w:hAnsi="Arial"/>
                <w:sz w:val="14"/>
                <w:szCs w:val="14"/>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4"/>
                <w:szCs w:val="14"/>
              </w:rPr>
              <w:t xml:space="preserve">Above tolerance</w:t>
            </w:r>
          </w:p>
        </w:tc>
        <w:tc>
          <w:tcPr>
            <w:tcW w:type="dxa" w:w="1502"/>
            <w:tcMar>
              <w:top w:type="dxa" w:w="50"/>
              <w:left w:type="dxa" w:w="80"/>
              <w:bottom w:type="dxa" w:w="50"/>
              <w:right w:type="dxa" w:w="80"/>
            </w:tcMar>
          </w:tcPr>
          <w:p>
            <w:r>
              <w:rPr>
                <w:rFonts w:ascii="Arial" w:cs="Arial" w:eastAsia="Arial" w:hAnsi="Arial"/>
                <w:sz w:val="14"/>
                <w:szCs w:val="14"/>
              </w:rPr>
              <w:t xml:space="preserve">I01, I02, I03, I04, I09, I11, I13</w:t>
            </w:r>
          </w:p>
        </w:tc>
      </w:tr>
    </w:tbl>
    <w:p>
      <w:pPr>
        <w:spacing w:after="80"/>
      </w:pPr>
    </w:p>
    <w:p>
      <w:pPr>
        <w:spacing w:after="120"/>
      </w:pPr>
      <w:r>
        <w:rPr>
          <w:rFonts w:ascii="Arial" w:cs="Arial" w:eastAsia="Arial" w:hAnsi="Arial"/>
        </w:rPr>
        <w:t xml:space="preserve">Totals: estimated 50,306, tolerated 20,437, residual 22,722 risk units. Initiative names are listed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$223,889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$223,889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 the document is delivered by e-mail but opened locally on the workstation (FIRST CVSS v4.0 user guide: document-based weaknesses are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$585,889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7.50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$585,889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$423,889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7.83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$423,889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$345,556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$345,556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$260,556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$260,556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$320,889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11.82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$320,889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$522,000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3.04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$522,000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AV:L because the malicious document is opened locally.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$208,889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25.16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$208,889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$383,889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$383,889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$590,556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$590,556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684"/>
        <w:gridCol w:w="5430"/>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43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or abused</w:t>
            </w:r>
          </w:p>
        </w:tc>
        <w:tc>
          <w:tcPr>
            <w:tcW w:type="dxa" w:w="1684"/>
            <w:tcMar>
              <w:top w:type="dxa" w:w="50"/>
              <w:left w:type="dxa" w:w="80"/>
              <w:bottom w:type="dxa" w:w="50"/>
              <w:right w:type="dxa" w:w="80"/>
            </w:tcMar>
          </w:tcPr>
          <w:p>
            <w:r>
              <w:rPr>
                <w:rFonts w:ascii="Arial" w:cs="Arial" w:eastAsia="Arial" w:hAnsi="Arial"/>
                <w:sz w:val="16"/>
                <w:szCs w:val="16"/>
              </w:rPr>
              <w:t xml:space="preserve">S1, S2, S5, S8, S9, S10</w:t>
            </w:r>
          </w:p>
        </w:tc>
        <w:tc>
          <w:tcPr>
            <w:tcW w:type="dxa" w:w="5430"/>
            <w:tcMar>
              <w:top w:type="dxa" w:w="50"/>
              <w:left w:type="dxa" w:w="80"/>
              <w:bottom w:type="dxa" w:w="50"/>
              <w:right w:type="dxa" w:w="80"/>
            </w:tcMar>
          </w:tcPr>
          <w:p>
            <w:r>
              <w:rPr>
                <w:rFonts w:ascii="Arial" w:cs="Arial" w:eastAsia="Arial" w:hAnsi="Arial"/>
                <w:sz w:val="16"/>
                <w:szCs w:val="16"/>
              </w:rPr>
              <w:t xml:space="preserve">Push MFA, standing privileges, un-vaulted service accounts and vendor access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This raises damage in every scenario.</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w:t>
            </w:r>
          </w:p>
        </w:tc>
        <w:tc>
          <w:tcPr>
            <w:tcW w:type="dxa" w:w="1684"/>
            <w:tcMar>
              <w:top w:type="dxa" w:w="50"/>
              <w:left w:type="dxa" w:w="80"/>
              <w:bottom w:type="dxa" w:w="50"/>
              <w:right w:type="dxa" w:w="80"/>
            </w:tcMar>
          </w:tcPr>
          <w:p>
            <w:r>
              <w:rPr>
                <w:rFonts w:ascii="Arial" w:cs="Arial" w:eastAsia="Arial" w:hAnsi="Arial"/>
                <w:sz w:val="16"/>
                <w:szCs w:val="16"/>
              </w:rPr>
              <w:t xml:space="preserve">S2, S3, S10</w:t>
            </w:r>
          </w:p>
        </w:tc>
        <w:tc>
          <w:tcPr>
            <w:tcW w:type="dxa" w:w="5430"/>
            <w:tcMar>
              <w:top w:type="dxa" w:w="50"/>
              <w:left w:type="dxa" w:w="80"/>
              <w:bottom w:type="dxa" w:w="50"/>
              <w:right w:type="dxa" w:w="80"/>
            </w:tcMar>
          </w:tcPr>
          <w:p>
            <w:r>
              <w:rPr>
                <w:rFonts w:ascii="Arial" w:cs="Arial" w:eastAsia="Arial" w:hAnsi="Arial"/>
                <w:sz w:val="16"/>
                <w:szCs w:val="16"/>
              </w:rPr>
              <w:t xml:space="preserve">Backups exist but isolation, immutability, restore tests and integrity checks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S2, S6, S7</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Workstations, medical devices and Wi-Fi share networks; one foothold reaches clinical systems.</w:t>
            </w:r>
          </w:p>
        </w:tc>
      </w:tr>
      <w:tr>
        <w:tc>
          <w:tcPr>
            <w:tcW w:type="dxa" w:w="2246"/>
            <w:tcMar>
              <w:top w:type="dxa" w:w="50"/>
              <w:left w:type="dxa" w:w="80"/>
              <w:bottom w:type="dxa" w:w="50"/>
              <w:right w:type="dxa" w:w="80"/>
            </w:tcMar>
          </w:tcPr>
          <w:p>
            <w:r>
              <w:rPr>
                <w:rFonts w:ascii="Arial" w:cs="Arial" w:eastAsia="Arial" w:hAnsi="Arial"/>
                <w:sz w:val="16"/>
                <w:szCs w:val="16"/>
              </w:rPr>
              <w:t xml:space="preserve">Limited visibility of data stores and third parties</w:t>
            </w:r>
          </w:p>
        </w:tc>
        <w:tc>
          <w:tcPr>
            <w:tcW w:type="dxa" w:w="1684"/>
            <w:tcMar>
              <w:top w:type="dxa" w:w="50"/>
              <w:left w:type="dxa" w:w="80"/>
              <w:bottom w:type="dxa" w:w="50"/>
              <w:right w:type="dxa" w:w="80"/>
            </w:tcMar>
          </w:tcPr>
          <w:p>
            <w:r>
              <w:rPr>
                <w:rFonts w:ascii="Arial" w:cs="Arial" w:eastAsia="Arial" w:hAnsi="Arial"/>
                <w:sz w:val="16"/>
                <w:szCs w:val="16"/>
              </w:rPr>
              <w:t xml:space="preserve">S4, S5, S9</w:t>
            </w:r>
          </w:p>
        </w:tc>
        <w:tc>
          <w:tcPr>
            <w:tcW w:type="dxa" w:w="5430"/>
            <w:tcMar>
              <w:top w:type="dxa" w:w="50"/>
              <w:left w:type="dxa" w:w="80"/>
              <w:bottom w:type="dxa" w:w="50"/>
              <w:right w:type="dxa" w:w="80"/>
            </w:tcMar>
          </w:tcPr>
          <w:p>
            <w:r>
              <w:rPr>
                <w:rFonts w:ascii="Arial" w:cs="Arial" w:eastAsia="Arial" w:hAnsi="Arial"/>
                <w:sz w:val="16"/>
                <w:szCs w:val="16"/>
              </w:rPr>
              <w:t xml:space="preserve">Cloud storage, EHR access patterns and vendor sessions are not monitored.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430"/>
            <w:shd w:fill="F2F2F2" w:color="auto" w:val="clear"/>
            <w:tcMar>
              <w:top w:type="dxa" w:w="50"/>
              <w:left w:type="dxa" w:w="80"/>
              <w:bottom w:type="dxa" w:w="50"/>
              <w:right w:type="dxa" w:w="80"/>
            </w:tcMar>
          </w:tcPr>
          <w:p>
            <w:r>
              <w:rPr>
                <w:rFonts w:ascii="Arial" w:cs="Arial" w:eastAsia="Arial" w:hAnsi="Arial"/>
                <w:sz w:val="16"/>
                <w:szCs w:val="16"/>
              </w:rPr>
              <w:t xml:space="preserve">Roles are defined, but no KRI reporting, access recertification or tested IR is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any enterprise-wide compromise affects all 10 clinics simultaneously.</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a single directory and MFA service gate every crown jewel; its compromise defeats most other controls.</w:t>
      </w:r>
    </w:p>
    <w:p>
      <w:pPr>
        <w:pStyle w:val="ListParagraph"/>
        <w:numPr>
          <w:ilvl w:val="0"/>
          <w:numId w:val="2"/>
        </w:numPr>
        <w:spacing w:after="60"/>
      </w:pPr>
      <w:r>
        <w:rPr>
          <w:rFonts w:ascii="Arial" w:cs="Arial" w:eastAsia="Arial" w:hAnsi="Arial"/>
          <w:b/>
          <w:bCs/>
        </w:rPr>
        <w:t xml:space="preserve">EHR vendor</w:t>
      </w:r>
      <w:r>
        <w:rPr>
          <w:rFonts w:ascii="Arial" w:cs="Arial" w:eastAsia="Arial" w:hAnsi="Arial"/>
        </w:rPr>
        <w:t xml:space="preserve"> - a single integrated EHR supplier represents concentration risk (S9); vendor identity and contract terms are an </w:t>
      </w:r>
      <w:r>
        <w:rPr>
          <w:rFonts w:ascii="Arial" w:cs="Arial" w:eastAsia="Arial" w:hAnsi="Arial"/>
          <w:b/>
          <w:bCs/>
        </w:rPr>
        <w:t xml:space="preserve">Information gap</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S1 or S6 (entry) + S8 (undetected) + S3 (no recovery) = S2 at maximum damage. Treating the chain's weakest links (I01, I03, I04) reduces several scenarios at once.</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684"/>
        <w:gridCol w:w="5243"/>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Initiative</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Scenarios</w:t>
            </w:r>
          </w:p>
        </w:tc>
        <w:tc>
          <w:tcPr>
            <w:tcW w:type="dxa" w:w="524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Why it is shared</w:t>
            </w:r>
          </w:p>
        </w:tc>
      </w:tr>
      <w:tr>
        <w:tc>
          <w:tcPr>
            <w:tcW w:type="dxa" w:w="2433"/>
            <w:tcMar>
              <w:top w:type="dxa" w:w="50"/>
              <w:left w:type="dxa" w:w="80"/>
              <w:bottom w:type="dxa" w:w="50"/>
              <w:right w:type="dxa" w:w="80"/>
            </w:tcMar>
          </w:tcPr>
          <w:p>
            <w:r>
              <w:rPr>
                <w:rFonts w:ascii="Arial" w:cs="Arial" w:eastAsia="Arial" w:hAnsi="Arial"/>
                <w:sz w:val="15"/>
                <w:szCs w:val="15"/>
              </w:rPr>
              <w:t xml:space="preserve">I01 Phishing-resistant MFA and conditional access</w:t>
            </w:r>
          </w:p>
        </w:tc>
        <w:tc>
          <w:tcPr>
            <w:tcW w:type="dxa" w:w="1684"/>
            <w:tcMar>
              <w:top w:type="dxa" w:w="50"/>
              <w:left w:type="dxa" w:w="80"/>
              <w:bottom w:type="dxa" w:w="50"/>
              <w:right w:type="dxa" w:w="80"/>
            </w:tcMar>
          </w:tcPr>
          <w:p>
            <w:r>
              <w:rPr>
                <w:rFonts w:ascii="Arial" w:cs="Arial" w:eastAsia="Arial" w:hAnsi="Arial"/>
                <w:sz w:val="15"/>
                <w:szCs w:val="15"/>
              </w:rPr>
              <w:t xml:space="preserve">S1, S8, S9, S10</w:t>
            </w:r>
          </w:p>
        </w:tc>
        <w:tc>
          <w:tcPr>
            <w:tcW w:type="dxa" w:w="5243"/>
            <w:tcMar>
              <w:top w:type="dxa" w:w="50"/>
              <w:left w:type="dxa" w:w="80"/>
              <w:bottom w:type="dxa" w:w="50"/>
              <w:right w:type="dxa" w:w="80"/>
            </w:tcMar>
          </w:tcPr>
          <w:p>
            <w:r>
              <w:rPr>
                <w:rFonts w:ascii="Arial" w:cs="Arial" w:eastAsia="Arial" w:hAnsi="Arial"/>
                <w:sz w:val="15"/>
                <w:szCs w:val="15"/>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I02 Privileged access and service-account management (PAM)</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S1, S2, S3, S5, S9,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5"/>
                <w:szCs w:val="15"/>
              </w:rPr>
              <w:t xml:space="preserve">I03 24/7 managed detection and response with centralized logging</w:t>
            </w:r>
          </w:p>
        </w:tc>
        <w:tc>
          <w:tcPr>
            <w:tcW w:type="dxa" w:w="1684"/>
            <w:tcMar>
              <w:top w:type="dxa" w:w="50"/>
              <w:left w:type="dxa" w:w="80"/>
              <w:bottom w:type="dxa" w:w="50"/>
              <w:right w:type="dxa" w:w="80"/>
            </w:tcMar>
          </w:tcPr>
          <w:p>
            <w:r>
              <w:rPr>
                <w:rFonts w:ascii="Arial" w:cs="Arial" w:eastAsia="Arial" w:hAnsi="Arial"/>
                <w:sz w:val="15"/>
                <w:szCs w:val="15"/>
              </w:rPr>
              <w:t xml:space="preserve">S1, S2, S3, S4, S5, S6, S8, S9, S10</w:t>
            </w:r>
          </w:p>
        </w:tc>
        <w:tc>
          <w:tcPr>
            <w:tcW w:type="dxa" w:w="5243"/>
            <w:tcMar>
              <w:top w:type="dxa" w:w="50"/>
              <w:left w:type="dxa" w:w="80"/>
              <w:bottom w:type="dxa" w:w="50"/>
              <w:right w:type="dxa" w:w="80"/>
            </w:tcMar>
          </w:tcPr>
          <w:p>
            <w:r>
              <w:rPr>
                <w:rFonts w:ascii="Arial" w:cs="Arial" w:eastAsia="Arial" w:hAnsi="Arial"/>
                <w:sz w:val="15"/>
                <w:szCs w:val="15"/>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I04 Immutable and isolated backup with tested recovery</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5"/>
                <w:szCs w:val="15"/>
              </w:rPr>
              <w:t xml:space="preserve">I05 Risk-based vulnerability and patch management</w:t>
            </w:r>
          </w:p>
        </w:tc>
        <w:tc>
          <w:tcPr>
            <w:tcW w:type="dxa" w:w="1684"/>
            <w:tcMar>
              <w:top w:type="dxa" w:w="50"/>
              <w:left w:type="dxa" w:w="80"/>
              <w:bottom w:type="dxa" w:w="50"/>
              <w:right w:type="dxa" w:w="80"/>
            </w:tcMar>
          </w:tcPr>
          <w:p>
            <w:r>
              <w:rPr>
                <w:rFonts w:ascii="Arial" w:cs="Arial" w:eastAsia="Arial" w:hAnsi="Arial"/>
                <w:sz w:val="15"/>
                <w:szCs w:val="15"/>
              </w:rPr>
              <w:t xml:space="preserve">S2, S6, S7</w:t>
            </w:r>
          </w:p>
        </w:tc>
        <w:tc>
          <w:tcPr>
            <w:tcW w:type="dxa" w:w="5243"/>
            <w:tcMar>
              <w:top w:type="dxa" w:w="50"/>
              <w:left w:type="dxa" w:w="80"/>
              <w:bottom w:type="dxa" w:w="50"/>
              <w:right w:type="dxa" w:w="80"/>
            </w:tcMar>
          </w:tcPr>
          <w:p>
            <w:r>
              <w:rPr>
                <w:rFonts w:ascii="Arial" w:cs="Arial" w:eastAsia="Arial" w:hAnsi="Arial"/>
                <w:sz w:val="15"/>
                <w:szCs w:val="15"/>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I06 Network segmentation and network access control</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S6, S7</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5"/>
                <w:szCs w:val="15"/>
              </w:rPr>
              <w:t xml:space="preserve">I09 Data access governance and EHR privacy monitoring</w:t>
            </w:r>
          </w:p>
        </w:tc>
        <w:tc>
          <w:tcPr>
            <w:tcW w:type="dxa" w:w="1684"/>
            <w:tcMar>
              <w:top w:type="dxa" w:w="50"/>
              <w:left w:type="dxa" w:w="80"/>
              <w:bottom w:type="dxa" w:w="50"/>
              <w:right w:type="dxa" w:w="80"/>
            </w:tcMar>
          </w:tcPr>
          <w:p>
            <w:r>
              <w:rPr>
                <w:rFonts w:ascii="Arial" w:cs="Arial" w:eastAsia="Arial" w:hAnsi="Arial"/>
                <w:sz w:val="15"/>
                <w:szCs w:val="15"/>
              </w:rPr>
              <w:t xml:space="preserve">S4, S5, S10</w:t>
            </w:r>
          </w:p>
        </w:tc>
        <w:tc>
          <w:tcPr>
            <w:tcW w:type="dxa" w:w="5243"/>
            <w:tcMar>
              <w:top w:type="dxa" w:w="50"/>
              <w:left w:type="dxa" w:w="80"/>
              <w:bottom w:type="dxa" w:w="50"/>
              <w:right w:type="dxa" w:w="80"/>
            </w:tcMar>
          </w:tcPr>
          <w:p>
            <w:r>
              <w:rPr>
                <w:rFonts w:ascii="Arial" w:cs="Arial" w:eastAsia="Arial" w:hAnsi="Arial"/>
                <w:sz w:val="15"/>
                <w:szCs w:val="15"/>
              </w:rPr>
              <w:t xml:space="preserve">Role-based access redesign, quarterly access recertification, EHR access analytics (break-the-glass, VIP, bulk queries), endpoint/cloud DLP for health data.</w:t>
            </w:r>
          </w:p>
        </w:tc>
      </w:tr>
      <w:tr>
        <w:tc>
          <w:tcPr>
            <w:tcW w:type="dxa" w:w="2433"/>
            <w:shd w:fill="F2F2F2" w:color="auto" w:val="clear"/>
            <w:tcMar>
              <w:top w:type="dxa" w:w="50"/>
              <w:left w:type="dxa" w:w="80"/>
              <w:bottom w:type="dxa" w:w="50"/>
              <w:right w:type="dxa" w:w="80"/>
            </w:tcMar>
          </w:tcPr>
          <w:p>
            <w:r>
              <w:rPr>
                <w:rFonts w:ascii="Arial" w:cs="Arial" w:eastAsia="Arial" w:hAnsi="Arial"/>
                <w:sz w:val="15"/>
                <w:szCs w:val="15"/>
              </w:rPr>
              <w:t xml:space="preserve">I11 Incident response and clinical continuity readiness</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S2, S3, S8, S9, S10</w:t>
            </w:r>
          </w:p>
        </w:tc>
        <w:tc>
          <w:tcPr>
            <w:tcW w:type="dxa" w:w="5243"/>
            <w:shd w:fill="F2F2F2" w:color="auto" w:val="clear"/>
            <w:tcMar>
              <w:top w:type="dxa" w:w="50"/>
              <w:left w:type="dxa" w:w="80"/>
              <w:bottom w:type="dxa" w:w="50"/>
              <w:right w:type="dxa" w:w="80"/>
            </w:tcMar>
          </w:tcPr>
          <w:p>
            <w:r>
              <w:rPr>
                <w:rFonts w:ascii="Arial" w:cs="Arial" w:eastAsia="Arial" w:hAnsi="Arial"/>
                <w:sz w:val="15"/>
                <w:szCs w:val="15"/>
              </w:rPr>
              <w:t xml:space="preserve">Updated IR plan and playbooks (ransomware, privacy breach, device), IR/forensics retainer, semi-annual tabletop including clinics, clinical downtime procedures.</w:t>
            </w:r>
          </w:p>
        </w:tc>
      </w:tr>
      <w:tr>
        <w:tc>
          <w:tcPr>
            <w:tcW w:type="dxa" w:w="2433"/>
            <w:tcMar>
              <w:top w:type="dxa" w:w="50"/>
              <w:left w:type="dxa" w:w="80"/>
              <w:bottom w:type="dxa" w:w="50"/>
              <w:right w:type="dxa" w:w="80"/>
            </w:tcMar>
          </w:tcPr>
          <w:p>
            <w:r>
              <w:rPr>
                <w:rFonts w:ascii="Arial" w:cs="Arial" w:eastAsia="Arial" w:hAnsi="Arial"/>
                <w:sz w:val="15"/>
                <w:szCs w:val="15"/>
              </w:rPr>
              <w:t xml:space="preserve">I12 Governance, awareness and risk reporting</w:t>
            </w:r>
          </w:p>
        </w:tc>
        <w:tc>
          <w:tcPr>
            <w:tcW w:type="dxa" w:w="1684"/>
            <w:tcMar>
              <w:top w:type="dxa" w:w="50"/>
              <w:left w:type="dxa" w:w="80"/>
              <w:bottom w:type="dxa" w:w="50"/>
              <w:right w:type="dxa" w:w="80"/>
            </w:tcMar>
          </w:tcPr>
          <w:p>
            <w:r>
              <w:rPr>
                <w:rFonts w:ascii="Arial" w:cs="Arial" w:eastAsia="Arial" w:hAnsi="Arial"/>
                <w:sz w:val="15"/>
                <w:szCs w:val="15"/>
              </w:rPr>
              <w:t xml:space="preserve">S1, S2, S5, S8</w:t>
            </w:r>
          </w:p>
        </w:tc>
        <w:tc>
          <w:tcPr>
            <w:tcW w:type="dxa" w:w="5243"/>
            <w:tcMar>
              <w:top w:type="dxa" w:w="50"/>
              <w:left w:type="dxa" w:w="80"/>
              <w:bottom w:type="dxa" w:w="50"/>
              <w:right w:type="dxa" w:w="80"/>
            </w:tcMar>
          </w:tcPr>
          <w:p>
            <w:r>
              <w:rPr>
                <w:rFonts w:ascii="Arial" w:cs="Arial" w:eastAsia="Arial" w:hAnsi="Arial"/>
                <w:sz w:val="15"/>
                <w:szCs w:val="15"/>
              </w:rPr>
              <w:t xml:space="preserve">Role-based awareness and phishing simulation, quarterly KRI dashboard to Steering Committee, risk register and acceptance workflow, cyber-insurance coverage review.</w:t>
            </w:r>
          </w:p>
        </w:tc>
      </w:tr>
    </w:tbl>
    <w:p>
      <w:pPr>
        <w:spacing w:after="80"/>
      </w:pPr>
    </w:p>
    <w:p>
      <w:pPr>
        <w:spacing w:after="120"/>
      </w:pPr>
      <w:r>
        <w:rPr>
          <w:rFonts w:ascii="Arial" w:cs="Arial" w:eastAsia="Arial" w:hAnsi="Arial"/>
        </w:rPr>
        <w:t xml:space="preserve">Shared initiatives are costed once in the portfolio and their Year-1 cost is split equally among the scenarios they address (Workbook, Portfolio sheet). Scenario-level cost-effectiveness therefore reflects a fair share, not the full enterprise cost. Key dependencies: I02 (PAM) needs the account inventory from I01; I06 (segmentation) needs the device and asset inventories from I05 and I07; I13 needs the logging platform from I03.</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five key scenarios, all uncertain parameters were shifted together by 0.10: the lower-risk case lowers threat, exploitation and damage values and raises resilience and treatment effectiveness; the higher-risk case does the reverse. This is a deliberately wide band given Low-to-Medium confidence in most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Recommendation robust?</w:t>
            </w:r>
          </w:p>
        </w:tc>
      </w:tr>
      <w:tr>
        <w:tc>
          <w:tcPr>
            <w:tcW w:type="dxa" w:w="468"/>
            <w:tcMar>
              <w:top w:type="dxa" w:w="50"/>
              <w:left w:type="dxa" w:w="80"/>
              <w:bottom w:type="dxa" w:w="50"/>
              <w:right w:type="dxa" w:w="80"/>
            </w:tcMar>
          </w:tcPr>
          <w:p>
            <w:r>
              <w:rPr>
                <w:rFonts w:ascii="Arial" w:cs="Arial" w:eastAsia="Arial" w:hAnsi="Arial"/>
                <w:sz w:val="15"/>
                <w:szCs w:val="15"/>
              </w:rPr>
              <w:t xml:space="preserve">S2</w:t>
            </w:r>
          </w:p>
        </w:tc>
        <w:tc>
          <w:tcPr>
            <w:tcW w:type="dxa" w:w="2808"/>
            <w:tcMar>
              <w:top w:type="dxa" w:w="50"/>
              <w:left w:type="dxa" w:w="80"/>
              <w:bottom w:type="dxa" w:w="50"/>
              <w:right w:type="dxa" w:w="80"/>
            </w:tcMar>
          </w:tcPr>
          <w:p>
            <w:r>
              <w:rPr>
                <w:rFonts w:ascii="Arial" w:cs="Arial" w:eastAsia="Arial" w:hAnsi="Arial"/>
                <w:sz w:val="15"/>
                <w:szCs w:val="15"/>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5"/>
                <w:szCs w:val="15"/>
              </w:rPr>
              <w:t xml:space="preserve">1,027 / 0.67</w:t>
            </w:r>
          </w:p>
        </w:tc>
        <w:tc>
          <w:tcPr>
            <w:tcW w:type="dxa" w:w="1404"/>
            <w:tcMar>
              <w:top w:type="dxa" w:w="50"/>
              <w:left w:type="dxa" w:w="80"/>
              <w:bottom w:type="dxa" w:w="50"/>
              <w:right w:type="dxa" w:w="80"/>
            </w:tcMar>
          </w:tcPr>
          <w:p>
            <w:r>
              <w:rPr>
                <w:rFonts w:ascii="Arial" w:cs="Arial" w:eastAsia="Arial" w:hAnsi="Arial"/>
                <w:sz w:val="15"/>
                <w:szCs w:val="15"/>
              </w:rPr>
              <w:t xml:space="preserve">3,417 / 1.20</w:t>
            </w:r>
          </w:p>
        </w:tc>
        <w:tc>
          <w:tcPr>
            <w:tcW w:type="dxa" w:w="1404"/>
            <w:tcMar>
              <w:top w:type="dxa" w:w="50"/>
              <w:left w:type="dxa" w:w="80"/>
              <w:bottom w:type="dxa" w:w="50"/>
              <w:right w:type="dxa" w:w="80"/>
            </w:tcMar>
          </w:tcPr>
          <w:p>
            <w:r>
              <w:rPr>
                <w:rFonts w:ascii="Arial" w:cs="Arial" w:eastAsia="Arial" w:hAnsi="Arial"/>
                <w:sz w:val="15"/>
                <w:szCs w:val="15"/>
              </w:rPr>
              <w:t xml:space="preserve">9,316 / 1.72</w:t>
            </w:r>
          </w:p>
        </w:tc>
        <w:tc>
          <w:tcPr>
            <w:tcW w:type="dxa" w:w="1872"/>
            <w:tcMar>
              <w:top w:type="dxa" w:w="50"/>
              <w:left w:type="dxa" w:w="80"/>
              <w:bottom w:type="dxa" w:w="50"/>
              <w:right w:type="dxa" w:w="80"/>
            </w:tcMar>
          </w:tcPr>
          <w:p>
            <w:r>
              <w:rPr>
                <w:rFonts w:ascii="Arial" w:cs="Arial" w:eastAsia="Arial" w:hAnsi="Arial"/>
                <w:sz w:val="15"/>
                <w:szCs w:val="15"/>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5"/>
                <w:szCs w:val="15"/>
              </w:rPr>
              <w:t xml:space="preserve">S9</w:t>
            </w:r>
          </w:p>
        </w:tc>
        <w:tc>
          <w:tcPr>
            <w:tcW w:type="dxa" w:w="2808"/>
            <w:tcMar>
              <w:top w:type="dxa" w:w="50"/>
              <w:left w:type="dxa" w:w="80"/>
              <w:bottom w:type="dxa" w:w="50"/>
              <w:right w:type="dxa" w:w="80"/>
            </w:tcMar>
          </w:tcPr>
          <w:p>
            <w:r>
              <w:rPr>
                <w:rFonts w:ascii="Arial" w:cs="Arial" w:eastAsia="Arial" w:hAnsi="Arial"/>
                <w:sz w:val="15"/>
                <w:szCs w:val="15"/>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5"/>
                <w:szCs w:val="15"/>
              </w:rPr>
              <w:t xml:space="preserve">835 / 1.04</w:t>
            </w:r>
          </w:p>
        </w:tc>
        <w:tc>
          <w:tcPr>
            <w:tcW w:type="dxa" w:w="1404"/>
            <w:tcMar>
              <w:top w:type="dxa" w:w="50"/>
              <w:left w:type="dxa" w:w="80"/>
              <w:bottom w:type="dxa" w:w="50"/>
              <w:right w:type="dxa" w:w="80"/>
            </w:tcMar>
          </w:tcPr>
          <w:p>
            <w:r>
              <w:rPr>
                <w:rFonts w:ascii="Arial" w:cs="Arial" w:eastAsia="Arial" w:hAnsi="Arial"/>
                <w:sz w:val="15"/>
                <w:szCs w:val="15"/>
              </w:rPr>
              <w:t xml:space="preserve">2,495 / 1.54</w:t>
            </w:r>
          </w:p>
        </w:tc>
        <w:tc>
          <w:tcPr>
            <w:tcW w:type="dxa" w:w="1404"/>
            <w:tcMar>
              <w:top w:type="dxa" w:w="50"/>
              <w:left w:type="dxa" w:w="80"/>
              <w:bottom w:type="dxa" w:w="50"/>
              <w:right w:type="dxa" w:w="80"/>
            </w:tcMar>
          </w:tcPr>
          <w:p>
            <w:r>
              <w:rPr>
                <w:rFonts w:ascii="Arial" w:cs="Arial" w:eastAsia="Arial" w:hAnsi="Arial"/>
                <w:sz w:val="15"/>
                <w:szCs w:val="15"/>
              </w:rPr>
              <w:t xml:space="preserve">6,748 / 2.06</w:t>
            </w:r>
          </w:p>
        </w:tc>
        <w:tc>
          <w:tcPr>
            <w:tcW w:type="dxa" w:w="1872"/>
            <w:tcMar>
              <w:top w:type="dxa" w:w="50"/>
              <w:left w:type="dxa" w:w="80"/>
              <w:bottom w:type="dxa" w:w="50"/>
              <w:right w:type="dxa" w:w="80"/>
            </w:tcMar>
          </w:tcPr>
          <w:p>
            <w:r>
              <w:rPr>
                <w:rFonts w:ascii="Arial" w:cs="Arial" w:eastAsia="Arial" w:hAnsi="Arial"/>
                <w:sz w:val="15"/>
                <w:szCs w:val="15"/>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S1</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Credential compromise of clinical administrator accounts through phishing and MFA fatigue</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752 / 0.47</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2,587 / 0.93</w:t>
            </w:r>
          </w:p>
        </w:tc>
        <w:tc>
          <w:tcPr>
            <w:tcW w:type="dxa" w:w="1404"/>
            <w:shd w:fill="F2F2F2" w:color="auto" w:val="clear"/>
            <w:tcMar>
              <w:top w:type="dxa" w:w="50"/>
              <w:left w:type="dxa" w:w="80"/>
              <w:bottom w:type="dxa" w:w="50"/>
              <w:right w:type="dxa" w:w="80"/>
            </w:tcMar>
          </w:tcPr>
          <w:p>
            <w:r>
              <w:rPr>
                <w:rFonts w:ascii="Arial" w:cs="Arial" w:eastAsia="Arial" w:hAnsi="Arial"/>
                <w:sz w:val="15"/>
                <w:szCs w:val="15"/>
              </w:rPr>
              <w:t xml:space="preserve">7,094 / 1.45</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5"/>
                <w:szCs w:val="15"/>
              </w:rPr>
              <w:t xml:space="preserve">S8</w:t>
            </w:r>
          </w:p>
        </w:tc>
        <w:tc>
          <w:tcPr>
            <w:tcW w:type="dxa" w:w="2808"/>
            <w:tcMar>
              <w:top w:type="dxa" w:w="50"/>
              <w:left w:type="dxa" w:w="80"/>
              <w:bottom w:type="dxa" w:w="50"/>
              <w:right w:type="dxa" w:w="80"/>
            </w:tcMar>
          </w:tcPr>
          <w:p>
            <w:r>
              <w:rPr>
                <w:rFonts w:ascii="Arial" w:cs="Arial" w:eastAsia="Arial" w:hAnsi="Arial"/>
                <w:sz w:val="15"/>
                <w:szCs w:val="15"/>
              </w:rPr>
              <w:t xml:space="preserve">Detection and response gaps allow an intrusion to persist and escalate</w:t>
            </w:r>
          </w:p>
        </w:tc>
        <w:tc>
          <w:tcPr>
            <w:tcW w:type="dxa" w:w="1404"/>
            <w:tcMar>
              <w:top w:type="dxa" w:w="50"/>
              <w:left w:type="dxa" w:w="80"/>
              <w:bottom w:type="dxa" w:w="50"/>
              <w:right w:type="dxa" w:w="80"/>
            </w:tcMar>
          </w:tcPr>
          <w:p>
            <w:r>
              <w:rPr>
                <w:rFonts w:ascii="Arial" w:cs="Arial" w:eastAsia="Arial" w:hAnsi="Arial"/>
                <w:sz w:val="15"/>
                <w:szCs w:val="15"/>
              </w:rPr>
              <w:t xml:space="preserve">1,245 / 0.61</w:t>
            </w:r>
          </w:p>
        </w:tc>
        <w:tc>
          <w:tcPr>
            <w:tcW w:type="dxa" w:w="1404"/>
            <w:tcMar>
              <w:top w:type="dxa" w:w="50"/>
              <w:left w:type="dxa" w:w="80"/>
              <w:bottom w:type="dxa" w:w="50"/>
              <w:right w:type="dxa" w:w="80"/>
            </w:tcMar>
          </w:tcPr>
          <w:p>
            <w:r>
              <w:rPr>
                <w:rFonts w:ascii="Arial" w:cs="Arial" w:eastAsia="Arial" w:hAnsi="Arial"/>
                <w:sz w:val="15"/>
                <w:szCs w:val="15"/>
              </w:rPr>
              <w:t xml:space="preserve">4,129 / 1.10</w:t>
            </w:r>
          </w:p>
        </w:tc>
        <w:tc>
          <w:tcPr>
            <w:tcW w:type="dxa" w:w="1404"/>
            <w:tcMar>
              <w:top w:type="dxa" w:w="50"/>
              <w:left w:type="dxa" w:w="80"/>
              <w:bottom w:type="dxa" w:w="50"/>
              <w:right w:type="dxa" w:w="80"/>
            </w:tcMar>
          </w:tcPr>
          <w:p>
            <w:r>
              <w:rPr>
                <w:rFonts w:ascii="Arial" w:cs="Arial" w:eastAsia="Arial" w:hAnsi="Arial"/>
                <w:sz w:val="15"/>
                <w:szCs w:val="15"/>
              </w:rPr>
              <w:t xml:space="preserve">12,073 / 1.63</w:t>
            </w:r>
          </w:p>
        </w:tc>
        <w:tc>
          <w:tcPr>
            <w:tcW w:type="dxa" w:w="1872"/>
            <w:tcMar>
              <w:top w:type="dxa" w:w="50"/>
              <w:left w:type="dxa" w:w="80"/>
              <w:bottom w:type="dxa" w:w="50"/>
              <w:right w:type="dxa" w:w="80"/>
            </w:tcMar>
          </w:tcPr>
          <w:p>
            <w:r>
              <w:rPr>
                <w:rFonts w:ascii="Arial" w:cs="Arial" w:eastAsia="Arial" w:hAnsi="Arial"/>
                <w:sz w:val="15"/>
                <w:szCs w:val="15"/>
              </w:rPr>
              <w:t xml:space="preserve">No - below tolerance to above tolerance</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S9 (vendors)</w:t>
      </w:r>
      <w:r>
        <w:rPr>
          <w:rFonts w:ascii="Arial" w:cs="Arial" w:eastAsia="Arial" w:hAnsi="Arial"/>
        </w:rPr>
        <w:t xml:space="preserve"> is above tolerance in the central and higher cases and only reaches approximately-at in the lower case (1.04): treatment within MediBec's control is insufficient on its own, so contractual and insurance transfer plus formal acceptance is the robust recommendation.</w:t>
      </w:r>
    </w:p>
    <w:p>
      <w:pPr>
        <w:pStyle w:val="ListParagraph"/>
        <w:numPr>
          <w:ilvl w:val="0"/>
          <w:numId w:val="2"/>
        </w:numPr>
        <w:spacing w:after="60"/>
      </w:pPr>
      <w:r>
        <w:rPr>
          <w:rFonts w:ascii="Arial" w:cs="Arial" w:eastAsia="Arial" w:hAnsi="Arial"/>
          <w:b/>
          <w:bCs/>
        </w:rPr>
        <w:t xml:space="preserve">S7 (medical devices)</w:t>
      </w:r>
      <w:r>
        <w:rPr>
          <w:rFonts w:ascii="Arial" w:cs="Arial" w:eastAsia="Arial" w:hAnsi="Arial"/>
        </w:rPr>
        <w:t xml:space="preserve"> is at tolerance only in the lower case: its outcome depends on manufacturer cooperation and segmentation effectiveness - both need validation before committing to acceptance.</w:t>
      </w:r>
    </w:p>
    <w:p>
      <w:pPr>
        <w:pStyle w:val="ListParagraph"/>
        <w:numPr>
          <w:ilvl w:val="0"/>
          <w:numId w:val="2"/>
        </w:numPr>
        <w:spacing w:after="60"/>
      </w:pPr>
      <w:r>
        <w:rPr>
          <w:rFonts w:ascii="Arial" w:cs="Arial" w:eastAsia="Arial" w:hAnsi="Arial"/>
          <w:b/>
          <w:bCs/>
        </w:rPr>
        <w:t xml:space="preserve">S1, S2 and S8</w:t>
      </w:r>
      <w:r>
        <w:rPr>
          <w:rFonts w:ascii="Arial" w:cs="Arial" w:eastAsia="Arial" w:hAnsi="Arial"/>
        </w:rPr>
        <w:t xml:space="preserve"> flip between below and above tolerance: the decision to invest is robust (estimated risk is high in all cases), but whether residual risk can be accepted depends on the treatment achieving its assumed effectiveness. Track with KRI-01, KRI-05, KRI-06, KRI-07.</w:t>
      </w:r>
    </w:p>
    <w:p>
      <w:pPr>
        <w:pStyle w:val="ListParagraph"/>
        <w:numPr>
          <w:ilvl w:val="0"/>
          <w:numId w:val="2"/>
        </w:numPr>
        <w:spacing w:after="60"/>
      </w:pPr>
      <w:r>
        <w:rPr>
          <w:rFonts w:ascii="Arial" w:cs="Arial" w:eastAsia="Arial" w:hAnsi="Arial"/>
        </w:rPr>
        <w:t xml:space="preserve">Appetite is as influential as any parameter (Section 4): moving from 0.30 to 0.40 changes the classification of eight of the ten scenarios.</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risk velocity, cost-effectiveness, shared benefit and time to benefit. It is a judgement to support discussion, not a mathematical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468"/>
        <w:gridCol w:w="1497"/>
        <w:gridCol w:w="4212"/>
        <w:gridCol w:w="280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280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Action</w:t>
            </w:r>
          </w:p>
        </w:tc>
      </w:tr>
      <w:tr>
        <w:tc>
          <w:tcPr>
            <w:tcW w:type="dxa" w:w="374"/>
            <w:tcMar>
              <w:top w:type="dxa" w:w="50"/>
              <w:left w:type="dxa" w:w="80"/>
              <w:bottom w:type="dxa" w:w="50"/>
              <w:right w:type="dxa" w:w="80"/>
            </w:tcMar>
          </w:tcPr>
          <w:p>
            <w:r>
              <w:rPr>
                <w:rFonts w:ascii="Arial" w:cs="Arial" w:eastAsia="Arial" w:hAnsi="Arial"/>
                <w:sz w:val="15"/>
                <w:szCs w:val="15"/>
              </w:rPr>
              <w:t xml:space="preserve">1</w:t>
            </w:r>
          </w:p>
        </w:tc>
        <w:tc>
          <w:tcPr>
            <w:tcW w:type="dxa" w:w="468"/>
            <w:tcMar>
              <w:top w:type="dxa" w:w="50"/>
              <w:left w:type="dxa" w:w="80"/>
              <w:bottom w:type="dxa" w:w="50"/>
              <w:right w:type="dxa" w:w="80"/>
            </w:tcMar>
          </w:tcPr>
          <w:p>
            <w:r>
              <w:rPr>
                <w:rFonts w:ascii="Arial" w:cs="Arial" w:eastAsia="Arial" w:hAnsi="Arial"/>
                <w:sz w:val="15"/>
                <w:szCs w:val="15"/>
              </w:rPr>
              <w:t xml:space="preserve">S2</w:t>
            </w:r>
          </w:p>
        </w:tc>
        <w:tc>
          <w:tcPr>
            <w:tcW w:type="dxa" w:w="1497"/>
            <w:tcMar>
              <w:top w:type="dxa" w:w="50"/>
              <w:left w:type="dxa" w:w="80"/>
              <w:bottom w:type="dxa" w:w="50"/>
              <w:right w:type="dxa" w:w="80"/>
            </w:tcMar>
          </w:tcPr>
          <w:p>
            <w:r>
              <w:rPr>
                <w:rFonts w:ascii="Arial" w:cs="Arial" w:eastAsia="Arial" w:hAnsi="Arial"/>
                <w:sz w:val="15"/>
                <w:szCs w:val="15"/>
              </w:rPr>
              <w:t xml:space="preserve">Ransomware</w:t>
            </w:r>
          </w:p>
        </w:tc>
        <w:tc>
          <w:tcPr>
            <w:tcW w:type="dxa" w:w="4212"/>
            <w:tcMar>
              <w:top w:type="dxa" w:w="50"/>
              <w:left w:type="dxa" w:w="80"/>
              <w:bottom w:type="dxa" w:w="50"/>
              <w:right w:type="dxa" w:w="80"/>
            </w:tcMar>
          </w:tcPr>
          <w:p>
            <w:r>
              <w:rPr>
                <w:rFonts w:ascii="Arial" w:cs="Arial" w:eastAsia="Arial" w:hAnsi="Arial"/>
                <w:sz w:val="15"/>
                <w:szCs w:val="15"/>
              </w:rPr>
              <w:t xml:space="preserve">Highest combined clinical, privacy and operational consequence (dm 0.95); above tolerance; fast-moving</w:t>
            </w:r>
          </w:p>
        </w:tc>
        <w:tc>
          <w:tcPr>
            <w:tcW w:type="dxa" w:w="2809"/>
            <w:tcMar>
              <w:top w:type="dxa" w:w="50"/>
              <w:left w:type="dxa" w:w="80"/>
              <w:bottom w:type="dxa" w:w="50"/>
              <w:right w:type="dxa" w:w="80"/>
            </w:tcMar>
          </w:tcPr>
          <w:p>
            <w:r>
              <w:rPr>
                <w:rFonts w:ascii="Arial" w:cs="Arial" w:eastAsia="Arial" w:hAnsi="Arial"/>
                <w:sz w:val="15"/>
                <w:szCs w:val="15"/>
              </w:rPr>
              <w:t xml:space="preserve">Fund layered package; Board acceptance of residual; insurance review</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2</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Detection and response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Highest estimated risk; best cost-effectiveness (25.4); amplifies every other scenario</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Immediate MDR and IR readiness</w:t>
            </w:r>
          </w:p>
        </w:tc>
      </w:tr>
      <w:tr>
        <w:tc>
          <w:tcPr>
            <w:tcW w:type="dxa" w:w="374"/>
            <w:tcMar>
              <w:top w:type="dxa" w:w="50"/>
              <w:left w:type="dxa" w:w="80"/>
              <w:bottom w:type="dxa" w:w="50"/>
              <w:right w:type="dxa" w:w="80"/>
            </w:tcMar>
          </w:tcPr>
          <w:p>
            <w:r>
              <w:rPr>
                <w:rFonts w:ascii="Arial" w:cs="Arial" w:eastAsia="Arial" w:hAnsi="Arial"/>
                <w:sz w:val="15"/>
                <w:szCs w:val="15"/>
              </w:rPr>
              <w:t xml:space="preserve">3</w:t>
            </w:r>
          </w:p>
        </w:tc>
        <w:tc>
          <w:tcPr>
            <w:tcW w:type="dxa" w:w="468"/>
            <w:tcMar>
              <w:top w:type="dxa" w:w="50"/>
              <w:left w:type="dxa" w:w="80"/>
              <w:bottom w:type="dxa" w:w="50"/>
              <w:right w:type="dxa" w:w="80"/>
            </w:tcMar>
          </w:tcPr>
          <w:p>
            <w:r>
              <w:rPr>
                <w:rFonts w:ascii="Arial" w:cs="Arial" w:eastAsia="Arial" w:hAnsi="Arial"/>
                <w:sz w:val="15"/>
                <w:szCs w:val="15"/>
              </w:rPr>
              <w:t xml:space="preserve">S1</w:t>
            </w:r>
          </w:p>
        </w:tc>
        <w:tc>
          <w:tcPr>
            <w:tcW w:type="dxa" w:w="1497"/>
            <w:tcMar>
              <w:top w:type="dxa" w:w="50"/>
              <w:left w:type="dxa" w:w="80"/>
              <w:bottom w:type="dxa" w:w="50"/>
              <w:right w:type="dxa" w:w="80"/>
            </w:tcMar>
          </w:tcPr>
          <w:p>
            <w:r>
              <w:rPr>
                <w:rFonts w:ascii="Arial" w:cs="Arial" w:eastAsia="Arial" w:hAnsi="Arial"/>
                <w:sz w:val="15"/>
                <w:szCs w:val="15"/>
              </w:rPr>
              <w:t xml:space="preserve">Credential compromise</w:t>
            </w:r>
          </w:p>
        </w:tc>
        <w:tc>
          <w:tcPr>
            <w:tcW w:type="dxa" w:w="4212"/>
            <w:tcMar>
              <w:top w:type="dxa" w:w="50"/>
              <w:left w:type="dxa" w:w="80"/>
              <w:bottom w:type="dxa" w:w="50"/>
              <w:right w:type="dxa" w:w="80"/>
            </w:tcMar>
          </w:tcPr>
          <w:p>
            <w:r>
              <w:rPr>
                <w:rFonts w:ascii="Arial" w:cs="Arial" w:eastAsia="Arial" w:hAnsi="Arial"/>
                <w:sz w:val="15"/>
                <w:szCs w:val="15"/>
              </w:rPr>
              <w:t xml:space="preserve">Most likely entry path; strong cost-effectiveness (17.3); quick to treat</w:t>
            </w:r>
          </w:p>
        </w:tc>
        <w:tc>
          <w:tcPr>
            <w:tcW w:type="dxa" w:w="2809"/>
            <w:tcMar>
              <w:top w:type="dxa" w:w="50"/>
              <w:left w:type="dxa" w:w="80"/>
              <w:bottom w:type="dxa" w:w="50"/>
              <w:right w:type="dxa" w:w="80"/>
            </w:tcMar>
          </w:tcPr>
          <w:p>
            <w:r>
              <w:rPr>
                <w:rFonts w:ascii="Arial" w:cs="Arial" w:eastAsia="Arial" w:hAnsi="Arial"/>
                <w:sz w:val="15"/>
                <w:szCs w:val="15"/>
              </w:rPr>
              <w:t xml:space="preserve">Phishing-resistant MFA within 90 days for privileged and remote access</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4</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S7</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Medical devices</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Direct patient-safety pathway; ratio 1.45; slow to treat (certification, vendors)</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Start device programme and segmentation; CMO sign-off on residual</w:t>
            </w:r>
          </w:p>
        </w:tc>
      </w:tr>
      <w:tr>
        <w:tc>
          <w:tcPr>
            <w:tcW w:type="dxa" w:w="374"/>
            <w:tcMar>
              <w:top w:type="dxa" w:w="50"/>
              <w:left w:type="dxa" w:w="80"/>
              <w:bottom w:type="dxa" w:w="50"/>
              <w:right w:type="dxa" w:w="80"/>
            </w:tcMar>
          </w:tcPr>
          <w:p>
            <w:r>
              <w:rPr>
                <w:rFonts w:ascii="Arial" w:cs="Arial" w:eastAsia="Arial" w:hAnsi="Arial"/>
                <w:sz w:val="15"/>
                <w:szCs w:val="15"/>
              </w:rPr>
              <w:t xml:space="preserve">5</w:t>
            </w:r>
          </w:p>
        </w:tc>
        <w:tc>
          <w:tcPr>
            <w:tcW w:type="dxa" w:w="468"/>
            <w:tcMar>
              <w:top w:type="dxa" w:w="50"/>
              <w:left w:type="dxa" w:w="80"/>
              <w:bottom w:type="dxa" w:w="50"/>
              <w:right w:type="dxa" w:w="80"/>
            </w:tcMar>
          </w:tcPr>
          <w:p>
            <w:r>
              <w:rPr>
                <w:rFonts w:ascii="Arial" w:cs="Arial" w:eastAsia="Arial" w:hAnsi="Arial"/>
                <w:sz w:val="15"/>
                <w:szCs w:val="15"/>
              </w:rPr>
              <w:t xml:space="preserve">S3</w:t>
            </w:r>
          </w:p>
        </w:tc>
        <w:tc>
          <w:tcPr>
            <w:tcW w:type="dxa" w:w="1497"/>
            <w:tcMar>
              <w:top w:type="dxa" w:w="50"/>
              <w:left w:type="dxa" w:w="80"/>
              <w:bottom w:type="dxa" w:w="50"/>
              <w:right w:type="dxa" w:w="80"/>
            </w:tcMar>
          </w:tcPr>
          <w:p>
            <w:r>
              <w:rPr>
                <w:rFonts w:ascii="Arial" w:cs="Arial" w:eastAsia="Arial" w:hAnsi="Arial"/>
                <w:sz w:val="15"/>
                <w:szCs w:val="15"/>
              </w:rPr>
              <w:t xml:space="preserve">Backup compromise</w:t>
            </w:r>
          </w:p>
        </w:tc>
        <w:tc>
          <w:tcPr>
            <w:tcW w:type="dxa" w:w="4212"/>
            <w:tcMar>
              <w:top w:type="dxa" w:w="50"/>
              <w:left w:type="dxa" w:w="80"/>
              <w:bottom w:type="dxa" w:w="50"/>
              <w:right w:type="dxa" w:w="80"/>
            </w:tcMar>
          </w:tcPr>
          <w:p>
            <w:r>
              <w:rPr>
                <w:rFonts w:ascii="Arial" w:cs="Arial" w:eastAsia="Arial" w:hAnsi="Arial"/>
                <w:sz w:val="15"/>
                <w:szCs w:val="15"/>
              </w:rPr>
              <w:t xml:space="preserve">Determines whether S2 is recoverable; falls below tolerance once treated</w:t>
            </w:r>
          </w:p>
        </w:tc>
        <w:tc>
          <w:tcPr>
            <w:tcW w:type="dxa" w:w="2809"/>
            <w:tcMar>
              <w:top w:type="dxa" w:w="50"/>
              <w:left w:type="dxa" w:w="80"/>
              <w:bottom w:type="dxa" w:w="50"/>
              <w:right w:type="dxa" w:w="80"/>
            </w:tcMar>
          </w:tcPr>
          <w:p>
            <w:r>
              <w:rPr>
                <w:rFonts w:ascii="Arial" w:cs="Arial" w:eastAsia="Arial" w:hAnsi="Arial"/>
                <w:sz w:val="15"/>
                <w:szCs w:val="15"/>
              </w:rPr>
              <w:t xml:space="preserve">Immediate backup isolation and restore test</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6</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Unpatched systems</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High estimated risk; frequent real-world vector; good cost-effectiveness (11.8)</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Vulnerability programme with SLAs</w:t>
            </w:r>
          </w:p>
        </w:tc>
      </w:tr>
      <w:tr>
        <w:tc>
          <w:tcPr>
            <w:tcW w:type="dxa" w:w="374"/>
            <w:tcMar>
              <w:top w:type="dxa" w:w="50"/>
              <w:left w:type="dxa" w:w="80"/>
              <w:bottom w:type="dxa" w:w="50"/>
              <w:right w:type="dxa" w:w="80"/>
            </w:tcMar>
          </w:tcPr>
          <w:p>
            <w:r>
              <w:rPr>
                <w:rFonts w:ascii="Arial" w:cs="Arial" w:eastAsia="Arial" w:hAnsi="Arial"/>
                <w:sz w:val="15"/>
                <w:szCs w:val="15"/>
              </w:rPr>
              <w:t xml:space="preserve">7</w:t>
            </w:r>
          </w:p>
        </w:tc>
        <w:tc>
          <w:tcPr>
            <w:tcW w:type="dxa" w:w="468"/>
            <w:tcMar>
              <w:top w:type="dxa" w:w="50"/>
              <w:left w:type="dxa" w:w="80"/>
              <w:bottom w:type="dxa" w:w="50"/>
              <w:right w:type="dxa" w:w="80"/>
            </w:tcMar>
          </w:tcPr>
          <w:p>
            <w:r>
              <w:rPr>
                <w:rFonts w:ascii="Arial" w:cs="Arial" w:eastAsia="Arial" w:hAnsi="Arial"/>
                <w:sz w:val="15"/>
                <w:szCs w:val="15"/>
              </w:rPr>
              <w:t xml:space="preserve">S9</w:t>
            </w:r>
          </w:p>
        </w:tc>
        <w:tc>
          <w:tcPr>
            <w:tcW w:type="dxa" w:w="1497"/>
            <w:tcMar>
              <w:top w:type="dxa" w:w="50"/>
              <w:left w:type="dxa" w:w="80"/>
              <w:bottom w:type="dxa" w:w="50"/>
              <w:right w:type="dxa" w:w="80"/>
            </w:tcMar>
          </w:tcPr>
          <w:p>
            <w:r>
              <w:rPr>
                <w:rFonts w:ascii="Arial" w:cs="Arial" w:eastAsia="Arial" w:hAnsi="Arial"/>
                <w:sz w:val="15"/>
                <w:szCs w:val="15"/>
              </w:rPr>
              <w:t xml:space="preserve">Vendor compromise</w:t>
            </w:r>
          </w:p>
        </w:tc>
        <w:tc>
          <w:tcPr>
            <w:tcW w:type="dxa" w:w="4212"/>
            <w:tcMar>
              <w:top w:type="dxa" w:w="50"/>
              <w:left w:type="dxa" w:w="80"/>
              <w:bottom w:type="dxa" w:w="50"/>
              <w:right w:type="dxa" w:w="80"/>
            </w:tcMar>
          </w:tcPr>
          <w:p>
            <w:r>
              <w:rPr>
                <w:rFonts w:ascii="Arial" w:cs="Arial" w:eastAsia="Arial" w:hAnsi="Arial"/>
                <w:sz w:val="15"/>
                <w:szCs w:val="15"/>
              </w:rPr>
              <w:t xml:space="preserve">Highest residual ratio (1.54); largely outside MediBec's control</w:t>
            </w:r>
          </w:p>
        </w:tc>
        <w:tc>
          <w:tcPr>
            <w:tcW w:type="dxa" w:w="2809"/>
            <w:tcMar>
              <w:top w:type="dxa" w:w="50"/>
              <w:left w:type="dxa" w:w="80"/>
              <w:bottom w:type="dxa" w:w="50"/>
              <w:right w:type="dxa" w:w="80"/>
            </w:tcMar>
          </w:tcPr>
          <w:p>
            <w:r>
              <w:rPr>
                <w:rFonts w:ascii="Arial" w:cs="Arial" w:eastAsia="Arial" w:hAnsi="Arial"/>
                <w:sz w:val="15"/>
                <w:szCs w:val="15"/>
              </w:rPr>
              <w:t xml:space="preserve">Contract clauses, brokered vendor access, transfer</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8</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S5</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Insider / privileged misuse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Above tolerance; high regulatory significance</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Access governance and EHR monitoring</w:t>
            </w:r>
          </w:p>
        </w:tc>
      </w:tr>
      <w:tr>
        <w:tc>
          <w:tcPr>
            <w:tcW w:type="dxa" w:w="374"/>
            <w:tcMar>
              <w:top w:type="dxa" w:w="50"/>
              <w:left w:type="dxa" w:w="80"/>
              <w:bottom w:type="dxa" w:w="50"/>
              <w:right w:type="dxa" w:w="80"/>
            </w:tcMar>
          </w:tcPr>
          <w:p>
            <w:r>
              <w:rPr>
                <w:rFonts w:ascii="Arial" w:cs="Arial" w:eastAsia="Arial" w:hAnsi="Arial"/>
                <w:sz w:val="15"/>
                <w:szCs w:val="15"/>
              </w:rPr>
              <w:t xml:space="preserve">9</w:t>
            </w:r>
          </w:p>
        </w:tc>
        <w:tc>
          <w:tcPr>
            <w:tcW w:type="dxa" w:w="468"/>
            <w:tcMar>
              <w:top w:type="dxa" w:w="50"/>
              <w:left w:type="dxa" w:w="80"/>
              <w:bottom w:type="dxa" w:w="50"/>
              <w:right w:type="dxa" w:w="80"/>
            </w:tcMar>
          </w:tcPr>
          <w:p>
            <w:r>
              <w:rPr>
                <w:rFonts w:ascii="Arial" w:cs="Arial" w:eastAsia="Arial" w:hAnsi="Arial"/>
                <w:sz w:val="15"/>
                <w:szCs w:val="15"/>
              </w:rPr>
              <w:t xml:space="preserve">S10</w:t>
            </w:r>
          </w:p>
        </w:tc>
        <w:tc>
          <w:tcPr>
            <w:tcW w:type="dxa" w:w="1497"/>
            <w:tcMar>
              <w:top w:type="dxa" w:w="50"/>
              <w:left w:type="dxa" w:w="80"/>
              <w:bottom w:type="dxa" w:w="50"/>
              <w:right w:type="dxa" w:w="80"/>
            </w:tcMar>
          </w:tcPr>
          <w:p>
            <w:r>
              <w:rPr>
                <w:rFonts w:ascii="Arial" w:cs="Arial" w:eastAsia="Arial" w:hAnsi="Arial"/>
                <w:sz w:val="15"/>
                <w:szCs w:val="15"/>
              </w:rPr>
              <w:t xml:space="preserve">Record integrity</w:t>
            </w:r>
          </w:p>
        </w:tc>
        <w:tc>
          <w:tcPr>
            <w:tcW w:type="dxa" w:w="4212"/>
            <w:tcMar>
              <w:top w:type="dxa" w:w="50"/>
              <w:left w:type="dxa" w:w="80"/>
              <w:bottom w:type="dxa" w:w="50"/>
              <w:right w:type="dxa" w:w="80"/>
            </w:tcMar>
          </w:tcPr>
          <w:p>
            <w:r>
              <w:rPr>
                <w:rFonts w:ascii="Arial" w:cs="Arial" w:eastAsia="Arial" w:hAnsi="Arial"/>
                <w:sz w:val="15"/>
                <w:szCs w:val="15"/>
              </w:rPr>
              <w:t xml:space="preserve">Lowest likelihood but patient-safety consequence; above tolerance</w:t>
            </w:r>
          </w:p>
        </w:tc>
        <w:tc>
          <w:tcPr>
            <w:tcW w:type="dxa" w:w="2809"/>
            <w:tcMar>
              <w:top w:type="dxa" w:w="50"/>
              <w:left w:type="dxa" w:w="80"/>
              <w:bottom w:type="dxa" w:w="50"/>
              <w:right w:type="dxa" w:w="80"/>
            </w:tcMar>
          </w:tcPr>
          <w:p>
            <w:r>
              <w:rPr>
                <w:rFonts w:ascii="Arial" w:cs="Arial" w:eastAsia="Arial" w:hAnsi="Arial"/>
                <w:sz w:val="15"/>
                <w:szCs w:val="15"/>
              </w:rPr>
              <w:t xml:space="preserve">Integrity controls; clinical sign-off</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10</w:t>
            </w:r>
          </w:p>
        </w:tc>
        <w:tc>
          <w:tcPr>
            <w:tcW w:type="dxa" w:w="468"/>
            <w:shd w:fill="F2F2F2" w:color="auto" w:val="clear"/>
            <w:tcMar>
              <w:top w:type="dxa" w:w="50"/>
              <w:left w:type="dxa" w:w="80"/>
              <w:bottom w:type="dxa" w:w="50"/>
              <w:right w:type="dxa" w:w="80"/>
            </w:tcMar>
          </w:tcPr>
          <w:p>
            <w:r>
              <w:rPr>
                <w:rFonts w:ascii="Arial" w:cs="Arial" w:eastAsia="Arial" w:hAnsi="Arial"/>
                <w:sz w:val="15"/>
                <w:szCs w:val="15"/>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Cloud image storage</w:t>
            </w:r>
          </w:p>
        </w:tc>
        <w:tc>
          <w:tcPr>
            <w:tcW w:type="dxa" w:w="4212"/>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 cheap, fast fix</w:t>
            </w:r>
          </w:p>
        </w:tc>
        <w:tc>
          <w:tcPr>
            <w:tcW w:type="dxa" w:w="2809"/>
            <w:shd w:fill="F2F2F2" w:color="auto" w:val="clear"/>
            <w:tcMar>
              <w:top w:type="dxa" w:w="50"/>
              <w:left w:type="dxa" w:w="80"/>
              <w:bottom w:type="dxa" w:w="50"/>
              <w:right w:type="dxa" w:w="80"/>
            </w:tcMar>
          </w:tcPr>
          <w:p>
            <w:r>
              <w:rPr>
                <w:rFonts w:ascii="Arial" w:cs="Arial" w:eastAsia="Arial" w:hAnsi="Arial"/>
                <w:sz w:val="15"/>
                <w:szCs w:val="15"/>
              </w:rPr>
              <w:t xml:space="preserve">Block public access now</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analyst estimates in CAD</w:t>
      </w:r>
      <w:r>
        <w:rPr>
          <w:rFonts w:ascii="Arial" w:cs="Arial" w:eastAsia="Arial" w:hAnsi="Arial"/>
        </w:rPr>
        <w:t xml:space="preserve">, not quotations or approved budgets. Basis: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w:t>
      </w:r>
      <w:r>
        <w:rPr>
          <w:rFonts w:ascii="Arial" w:cs="Arial" w:eastAsia="Arial" w:hAnsi="Arial"/>
        </w:rPr>
        <w:t xml:space="preserve"> - broker quotation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842"/>
        <w:gridCol w:w="1029"/>
        <w:gridCol w:w="748"/>
        <w:gridCol w:w="655"/>
        <w:gridCol w:w="748"/>
        <w:gridCol w:w="842"/>
        <w:gridCol w:w="1314"/>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31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842"/>
            <w:tcMar>
              <w:top w:type="dxa" w:w="50"/>
              <w:left w:type="dxa" w:w="80"/>
              <w:bottom w:type="dxa" w:w="50"/>
              <w:right w:type="dxa" w:w="80"/>
            </w:tcMar>
          </w:tcPr>
          <w:p>
            <w:r>
              <w:rPr>
                <w:rFonts w:ascii="Arial" w:cs="Arial" w:eastAsia="Arial" w:hAnsi="Arial"/>
                <w:sz w:val="13"/>
                <w:szCs w:val="13"/>
              </w:rPr>
              <w:t xml:space="preserve">S1, S8, S9, S10</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S1, S2, S3, S5, S9, S10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842"/>
            <w:tcMar>
              <w:top w:type="dxa" w:w="50"/>
              <w:left w:type="dxa" w:w="80"/>
              <w:bottom w:type="dxa" w:w="50"/>
              <w:right w:type="dxa" w:w="80"/>
            </w:tcMar>
          </w:tcPr>
          <w:p>
            <w:r>
              <w:rPr>
                <w:rFonts w:ascii="Arial" w:cs="Arial" w:eastAsia="Arial" w:hAnsi="Arial"/>
                <w:sz w:val="13"/>
                <w:szCs w:val="13"/>
              </w:rPr>
              <w:t xml:space="preserve">S1, S2, S3, S4, S5, S6, S8, S9, S10</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S2, S3, S10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842"/>
            <w:tcMar>
              <w:top w:type="dxa" w:w="50"/>
              <w:left w:type="dxa" w:w="80"/>
              <w:bottom w:type="dxa" w:w="50"/>
              <w:right w:type="dxa" w:w="80"/>
            </w:tcMar>
          </w:tcPr>
          <w:p>
            <w:r>
              <w:rPr>
                <w:rFonts w:ascii="Arial" w:cs="Arial" w:eastAsia="Arial" w:hAnsi="Arial"/>
                <w:sz w:val="13"/>
                <w:szCs w:val="13"/>
              </w:rPr>
              <w:t xml:space="preserve">S2, S6, S7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314"/>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S2, S3, S6, S7</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842"/>
            <w:tcMar>
              <w:top w:type="dxa" w:w="50"/>
              <w:left w:type="dxa" w:w="80"/>
              <w:bottom w:type="dxa" w:w="50"/>
              <w:right w:type="dxa" w:w="80"/>
            </w:tcMar>
          </w:tcPr>
          <w:p>
            <w:r>
              <w:rPr>
                <w:rFonts w:ascii="Arial" w:cs="Arial" w:eastAsia="Arial" w:hAnsi="Arial"/>
                <w:sz w:val="13"/>
                <w:szCs w:val="13"/>
              </w:rPr>
              <w:t xml:space="preserve">S7</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314"/>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842"/>
            <w:tcMar>
              <w:top w:type="dxa" w:w="50"/>
              <w:left w:type="dxa" w:w="80"/>
              <w:bottom w:type="dxa" w:w="50"/>
              <w:right w:type="dxa" w:w="80"/>
            </w:tcMar>
          </w:tcPr>
          <w:p>
            <w:r>
              <w:rPr>
                <w:rFonts w:ascii="Arial" w:cs="Arial" w:eastAsia="Arial" w:hAnsi="Arial"/>
                <w:sz w:val="13"/>
                <w:szCs w:val="13"/>
              </w:rPr>
              <w:t xml:space="preserve">S4, S5, S10</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314"/>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842"/>
            <w:tcMar>
              <w:top w:type="dxa" w:w="50"/>
              <w:left w:type="dxa" w:w="80"/>
              <w:bottom w:type="dxa" w:w="50"/>
              <w:right w:type="dxa" w:w="80"/>
            </w:tcMar>
          </w:tcPr>
          <w:p>
            <w:r>
              <w:rPr>
                <w:rFonts w:ascii="Arial" w:cs="Arial" w:eastAsia="Arial" w:hAnsi="Arial"/>
                <w:sz w:val="13"/>
                <w:szCs w:val="13"/>
              </w:rPr>
              <w:t xml:space="preserve">S2, S3, S8, S9, S10</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314"/>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S1, S2, S5, S8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314"/>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842"/>
            <w:tcMar>
              <w:top w:type="dxa" w:w="50"/>
              <w:left w:type="dxa" w:w="80"/>
              <w:bottom w:type="dxa" w:w="50"/>
              <w:right w:type="dxa" w:w="80"/>
            </w:tcMar>
          </w:tcPr>
          <w:p>
            <w:r>
              <w:rPr>
                <w:rFonts w:ascii="Arial" w:cs="Arial" w:eastAsia="Arial" w:hAnsi="Arial"/>
                <w:sz w:val="13"/>
                <w:szCs w:val="13"/>
              </w:rPr>
              <w:t xml:space="preserve">S10</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314"/>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$2,410,000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$1,456,000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$3,866,000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$6,778,000</w:t>
            </w:r>
          </w:p>
        </w:tc>
      </w:tr>
      <w:tr>
        <w:tc>
          <w:tcPr>
            <w:tcW w:type="dxa" w:w="5616"/>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tcMar>
              <w:top w:type="dxa" w:w="50"/>
              <w:left w:type="dxa" w:w="80"/>
              <w:bottom w:type="dxa" w:w="50"/>
              <w:right w:type="dxa" w:w="80"/>
            </w:tcMar>
          </w:tcPr>
          <w:p>
            <w:r>
              <w:rPr>
                <w:rFonts w:ascii="Arial" w:cs="Arial" w:eastAsia="Arial" w:hAnsi="Arial"/>
                <w:sz w:val="16"/>
                <w:szCs w:val="16"/>
              </w:rPr>
              <w:t xml:space="preserve">50,306 -&gt; 22,722 risk units (55%)</w:t>
            </w:r>
          </w:p>
        </w:tc>
      </w:tr>
    </w:tbl>
    <w:p>
      <w:pPr>
        <w:spacing w:after="80"/>
      </w:pPr>
    </w:p>
    <w:p>
      <w:pPr>
        <w:spacing w:after="120"/>
      </w:pPr>
      <w:r>
        <w:rPr>
          <w:rFonts w:ascii="Arial" w:cs="Arial" w:eastAsia="Arial" w:hAnsi="Arial"/>
        </w:rPr>
        <w:t xml:space="preserve">Dependencies and capacity: the two-person team cannot deliver this portfolio alone. MDR (I03) offloads monitoring; the vulnerability FTE in I05 is costed at the workbook convention of 1,950 h x $80; implementation partners are assumed within initial costs. Change windows must be agreed with clinical operations.</w:t>
      </w:r>
    </w:p>
    <w:p>
      <w:pPr>
        <w:pStyle w:val="Heading1"/>
        <w:pageBreakBefore/>
      </w:pPr>
      <w:r>
        <w:rPr>
          <w:rFonts w:ascii="Arial" w:cs="Arial" w:eastAsia="Arial" w:hAnsi="Arial"/>
        </w:rP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6364"/>
        <w:gridCol w:w="1499"/>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Horizon</w:t>
            </w:r>
          </w:p>
        </w:tc>
        <w:tc>
          <w:tcPr>
            <w:tcW w:type="dxa" w:w="636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Actions</w:t>
            </w:r>
          </w:p>
        </w:tc>
        <w:tc>
          <w:tcPr>
            <w:tcW w:type="dxa" w:w="149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Scenarios</w:t>
            </w:r>
          </w:p>
        </w:tc>
      </w:tr>
      <w:tr>
        <w:tc>
          <w:tcPr>
            <w:tcW w:type="dxa" w:w="1497"/>
            <w:tcMar>
              <w:top w:type="dxa" w:w="50"/>
              <w:left w:type="dxa" w:w="80"/>
              <w:bottom w:type="dxa" w:w="50"/>
              <w:right w:type="dxa" w:w="80"/>
            </w:tcMar>
          </w:tcPr>
          <w:p>
            <w:r>
              <w:rPr>
                <w:rFonts w:ascii="Arial" w:cs="Arial" w:eastAsia="Arial" w:hAnsi="Arial"/>
                <w:sz w:val="15"/>
                <w:szCs w:val="15"/>
              </w:rPr>
              <w:t xml:space="preserve">0-90 days</w:t>
            </w:r>
          </w:p>
          <w:p>
            <w:r>
              <w:rPr>
                <w:rFonts w:ascii="Arial" w:cs="Arial" w:eastAsia="Arial" w:hAnsi="Arial"/>
                <w:sz w:val="15"/>
                <w:szCs w:val="15"/>
              </w:rPr>
              <w:t xml:space="preserve">Urgent / quick wins</w:t>
            </w:r>
          </w:p>
        </w:tc>
        <w:tc>
          <w:tcPr>
            <w:tcW w:type="dxa" w:w="6364"/>
            <w:tcMar>
              <w:top w:type="dxa" w:w="50"/>
              <w:left w:type="dxa" w:w="80"/>
              <w:bottom w:type="dxa" w:w="50"/>
              <w:right w:type="dxa" w:w="80"/>
            </w:tcMar>
          </w:tcPr>
          <w:p>
            <w:r>
              <w:rPr>
                <w:rFonts w:ascii="Arial" w:cs="Arial" w:eastAsia="Arial" w:hAnsi="Arial"/>
                <w:sz w:val="15"/>
                <w:szCs w:val="15"/>
              </w:rPr>
              <w:t xml:space="preserve">I01 phase 1: FIDO2 for privileged, remote-access and EHR admin accounts; number matching for all; block internet macros</w:t>
            </w:r>
          </w:p>
          <w:p>
            <w:r>
              <w:rPr>
                <w:rFonts w:ascii="Arial" w:cs="Arial" w:eastAsia="Arial" w:hAnsi="Arial"/>
                <w:sz w:val="15"/>
                <w:szCs w:val="15"/>
              </w:rPr>
              <w:t xml:space="preserve">I03: onboard MDR, full EDR coverage, connect identity, remote access, EHR audit, cloud and backup logs</w:t>
            </w:r>
          </w:p>
          <w:p>
            <w:r>
              <w:rPr>
                <w:rFonts w:ascii="Arial" w:cs="Arial" w:eastAsia="Arial" w:hAnsi="Arial"/>
                <w:sz w:val="15"/>
                <w:szCs w:val="15"/>
              </w:rPr>
              <w:t xml:space="preserve">I04 phase 1: separate backup admin credentials, offline copy, first crown-jewel restore test</w:t>
            </w:r>
          </w:p>
          <w:p>
            <w:r>
              <w:rPr>
                <w:rFonts w:ascii="Arial" w:cs="Arial" w:eastAsia="Arial" w:hAnsi="Arial"/>
                <w:sz w:val="15"/>
                <w:szCs w:val="15"/>
              </w:rPr>
              <w:t xml:space="preserve">I08: block public access on all cloud storage; review existing shares and links</w:t>
            </w:r>
          </w:p>
          <w:p>
            <w:r>
              <w:rPr>
                <w:rFonts w:ascii="Arial" w:cs="Arial" w:eastAsia="Arial" w:hAnsi="Arial"/>
                <w:sz w:val="15"/>
                <w:szCs w:val="15"/>
              </w:rPr>
              <w:t xml:space="preserve">I02 quick win: rotate and restrict ehr-sync-svc; inventory privileged accounts</w:t>
            </w:r>
          </w:p>
          <w:p>
            <w:r>
              <w:rPr>
                <w:rFonts w:ascii="Arial" w:cs="Arial" w:eastAsia="Arial" w:hAnsi="Arial"/>
                <w:sz w:val="15"/>
                <w:szCs w:val="15"/>
              </w:rPr>
              <w:t xml:space="preserve">I11: update IR plan, engage IR/forensic retainer, first executive-and-clinic tabletop</w:t>
            </w:r>
          </w:p>
          <w:p>
            <w:r>
              <w:rPr>
                <w:rFonts w:ascii="Arial" w:cs="Arial" w:eastAsia="Arial" w:hAnsi="Arial"/>
                <w:sz w:val="15"/>
                <w:szCs w:val="15"/>
              </w:rPr>
              <w:t xml:space="preserve">I12: approve appetite, launch KRI dashboard and risk register</w:t>
            </w:r>
          </w:p>
          <w:p>
            <w:r>
              <w:rPr>
                <w:rFonts w:ascii="Arial" w:cs="Arial" w:eastAsia="Arial" w:hAnsi="Arial"/>
                <w:sz w:val="15"/>
                <w:szCs w:val="15"/>
              </w:rPr>
              <w:t xml:space="preserve">If any indicator in the case appendices reflects real activity: commission a compromise assessment immediately</w:t>
            </w:r>
          </w:p>
        </w:tc>
        <w:tc>
          <w:tcPr>
            <w:tcW w:type="dxa" w:w="1499"/>
            <w:tcMar>
              <w:top w:type="dxa" w:w="50"/>
              <w:left w:type="dxa" w:w="80"/>
              <w:bottom w:type="dxa" w:w="50"/>
              <w:right w:type="dxa" w:w="80"/>
            </w:tcMar>
          </w:tcPr>
          <w:p>
            <w:r>
              <w:rPr>
                <w:rFonts w:ascii="Arial" w:cs="Arial" w:eastAsia="Arial" w:hAnsi="Arial"/>
                <w:sz w:val="15"/>
                <w:szCs w:val="15"/>
              </w:rPr>
              <w:t xml:space="preserve">S1, S2, S3, S4, S5, S8</w:t>
            </w:r>
          </w:p>
        </w:tc>
      </w:tr>
      <w:tr>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3-6 months</w:t>
            </w:r>
          </w:p>
          <w:p>
            <w:r>
              <w:rPr>
                <w:rFonts w:ascii="Arial" w:cs="Arial" w:eastAsia="Arial" w:hAnsi="Arial"/>
                <w:sz w:val="15"/>
                <w:szCs w:val="15"/>
              </w:rPr>
              <w:t xml:space="preserve">Foundations</w:t>
            </w:r>
          </w:p>
        </w:tc>
        <w:tc>
          <w:tcPr>
            <w:tcW w:type="dxa" w:w="6364"/>
            <w:shd w:fill="F2F2F2" w:color="auto" w:val="clear"/>
            <w:tcMar>
              <w:top w:type="dxa" w:w="50"/>
              <w:left w:type="dxa" w:w="80"/>
              <w:bottom w:type="dxa" w:w="50"/>
              <w:right w:type="dxa" w:w="80"/>
            </w:tcMar>
          </w:tcPr>
          <w:p>
            <w:r>
              <w:rPr>
                <w:rFonts w:ascii="Arial" w:cs="Arial" w:eastAsia="Arial" w:hAnsi="Arial"/>
                <w:sz w:val="15"/>
                <w:szCs w:val="15"/>
              </w:rPr>
              <w:t xml:space="preserve">I02: PAM vault, tiered administration, just-in-time elevation</w:t>
            </w:r>
          </w:p>
          <w:p>
            <w:r>
              <w:rPr>
                <w:rFonts w:ascii="Arial" w:cs="Arial" w:eastAsia="Arial" w:hAnsi="Arial"/>
                <w:sz w:val="15"/>
                <w:szCs w:val="15"/>
              </w:rPr>
              <w:t xml:space="preserve">I05: asset inventory, authenticated scanning, SLAs, exception process</w:t>
            </w:r>
          </w:p>
          <w:p>
            <w:r>
              <w:rPr>
                <w:rFonts w:ascii="Arial" w:cs="Arial" w:eastAsia="Arial" w:hAnsi="Arial"/>
                <w:sz w:val="15"/>
                <w:szCs w:val="15"/>
              </w:rPr>
              <w:t xml:space="preserve">I09: EHR role redesign, first access recertification, EHR access analytics</w:t>
            </w:r>
          </w:p>
          <w:p>
            <w:r>
              <w:rPr>
                <w:rFonts w:ascii="Arial" w:cs="Arial" w:eastAsia="Arial" w:hAnsi="Arial"/>
                <w:sz w:val="15"/>
                <w:szCs w:val="15"/>
              </w:rPr>
              <w:t xml:space="preserve">I10: vendor tiering; contract clauses for critical vendors</w:t>
            </w:r>
          </w:p>
          <w:p>
            <w:r>
              <w:rPr>
                <w:rFonts w:ascii="Arial" w:cs="Arial" w:eastAsia="Arial" w:hAnsi="Arial"/>
                <w:sz w:val="15"/>
                <w:szCs w:val="15"/>
              </w:rPr>
              <w:t xml:space="preserve">I01: complete rollout and conditional access</w:t>
            </w:r>
          </w:p>
        </w:tc>
        <w:tc>
          <w:tcPr>
            <w:tcW w:type="dxa" w:w="1499"/>
            <w:shd w:fill="F2F2F2" w:color="auto" w:val="clear"/>
            <w:tcMar>
              <w:top w:type="dxa" w:w="50"/>
              <w:left w:type="dxa" w:w="80"/>
              <w:bottom w:type="dxa" w:w="50"/>
              <w:right w:type="dxa" w:w="80"/>
            </w:tcMar>
          </w:tcPr>
          <w:p>
            <w:r>
              <w:rPr>
                <w:rFonts w:ascii="Arial" w:cs="Arial" w:eastAsia="Arial" w:hAnsi="Arial"/>
                <w:sz w:val="15"/>
                <w:szCs w:val="15"/>
              </w:rPr>
              <w:t xml:space="preserve">S1, S5, S6, S9, S10</w:t>
            </w:r>
          </w:p>
        </w:tc>
      </w:tr>
      <w:tr>
        <w:tc>
          <w:tcPr>
            <w:tcW w:type="dxa" w:w="1497"/>
            <w:tcMar>
              <w:top w:type="dxa" w:w="50"/>
              <w:left w:type="dxa" w:w="80"/>
              <w:bottom w:type="dxa" w:w="50"/>
              <w:right w:type="dxa" w:w="80"/>
            </w:tcMar>
          </w:tcPr>
          <w:p>
            <w:r>
              <w:rPr>
                <w:rFonts w:ascii="Arial" w:cs="Arial" w:eastAsia="Arial" w:hAnsi="Arial"/>
                <w:sz w:val="15"/>
                <w:szCs w:val="15"/>
              </w:rPr>
              <w:t xml:space="preserve">6-12 months</w:t>
            </w:r>
          </w:p>
          <w:p>
            <w:r>
              <w:rPr>
                <w:rFonts w:ascii="Arial" w:cs="Arial" w:eastAsia="Arial" w:hAnsi="Arial"/>
                <w:sz w:val="15"/>
                <w:szCs w:val="15"/>
              </w:rPr>
              <w:t xml:space="preserve">Major capabilities</w:t>
            </w:r>
          </w:p>
        </w:tc>
        <w:tc>
          <w:tcPr>
            <w:tcW w:type="dxa" w:w="6364"/>
            <w:tcMar>
              <w:top w:type="dxa" w:w="50"/>
              <w:left w:type="dxa" w:w="80"/>
              <w:bottom w:type="dxa" w:w="50"/>
              <w:right w:type="dxa" w:w="80"/>
            </w:tcMar>
          </w:tcPr>
          <w:p>
            <w:r>
              <w:rPr>
                <w:rFonts w:ascii="Arial" w:cs="Arial" w:eastAsia="Arial" w:hAnsi="Arial"/>
                <w:sz w:val="15"/>
                <w:szCs w:val="15"/>
              </w:rPr>
              <w:t xml:space="preserve">I04: immutable backup and isolated backup network complete; quarterly restore tests</w:t>
            </w:r>
          </w:p>
          <w:p>
            <w:r>
              <w:rPr>
                <w:rFonts w:ascii="Arial" w:cs="Arial" w:eastAsia="Arial" w:hAnsi="Arial"/>
                <w:sz w:val="15"/>
                <w:szCs w:val="15"/>
              </w:rPr>
              <w:t xml:space="preserve">I06 phase 1: segment medical devices, guest Wi-Fi (WPA3), backup and server zones</w:t>
            </w:r>
          </w:p>
          <w:p>
            <w:r>
              <w:rPr>
                <w:rFonts w:ascii="Arial" w:cs="Arial" w:eastAsia="Arial" w:hAnsi="Arial"/>
                <w:sz w:val="15"/>
                <w:szCs w:val="15"/>
              </w:rPr>
              <w:t xml:space="preserve">I07: medical device inventory, MDS2, passive IoMT monitoring</w:t>
            </w:r>
          </w:p>
          <w:p>
            <w:r>
              <w:rPr>
                <w:rFonts w:ascii="Arial" w:cs="Arial" w:eastAsia="Arial" w:hAnsi="Arial"/>
                <w:sz w:val="15"/>
                <w:szCs w:val="15"/>
              </w:rPr>
              <w:t xml:space="preserve">I13: integrity monitoring and reconciliation for medication, allergy, lab, billing</w:t>
            </w:r>
          </w:p>
          <w:p>
            <w:r>
              <w:rPr>
                <w:rFonts w:ascii="Arial" w:cs="Arial" w:eastAsia="Arial" w:hAnsi="Arial"/>
                <w:sz w:val="15"/>
                <w:szCs w:val="15"/>
              </w:rPr>
              <w:t xml:space="preserve">I09: DLP for health data</w:t>
            </w:r>
          </w:p>
        </w:tc>
        <w:tc>
          <w:tcPr>
            <w:tcW w:type="dxa" w:w="1499"/>
            <w:tcMar>
              <w:top w:type="dxa" w:w="50"/>
              <w:left w:type="dxa" w:w="80"/>
              <w:bottom w:type="dxa" w:w="50"/>
              <w:right w:type="dxa" w:w="80"/>
            </w:tcMar>
          </w:tcPr>
          <w:p>
            <w:r>
              <w:rPr>
                <w:rFonts w:ascii="Arial" w:cs="Arial" w:eastAsia="Arial" w:hAnsi="Arial"/>
                <w:sz w:val="15"/>
                <w:szCs w:val="15"/>
              </w:rPr>
              <w:t xml:space="preserve">S2, S3, S7, S10</w:t>
            </w:r>
          </w:p>
        </w:tc>
      </w:tr>
      <w:tr>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12-24 months</w:t>
            </w:r>
          </w:p>
          <w:p>
            <w:r>
              <w:rPr>
                <w:rFonts w:ascii="Arial" w:cs="Arial" w:eastAsia="Arial" w:hAnsi="Arial"/>
                <w:sz w:val="15"/>
                <w:szCs w:val="15"/>
              </w:rPr>
              <w:t xml:space="preserve">Strategic maturity</w:t>
            </w:r>
          </w:p>
        </w:tc>
        <w:tc>
          <w:tcPr>
            <w:tcW w:type="dxa" w:w="6364"/>
            <w:shd w:fill="F2F2F2" w:color="auto" w:val="clear"/>
            <w:tcMar>
              <w:top w:type="dxa" w:w="50"/>
              <w:left w:type="dxa" w:w="80"/>
              <w:bottom w:type="dxa" w:w="50"/>
              <w:right w:type="dxa" w:w="80"/>
            </w:tcMar>
          </w:tcPr>
          <w:p>
            <w:r>
              <w:rPr>
                <w:rFonts w:ascii="Arial" w:cs="Arial" w:eastAsia="Arial" w:hAnsi="Arial"/>
                <w:sz w:val="15"/>
                <w:szCs w:val="15"/>
              </w:rPr>
              <w:t xml:space="preserve">I06 complete: NAC in all clinics, east-west enforcement</w:t>
            </w:r>
          </w:p>
          <w:p>
            <w:r>
              <w:rPr>
                <w:rFonts w:ascii="Arial" w:cs="Arial" w:eastAsia="Arial" w:hAnsi="Arial"/>
                <w:sz w:val="15"/>
                <w:szCs w:val="15"/>
              </w:rPr>
              <w:t xml:space="preserve">Zero-trust remote access replacing network-level VPN</w:t>
            </w:r>
          </w:p>
          <w:p>
            <w:r>
              <w:rPr>
                <w:rFonts w:ascii="Arial" w:cs="Arial" w:eastAsia="Arial" w:hAnsi="Arial"/>
                <w:sz w:val="15"/>
                <w:szCs w:val="15"/>
              </w:rPr>
              <w:t xml:space="preserve">Full disaster-recovery exercise including clinical downtime</w:t>
            </w:r>
          </w:p>
          <w:p>
            <w:r>
              <w:rPr>
                <w:rFonts w:ascii="Arial" w:cs="Arial" w:eastAsia="Arial" w:hAnsi="Arial"/>
                <w:sz w:val="15"/>
                <w:szCs w:val="15"/>
              </w:rPr>
              <w:t xml:space="preserve">Independent reassessment against this baseline; audit of remediation; insurance renewal</w:t>
            </w:r>
          </w:p>
        </w:tc>
        <w:tc>
          <w:tcPr>
            <w:tcW w:type="dxa" w:w="1499"/>
            <w:shd w:fill="F2F2F2" w:color="auto" w:val="clear"/>
            <w:tcMar>
              <w:top w:type="dxa" w:w="50"/>
              <w:left w:type="dxa" w:w="80"/>
              <w:bottom w:type="dxa" w:w="50"/>
              <w:right w:type="dxa" w:w="80"/>
            </w:tcMar>
          </w:tcPr>
          <w:p>
            <w:r>
              <w:rPr>
                <w:rFonts w:ascii="Arial" w:cs="Arial" w:eastAsia="Arial" w:hAnsi="Arial"/>
                <w:sz w:val="15"/>
                <w:szCs w:val="15"/>
              </w:rPr>
              <w:t xml:space="preserve">S2, S6, S7, S9</w:t>
            </w:r>
          </w:p>
        </w:tc>
      </w:tr>
    </w:tbl>
    <w:p>
      <w:pPr>
        <w:pStyle w:val="Heading1"/>
        <w:pageBreakBefore/>
      </w:pPr>
      <w:r>
        <w:rPr>
          <w:rFonts w:ascii="Arial" w:cs="Arial" w:eastAsia="Arial" w:hAnsi="Arial"/>
        </w:rPr>
        <w:t xml:space="preserve">12.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13. Cross-check with the case escalation method</w:t>
      </w:r>
    </w:p>
    <w:p>
      <w:pPr>
        <w:spacing w:after="120"/>
      </w:pPr>
      <w:r>
        <w:rPr>
          <w:rFonts w:ascii="Arial" w:cs="Arial" w:eastAsia="Arial" w:hAnsi="Arial"/>
        </w:rPr>
        <w:t xml:space="preserve">The case (s.8) defines a simpler normalized score (T x E x I, adjusted for control maturity) with escalation thresholds: executive review above 0.25, Board acceptance above 0.40. Mapping T = Pb(A), E = Pb(psi,A), I = (de + dm)/2 and control maturity C = theta (an analyst mapping - validate)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CRG status (appetite 0.30)</w:t>
            </w:r>
          </w:p>
        </w:tc>
      </w:tr>
      <w:tr>
        <w:tc>
          <w:tcPr>
            <w:tcW w:type="dxa" w:w="748"/>
            <w:tcMar>
              <w:top w:type="dxa" w:w="50"/>
              <w:left w:type="dxa" w:w="80"/>
              <w:bottom w:type="dxa" w:w="50"/>
              <w:right w:type="dxa" w:w="80"/>
            </w:tcMar>
          </w:tcPr>
          <w:p>
            <w:r>
              <w:rPr>
                <w:rFonts w:ascii="Arial" w:cs="Arial" w:eastAsia="Arial" w:hAnsi="Arial"/>
                <w:sz w:val="15"/>
                <w:szCs w:val="15"/>
              </w:rPr>
              <w:t xml:space="preserve">S1</w:t>
            </w:r>
          </w:p>
        </w:tc>
        <w:tc>
          <w:tcPr>
            <w:tcW w:type="dxa" w:w="1497"/>
            <w:tcMar>
              <w:top w:type="dxa" w:w="50"/>
              <w:left w:type="dxa" w:w="80"/>
              <w:bottom w:type="dxa" w:w="50"/>
              <w:right w:type="dxa" w:w="80"/>
            </w:tcMar>
          </w:tcPr>
          <w:p>
            <w:r>
              <w:rPr>
                <w:rFonts w:ascii="Arial" w:cs="Arial" w:eastAsia="Arial" w:hAnsi="Arial"/>
                <w:sz w:val="15"/>
                <w:szCs w:val="15"/>
              </w:rPr>
              <w:t xml:space="preserve">0.196</w:t>
            </w:r>
          </w:p>
        </w:tc>
        <w:tc>
          <w:tcPr>
            <w:tcW w:type="dxa" w:w="1310"/>
            <w:tcMar>
              <w:top w:type="dxa" w:w="50"/>
              <w:left w:type="dxa" w:w="80"/>
              <w:bottom w:type="dxa" w:w="50"/>
              <w:right w:type="dxa" w:w="80"/>
            </w:tcMar>
          </w:tcPr>
          <w:p>
            <w:r>
              <w:rPr>
                <w:rFonts w:ascii="Arial" w:cs="Arial" w:eastAsia="Arial" w:hAnsi="Arial"/>
                <w:sz w:val="15"/>
                <w:szCs w:val="15"/>
              </w:rPr>
              <w:t xml:space="preserve">High</w:t>
            </w:r>
          </w:p>
        </w:tc>
        <w:tc>
          <w:tcPr>
            <w:tcW w:type="dxa" w:w="1684"/>
            <w:tcMar>
              <w:top w:type="dxa" w:w="50"/>
              <w:left w:type="dxa" w:w="80"/>
              <w:bottom w:type="dxa" w:w="50"/>
              <w:right w:type="dxa" w:w="80"/>
            </w:tcMar>
          </w:tcPr>
          <w:p>
            <w:r>
              <w:rPr>
                <w:rFonts w:ascii="Arial" w:cs="Arial" w:eastAsia="Arial" w:hAnsi="Arial"/>
                <w:sz w:val="15"/>
                <w:szCs w:val="15"/>
              </w:rPr>
              <w:t xml:space="preserve">0.079</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tcMar>
              <w:top w:type="dxa" w:w="50"/>
              <w:left w:type="dxa" w:w="80"/>
              <w:bottom w:type="dxa" w:w="50"/>
              <w:right w:type="dxa" w:w="80"/>
            </w:tcMar>
          </w:tcPr>
          <w:p>
            <w:r>
              <w:rPr>
                <w:rFonts w:ascii="Arial" w:cs="Arial" w:eastAsia="Arial" w:hAnsi="Arial"/>
                <w:sz w:val="15"/>
                <w:szCs w:val="15"/>
              </w:rPr>
              <w:t xml:space="preserve">S3</w:t>
            </w:r>
          </w:p>
        </w:tc>
        <w:tc>
          <w:tcPr>
            <w:tcW w:type="dxa" w:w="1497"/>
            <w:tcMar>
              <w:top w:type="dxa" w:w="50"/>
              <w:left w:type="dxa" w:w="80"/>
              <w:bottom w:type="dxa" w:w="50"/>
              <w:right w:type="dxa" w:w="80"/>
            </w:tcMar>
          </w:tcPr>
          <w:p>
            <w:r>
              <w:rPr>
                <w:rFonts w:ascii="Arial" w:cs="Arial" w:eastAsia="Arial" w:hAnsi="Arial"/>
                <w:sz w:val="15"/>
                <w:szCs w:val="15"/>
              </w:rPr>
              <w:t xml:space="preserve">0.134</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0.043</w:t>
            </w:r>
          </w:p>
        </w:tc>
        <w:tc>
          <w:tcPr>
            <w:tcW w:type="dxa" w:w="1310"/>
            <w:tcMar>
              <w:top w:type="dxa" w:w="50"/>
              <w:left w:type="dxa" w:w="80"/>
              <w:bottom w:type="dxa" w:w="50"/>
              <w:right w:type="dxa" w:w="80"/>
            </w:tcMar>
          </w:tcPr>
          <w:p>
            <w:r>
              <w:rPr>
                <w:rFonts w:ascii="Arial" w:cs="Arial" w:eastAsia="Arial" w:hAnsi="Arial"/>
                <w:sz w:val="15"/>
                <w:szCs w:val="15"/>
              </w:rPr>
              <w:t xml:space="preserve">Low</w:t>
            </w:r>
          </w:p>
        </w:tc>
        <w:tc>
          <w:tcPr>
            <w:tcW w:type="dxa" w:w="2811"/>
            <w:tcMar>
              <w:top w:type="dxa" w:w="50"/>
              <w:left w:type="dxa" w:w="80"/>
              <w:bottom w:type="dxa" w:w="50"/>
              <w:right w:type="dxa" w:w="80"/>
            </w:tcMar>
          </w:tcPr>
          <w:p>
            <w:r>
              <w:rPr>
                <w:rFonts w:ascii="Arial" w:cs="Arial" w:eastAsia="Arial" w:hAnsi="Arial"/>
                <w:sz w:val="15"/>
                <w:szCs w:val="15"/>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S5</w:t>
            </w:r>
          </w:p>
        </w:tc>
        <w:tc>
          <w:tcPr>
            <w:tcW w:type="dxa" w:w="1497"/>
            <w:tcMar>
              <w:top w:type="dxa" w:w="50"/>
              <w:left w:type="dxa" w:w="80"/>
              <w:bottom w:type="dxa" w:w="50"/>
              <w:right w:type="dxa" w:w="80"/>
            </w:tcMar>
          </w:tcPr>
          <w:p>
            <w:r>
              <w:rPr>
                <w:rFonts w:ascii="Arial" w:cs="Arial" w:eastAsia="Arial" w:hAnsi="Arial"/>
                <w:sz w:val="15"/>
                <w:szCs w:val="15"/>
              </w:rPr>
              <w:t xml:space="preserve">0.119</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0.072</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S7</w:t>
            </w:r>
          </w:p>
        </w:tc>
        <w:tc>
          <w:tcPr>
            <w:tcW w:type="dxa" w:w="1497"/>
            <w:tcMar>
              <w:top w:type="dxa" w:w="50"/>
              <w:left w:type="dxa" w:w="80"/>
              <w:bottom w:type="dxa" w:w="50"/>
              <w:right w:type="dxa" w:w="80"/>
            </w:tcMar>
          </w:tcPr>
          <w:p>
            <w:r>
              <w:rPr>
                <w:rFonts w:ascii="Arial" w:cs="Arial" w:eastAsia="Arial" w:hAnsi="Arial"/>
                <w:sz w:val="15"/>
                <w:szCs w:val="15"/>
              </w:rPr>
              <w:t xml:space="preserve">0.110</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0.064</w:t>
            </w:r>
          </w:p>
        </w:tc>
        <w:tc>
          <w:tcPr>
            <w:tcW w:type="dxa" w:w="1310"/>
            <w:tcMar>
              <w:top w:type="dxa" w:w="50"/>
              <w:left w:type="dxa" w:w="80"/>
              <w:bottom w:type="dxa" w:w="50"/>
              <w:right w:type="dxa" w:w="80"/>
            </w:tcMar>
          </w:tcPr>
          <w:p>
            <w:r>
              <w:rPr>
                <w:rFonts w:ascii="Arial" w:cs="Arial" w:eastAsia="Arial" w:hAnsi="Arial"/>
                <w:sz w:val="15"/>
                <w:szCs w:val="15"/>
              </w:rPr>
              <w:t xml:space="preserve">Low</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5"/>
                <w:szCs w:val="15"/>
              </w:rPr>
              <w:t xml:space="preserve">S9</w:t>
            </w:r>
          </w:p>
        </w:tc>
        <w:tc>
          <w:tcPr>
            <w:tcW w:type="dxa" w:w="1497"/>
            <w:tcMar>
              <w:top w:type="dxa" w:w="50"/>
              <w:left w:type="dxa" w:w="80"/>
              <w:bottom w:type="dxa" w:w="50"/>
              <w:right w:type="dxa" w:w="80"/>
            </w:tcMar>
          </w:tcPr>
          <w:p>
            <w:r>
              <w:rPr>
                <w:rFonts w:ascii="Arial" w:cs="Arial" w:eastAsia="Arial" w:hAnsi="Arial"/>
                <w:sz w:val="15"/>
                <w:szCs w:val="15"/>
              </w:rPr>
              <w:t xml:space="preserve">0.121</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1684"/>
            <w:tcMar>
              <w:top w:type="dxa" w:w="50"/>
              <w:left w:type="dxa" w:w="80"/>
              <w:bottom w:type="dxa" w:w="50"/>
              <w:right w:type="dxa" w:w="80"/>
            </w:tcMar>
          </w:tcPr>
          <w:p>
            <w:r>
              <w:rPr>
                <w:rFonts w:ascii="Arial" w:cs="Arial" w:eastAsia="Arial" w:hAnsi="Arial"/>
                <w:sz w:val="15"/>
                <w:szCs w:val="15"/>
              </w:rPr>
              <w:t xml:space="preserve">0.074</w:t>
            </w:r>
          </w:p>
        </w:tc>
        <w:tc>
          <w:tcPr>
            <w:tcW w:type="dxa" w:w="1310"/>
            <w:tcMar>
              <w:top w:type="dxa" w:w="50"/>
              <w:left w:type="dxa" w:w="80"/>
              <w:bottom w:type="dxa" w:w="50"/>
              <w:right w:type="dxa" w:w="80"/>
            </w:tcMar>
          </w:tcPr>
          <w:p>
            <w:r>
              <w:rPr>
                <w:rFonts w:ascii="Arial" w:cs="Arial" w:eastAsia="Arial" w:hAnsi="Arial"/>
                <w:sz w:val="15"/>
                <w:szCs w:val="15"/>
              </w:rPr>
              <w:t xml:space="preserve">Moderate</w:t>
            </w:r>
          </w:p>
        </w:tc>
        <w:tc>
          <w:tcPr>
            <w:tcW w:type="dxa" w:w="2811"/>
            <w:tcMar>
              <w:top w:type="dxa" w:w="50"/>
              <w:left w:type="dxa" w:w="80"/>
              <w:bottom w:type="dxa" w:w="50"/>
              <w:right w:type="dxa" w:w="80"/>
            </w:tcMar>
          </w:tcPr>
          <w:p>
            <w:r>
              <w:rPr>
                <w:rFonts w:ascii="Arial" w:cs="Arial" w:eastAsia="Arial" w:hAnsi="Arial"/>
                <w:sz w:val="15"/>
                <w:szCs w:val="15"/>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5"/>
                <w:szCs w:val="15"/>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5"/>
                <w:szCs w:val="15"/>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5"/>
                <w:szCs w:val="15"/>
              </w:rPr>
              <w:t xml:space="preserve">Above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S8 is Critical today and S1, S2, S6 are High; after treatment all fall to Moderate or Low and within CIO acceptance authority. The CyberRiskGuardian ratio is more demanding because it compares damage directly with appetite. The two lenses should be reconciled before they are used for governance. In any case, the patient-safety clause of the appetite statement means S7 and S10 require clinical-leadership acceptance whatever their score.</w:t>
      </w:r>
    </w:p>
    <w:p>
      <w:pPr>
        <w:pStyle w:val="Heading1"/>
        <w:pageBreakBefore/>
      </w:pPr>
      <w:r>
        <w:rPr>
          <w:rFonts w:ascii="Arial" w:cs="Arial" w:eastAsia="Arial" w:hAnsi="Arial"/>
        </w:rPr>
        <w:t xml:space="preserve">14.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closed PowerShell alert, MFA push approval, cloud download, service-account queries, backup failures) is treated as indicative of control weaknesses, not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vendor programme, DDoS protection) are assumed absent or immature.</w:t>
      </w:r>
    </w:p>
    <w:p>
      <w:pPr>
        <w:pStyle w:val="ListParagraph"/>
        <w:numPr>
          <w:ilvl w:val="0"/>
          <w:numId w:val="2"/>
        </w:numPr>
        <w:spacing w:after="60"/>
      </w:pPr>
      <w:r>
        <w:rPr>
          <w:rFonts w:ascii="Arial" w:cs="Arial" w:eastAsia="Arial" w:hAnsi="Arial"/>
        </w:rPr>
        <w:t xml:space="preserve">Push-based MFA is assumed to protect remote access; coverage of EHR, cloud and privileged accounts is unknown.</w:t>
      </w:r>
    </w:p>
    <w:p>
      <w:pPr>
        <w:pStyle w:val="ListParagraph"/>
        <w:numPr>
          <w:ilvl w:val="0"/>
          <w:numId w:val="2"/>
        </w:numPr>
        <w:spacing w:after="60"/>
      </w:pPr>
      <w:r>
        <w:rPr>
          <w:rFonts w:ascii="Arial" w:cs="Arial" w:eastAsia="Arial" w:hAnsi="Arial"/>
        </w:rPr>
        <w:t xml:space="preserve">Costs are Canadian mid-market indicative estimates for an organization of this size;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and medical-device inventories; network diagrams and segmentation; internet-facing services.</w:t>
      </w:r>
    </w:p>
    <w:p>
      <w:pPr>
        <w:pStyle w:val="ListParagraph"/>
        <w:numPr>
          <w:ilvl w:val="0"/>
          <w:numId w:val="2"/>
        </w:numPr>
        <w:spacing w:after="60"/>
      </w:pPr>
      <w:r>
        <w:rPr>
          <w:rFonts w:ascii="Arial" w:cs="Arial" w:eastAsia="Arial" w:hAnsi="Arial"/>
        </w:rPr>
        <w:t xml:space="preserve">Identity architecture: MFA coverage and method, privileged and service accounts, conditional access.</w:t>
      </w:r>
    </w:p>
    <w:p>
      <w:pPr>
        <w:pStyle w:val="ListParagraph"/>
        <w:numPr>
          <w:ilvl w:val="0"/>
          <w:numId w:val="2"/>
        </w:numPr>
        <w:spacing w:after="60"/>
      </w:pPr>
      <w:r>
        <w:rPr>
          <w:rFonts w:ascii="Arial" w:cs="Arial" w:eastAsia="Arial" w:hAnsi="Arial"/>
        </w:rPr>
        <w:t xml:space="preserve">Backup architecture, retention, immutability, RTO/RPO and restore-test results.</w:t>
      </w:r>
    </w:p>
    <w:p>
      <w:pPr>
        <w:pStyle w:val="ListParagraph"/>
        <w:numPr>
          <w:ilvl w:val="0"/>
          <w:numId w:val="2"/>
        </w:numPr>
        <w:spacing w:after="60"/>
      </w:pPr>
      <w:r>
        <w:rPr>
          <w:rFonts w:ascii="Arial" w:cs="Arial" w:eastAsia="Arial" w:hAnsi="Arial"/>
        </w:rPr>
        <w:t xml:space="preserve">Cloud tenant configuration, sharing practices and logging.</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list, contracts, remote-access methods and assurance reports.</w:t>
      </w:r>
    </w:p>
    <w:p>
      <w:pPr>
        <w:pStyle w:val="ListParagraph"/>
        <w:numPr>
          <w:ilvl w:val="0"/>
          <w:numId w:val="2"/>
        </w:numPr>
        <w:spacing w:after="60"/>
      </w:pPr>
      <w:r>
        <w:rPr>
          <w:rFonts w:ascii="Arial" w:cs="Arial" w:eastAsia="Arial" w:hAnsi="Arial"/>
        </w:rPr>
        <w:t xml:space="preserve">Incident history since 2020 and how attempts were detected; log retention.</w:t>
      </w:r>
    </w:p>
    <w:p>
      <w:pPr>
        <w:pStyle w:val="ListParagraph"/>
        <w:numPr>
          <w:ilvl w:val="0"/>
          <w:numId w:val="2"/>
        </w:numPr>
        <w:spacing w:after="60"/>
      </w:pPr>
      <w:r>
        <w:rPr>
          <w:rFonts w:ascii="Arial" w:cs="Arial" w:eastAsia="Arial" w:hAnsi="Arial"/>
        </w:rPr>
        <w:t xml:space="preserve">Cybersecurity budget (the stated CAD 100M IT budget appears inconsistent with a 15-person IT team) and cyber-insurance coverage.</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out. They drive the magnitude used for ranking, but a rare scenario and a frequent one with the same damage and treatment receive the same tolerance verdict.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For S5, S8 and S9 a representative weakness was scored so the workbook produces a value; these scores are flagged as limited applicability and must not be read as the severity of insider, detection or supplier risk.</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so 80% probability and 80% impact reduction remove 64% of risk - a conservative convention that makes 'below tolerance' hard to reach for high-damage scenarios.</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13). Governance thresholds should be tied to one method.</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Results are initial analytical hypotheses to be validated with IT, cybersecurity, privacy, clinical leadership and vendors.</w:t>
      </w:r>
    </w:p>
    <w:p>
      <w:pPr>
        <w:pStyle w:val="Heading1"/>
        <w:pageBreakBefore/>
      </w:pPr>
      <w:r>
        <w:rPr>
          <w:rFonts w:ascii="Arial" w:cs="Arial" w:eastAsia="Arial" w:hAnsi="Arial"/>
        </w:rPr>
        <w:t xml:space="preserve">15.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Authority</w:t>
            </w:r>
          </w:p>
        </w:tc>
      </w:tr>
      <w:tr>
        <w:tc>
          <w:tcPr>
            <w:tcW w:type="dxa" w:w="374"/>
            <w:tcMar>
              <w:top w:type="dxa" w:w="50"/>
              <w:left w:type="dxa" w:w="80"/>
              <w:bottom w:type="dxa" w:w="50"/>
              <w:right w:type="dxa" w:w="80"/>
            </w:tcMar>
          </w:tcPr>
          <w:p>
            <w:r>
              <w:rPr>
                <w:rFonts w:ascii="Arial" w:cs="Arial" w:eastAsia="Arial" w:hAnsi="Arial"/>
                <w:sz w:val="15"/>
                <w:szCs w:val="15"/>
              </w:rPr>
              <w:t xml:space="preserve">D1</w:t>
            </w:r>
          </w:p>
        </w:tc>
        <w:tc>
          <w:tcPr>
            <w:tcW w:type="dxa" w:w="1872"/>
            <w:tcMar>
              <w:top w:type="dxa" w:w="50"/>
              <w:left w:type="dxa" w:w="80"/>
              <w:bottom w:type="dxa" w:w="50"/>
              <w:right w:type="dxa" w:w="80"/>
            </w:tcMar>
          </w:tcPr>
          <w:p>
            <w:r>
              <w:rPr>
                <w:rFonts w:ascii="Arial" w:cs="Arial" w:eastAsia="Arial" w:hAnsi="Arial"/>
                <w:sz w:val="15"/>
                <w:szCs w:val="15"/>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5"/>
                <w:szCs w:val="15"/>
              </w:rPr>
              <w:t xml:space="preserve">0.30 (analyst) / 0.40 (case) / other</w:t>
            </w:r>
          </w:p>
        </w:tc>
        <w:tc>
          <w:tcPr>
            <w:tcW w:type="dxa" w:w="3369"/>
            <w:tcMar>
              <w:top w:type="dxa" w:w="50"/>
              <w:left w:type="dxa" w:w="80"/>
              <w:bottom w:type="dxa" w:w="50"/>
              <w:right w:type="dxa" w:w="80"/>
            </w:tcMar>
          </w:tcPr>
          <w:p>
            <w:r>
              <w:rPr>
                <w:rFonts w:ascii="Arial" w:cs="Arial" w:eastAsia="Arial" w:hAnsi="Arial"/>
                <w:sz w:val="15"/>
                <w:szCs w:val="15"/>
              </w:rPr>
              <w:t xml:space="preserve">Adopt 0.30 for patient-safety and health-data risks; document separately any higher appetite for innovation</w:t>
            </w:r>
          </w:p>
        </w:tc>
        <w:tc>
          <w:tcPr>
            <w:tcW w:type="dxa" w:w="1873"/>
            <w:tcMar>
              <w:top w:type="dxa" w:w="50"/>
              <w:left w:type="dxa" w:w="80"/>
              <w:bottom w:type="dxa" w:w="50"/>
              <w:right w:type="dxa" w:w="80"/>
            </w:tcMar>
          </w:tcPr>
          <w:p>
            <w:r>
              <w:rPr>
                <w:rFonts w:ascii="Arial" w:cs="Arial" w:eastAsia="Arial" w:hAnsi="Arial"/>
                <w:sz w:val="15"/>
                <w:szCs w:val="15"/>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Full ($3,866,000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5"/>
                <w:szCs w:val="15"/>
              </w:rPr>
              <w:t xml:space="preserve">D3</w:t>
            </w:r>
          </w:p>
        </w:tc>
        <w:tc>
          <w:tcPr>
            <w:tcW w:type="dxa" w:w="1872"/>
            <w:tcMar>
              <w:top w:type="dxa" w:w="50"/>
              <w:left w:type="dxa" w:w="80"/>
              <w:bottom w:type="dxa" w:w="50"/>
              <w:right w:type="dxa" w:w="80"/>
            </w:tcMar>
          </w:tcPr>
          <w:p>
            <w:r>
              <w:rPr>
                <w:rFonts w:ascii="Arial" w:cs="Arial" w:eastAsia="Arial" w:hAnsi="Arial"/>
                <w:sz w:val="15"/>
                <w:szCs w:val="15"/>
              </w:rPr>
              <w:t xml:space="preserve">Residual risk above tolerance (S2, S5, S7, S9, S10)</w:t>
            </w:r>
          </w:p>
        </w:tc>
        <w:tc>
          <w:tcPr>
            <w:tcW w:type="dxa" w:w="1872"/>
            <w:tcMar>
              <w:top w:type="dxa" w:w="50"/>
              <w:left w:type="dxa" w:w="80"/>
              <w:bottom w:type="dxa" w:w="50"/>
              <w:right w:type="dxa" w:w="80"/>
            </w:tcMar>
          </w:tcPr>
          <w:p>
            <w:r>
              <w:rPr>
                <w:rFonts w:ascii="Arial" w:cs="Arial" w:eastAsia="Arial" w:hAnsi="Arial"/>
                <w:sz w:val="15"/>
                <w:szCs w:val="15"/>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5"/>
                <w:szCs w:val="15"/>
              </w:rPr>
              <w:t xml:space="preserve">Formal acceptance with review in 6 months; transfer part of S2 and S9 via insurance and contracts</w:t>
            </w:r>
          </w:p>
        </w:tc>
        <w:tc>
          <w:tcPr>
            <w:tcW w:type="dxa" w:w="1873"/>
            <w:tcMar>
              <w:top w:type="dxa" w:w="50"/>
              <w:left w:type="dxa" w:w="80"/>
              <w:bottom w:type="dxa" w:w="50"/>
              <w:right w:type="dxa" w:w="80"/>
            </w:tcMar>
          </w:tcPr>
          <w:p>
            <w:r>
              <w:rPr>
                <w:rFonts w:ascii="Arial" w:cs="Arial" w:eastAsia="Arial" w:hAnsi="Arial"/>
                <w:sz w:val="15"/>
                <w:szCs w:val="15"/>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Patient-safety residual (S7, S10)</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Accept with compensating controls / restrict device connectivity</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CMO sign-off on compensating controls and clinical downtime procedures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5"/>
                <w:szCs w:val="15"/>
              </w:rPr>
              <w:t xml:space="preserve">D5</w:t>
            </w:r>
          </w:p>
        </w:tc>
        <w:tc>
          <w:tcPr>
            <w:tcW w:type="dxa" w:w="1872"/>
            <w:tcMar>
              <w:top w:type="dxa" w:w="50"/>
              <w:left w:type="dxa" w:w="80"/>
              <w:bottom w:type="dxa" w:w="50"/>
              <w:right w:type="dxa" w:w="80"/>
            </w:tcMar>
          </w:tcPr>
          <w:p>
            <w:r>
              <w:rPr>
                <w:rFonts w:ascii="Arial" w:cs="Arial" w:eastAsia="Arial" w:hAnsi="Arial"/>
                <w:sz w:val="15"/>
                <w:szCs w:val="15"/>
              </w:rPr>
              <w:t xml:space="preserve">Staffing</w:t>
            </w:r>
          </w:p>
        </w:tc>
        <w:tc>
          <w:tcPr>
            <w:tcW w:type="dxa" w:w="1872"/>
            <w:tcMar>
              <w:top w:type="dxa" w:w="50"/>
              <w:left w:type="dxa" w:w="80"/>
              <w:bottom w:type="dxa" w:w="50"/>
              <w:right w:type="dxa" w:w="80"/>
            </w:tcMar>
          </w:tcPr>
          <w:p>
            <w:r>
              <w:rPr>
                <w:rFonts w:ascii="Arial" w:cs="Arial" w:eastAsia="Arial" w:hAnsi="Arial"/>
                <w:sz w:val="15"/>
                <w:szCs w:val="15"/>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5"/>
                <w:szCs w:val="15"/>
              </w:rPr>
              <w:t xml:space="preserve">+1 vulnerability FTE (costed) and MDR; assess IAM/PAM engineer</w:t>
            </w:r>
          </w:p>
        </w:tc>
        <w:tc>
          <w:tcPr>
            <w:tcW w:type="dxa" w:w="1873"/>
            <w:tcMar>
              <w:top w:type="dxa" w:w="50"/>
              <w:left w:type="dxa" w:w="80"/>
              <w:bottom w:type="dxa" w:w="50"/>
              <w:right w:type="dxa" w:w="80"/>
            </w:tcMar>
          </w:tcPr>
          <w:p>
            <w:r>
              <w:rPr>
                <w:rFonts w:ascii="Arial" w:cs="Arial" w:eastAsia="Arial" w:hAnsi="Arial"/>
                <w:sz w:val="15"/>
                <w:szCs w:val="15"/>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Obtain broker review aligned with S2 and S9 residuals</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CFO</w:t>
            </w:r>
          </w:p>
        </w:tc>
      </w:tr>
      <w:tr>
        <w:tc>
          <w:tcPr>
            <w:tcW w:type="dxa" w:w="374"/>
            <w:tcMar>
              <w:top w:type="dxa" w:w="50"/>
              <w:left w:type="dxa" w:w="80"/>
              <w:bottom w:type="dxa" w:w="50"/>
              <w:right w:type="dxa" w:w="80"/>
            </w:tcMar>
          </w:tcPr>
          <w:p>
            <w:r>
              <w:rPr>
                <w:rFonts w:ascii="Arial" w:cs="Arial" w:eastAsia="Arial" w:hAnsi="Arial"/>
                <w:sz w:val="15"/>
                <w:szCs w:val="15"/>
              </w:rPr>
              <w:t xml:space="preserve">D7</w:t>
            </w:r>
          </w:p>
        </w:tc>
        <w:tc>
          <w:tcPr>
            <w:tcW w:type="dxa" w:w="1872"/>
            <w:tcMar>
              <w:top w:type="dxa" w:w="50"/>
              <w:left w:type="dxa" w:w="80"/>
              <w:bottom w:type="dxa" w:w="50"/>
              <w:right w:type="dxa" w:w="80"/>
            </w:tcMar>
          </w:tcPr>
          <w:p>
            <w:r>
              <w:rPr>
                <w:rFonts w:ascii="Arial" w:cs="Arial" w:eastAsia="Arial" w:hAnsi="Arial"/>
                <w:sz w:val="15"/>
                <w:szCs w:val="15"/>
              </w:rPr>
              <w:t xml:space="preserve">Validate estimates and close evidence gaps</w:t>
            </w:r>
          </w:p>
        </w:tc>
        <w:tc>
          <w:tcPr>
            <w:tcW w:type="dxa" w:w="1872"/>
            <w:tcMar>
              <w:top w:type="dxa" w:w="50"/>
              <w:left w:type="dxa" w:w="80"/>
              <w:bottom w:type="dxa" w:w="50"/>
              <w:right w:type="dxa" w:w="80"/>
            </w:tcMar>
          </w:tcPr>
          <w:p>
            <w:r>
              <w:rPr>
                <w:rFonts w:ascii="Arial" w:cs="Arial" w:eastAsia="Arial" w:hAnsi="Arial"/>
                <w:sz w:val="15"/>
                <w:szCs w:val="15"/>
              </w:rPr>
              <w:t xml:space="preserve">-</w:t>
            </w:r>
          </w:p>
        </w:tc>
        <w:tc>
          <w:tcPr>
            <w:tcW w:type="dxa" w:w="3369"/>
            <w:tcMar>
              <w:top w:type="dxa" w:w="50"/>
              <w:left w:type="dxa" w:w="80"/>
              <w:bottom w:type="dxa" w:w="50"/>
              <w:right w:type="dxa" w:w="80"/>
            </w:tcMar>
          </w:tcPr>
          <w:p>
            <w:r>
              <w:rPr>
                <w:rFonts w:ascii="Arial" w:cs="Arial" w:eastAsia="Arial" w:hAnsi="Arial"/>
                <w:sz w:val="15"/>
                <w:szCs w:val="15"/>
              </w:rPr>
              <w:t xml:space="preserve">SME workshop within 60 days; re-run workbook</w:t>
            </w:r>
          </w:p>
        </w:tc>
        <w:tc>
          <w:tcPr>
            <w:tcW w:type="dxa" w:w="1873"/>
            <w:tcMar>
              <w:top w:type="dxa" w:w="50"/>
              <w:left w:type="dxa" w:w="80"/>
              <w:bottom w:type="dxa" w:w="50"/>
              <w:right w:type="dxa" w:w="80"/>
            </w:tcMar>
          </w:tcPr>
          <w:p>
            <w:r>
              <w:rPr>
                <w:rFonts w:ascii="Arial" w:cs="Arial" w:eastAsia="Arial" w:hAnsi="Arial"/>
                <w:sz w:val="15"/>
                <w:szCs w:val="15"/>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5"/>
                <w:szCs w:val="15"/>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5"/>
                <w:szCs w:val="15"/>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5"/>
                <w:szCs w:val="15"/>
              </w:rPr>
              <w:t xml:space="preserve">Confirm owners proposed in Section 7</w:t>
            </w:r>
          </w:p>
        </w:tc>
        <w:tc>
          <w:tcPr>
            <w:tcW w:type="dxa" w:w="1873"/>
            <w:shd w:fill="F2F2F2" w:color="auto" w:val="clear"/>
            <w:tcMar>
              <w:top w:type="dxa" w:w="50"/>
              <w:left w:type="dxa" w:w="80"/>
              <w:bottom w:type="dxa" w:w="50"/>
              <w:right w:type="dxa" w:w="80"/>
            </w:tcMar>
          </w:tcPr>
          <w:p>
            <w:r>
              <w:rPr>
                <w:rFonts w:ascii="Arial" w:cs="Arial" w:eastAsia="Arial" w:hAnsi="Arial"/>
                <w:sz w:val="15"/>
                <w:szCs w:val="15"/>
              </w:rPr>
              <w:t xml:space="preserve">Executive leadership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2026-10-23T16:25:17.858Z</dcterms:created>
  <dcterms:modified xsi:type="dcterms:W3CDTF">2026-10-23T16:25:17.859Z</dcterms:modified>
</cp:coreProperties>
</file>

<file path=docProps/custom.xml><?xml version="1.0" encoding="utf-8"?>
<Properties xmlns="http://schemas.openxmlformats.org/officeDocument/2006/custom-properties" xmlns:vt="http://schemas.openxmlformats.org/officeDocument/2006/docPropsVTypes"/>
</file>