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D1D1D"/>
          <w:sz w:val="36"/>
          <w:szCs w:val="36"/>
        </w:rPr>
        <w:t xml:space="preserve">Datenschutzhinweise für unsere Social-Media-Auftritte</w:t>
      </w:r>
    </w:p>
    <w:p>
      <w:pPr>
        <w:spacing w:after="140" w:line="300"/>
      </w:pPr>
      <w:r>
        <w:rPr>
          <w:rFonts w:ascii="Arial" w:cs="Arial" w:eastAsia="Arial" w:hAnsi="Arial"/>
          <w:color w:val="6B6F73"/>
          <w:sz w:val="19"/>
          <w:szCs w:val="19"/>
        </w:rPr>
        <w:t xml:space="preserve">Stand: 23. Oktober 2026</w:t>
      </w:r>
    </w:p>
    <w:p>
      <w:pPr>
        <w:spacing w:after="140" w:line="300"/>
      </w:pPr>
      <w:r>
        <w:rPr>
          <w:rFonts w:ascii="Arial" w:cs="Arial" w:eastAsia="Arial" w:hAnsi="Arial"/>
          <w:sz w:val="21"/>
          <w:szCs w:val="21"/>
        </w:rPr>
        <w:t xml:space="preserve">Auf dieser Seite informieren wir Sie, wie wir personenbezogene Daten verarbeiten, wenn Sie unsere Auftritte bei Facebook und Instagram besuchen oder dort mit uns in Kontakt treten. Die Hinweise sind nach Plattform gegliedert; was für beide gilt, steht im letzten Abschnitt.</w:t>
      </w:r>
    </w:p>
    <w:p>
      <w:pPr>
        <w:pStyle w:val="Heading3"/>
        <w:keepNext/>
        <w:spacing w:after="100" w:before="260"/>
      </w:pPr>
      <w:r>
        <w:rPr>
          <w:rFonts w:ascii="Arial" w:cs="Arial" w:eastAsia="Arial" w:hAnsi="Arial"/>
          <w:b/>
          <w:bCs/>
          <w:color w:val="008C45"/>
          <w:sz w:val="23"/>
          <w:szCs w:val="23"/>
        </w:rPr>
        <w:t xml:space="preserve">Verantwortlicher</w:t>
      </w:r>
    </w:p>
    <w:p>
      <w:pPr>
        <w:spacing w:after="140" w:line="300"/>
      </w:pPr>
      <w:r>
        <w:rPr>
          <w:rFonts w:ascii="Arial" w:cs="Arial" w:eastAsia="Arial" w:hAnsi="Arial"/>
          <w:sz w:val="21"/>
          <w:szCs w:val="21"/>
        </w:rPr>
        <w:t xml:space="preserve">ITs Hein GmbH</w:t>
      </w:r>
      <w:r>
        <w:rPr>
          <w:rFonts w:ascii="Arial" w:cs="Arial" w:eastAsia="Arial" w:hAnsi="Arial"/>
          <w:sz w:val="21"/>
          <w:szCs w:val="21"/>
        </w:rPr>
        <w:br/>
        <w:t xml:space="preserve">Kulmbacher Str. 27b</w:t>
      </w:r>
      <w:r>
        <w:rPr>
          <w:rFonts w:ascii="Arial" w:cs="Arial" w:eastAsia="Arial" w:hAnsi="Arial"/>
          <w:sz w:val="21"/>
          <w:szCs w:val="21"/>
        </w:rPr>
        <w:br/>
        <w:t xml:space="preserve">95460 Bad Berneck</w:t>
      </w:r>
      <w:r>
        <w:rPr>
          <w:rFonts w:ascii="Arial" w:cs="Arial" w:eastAsia="Arial" w:hAnsi="Arial"/>
          <w:sz w:val="21"/>
          <w:szCs w:val="21"/>
        </w:rPr>
        <w:br/>
        <w:t xml:space="preserve">Telefon: +49 9273 501 390</w:t>
      </w:r>
      <w:r>
        <w:rPr>
          <w:rFonts w:ascii="Arial" w:cs="Arial" w:eastAsia="Arial" w:hAnsi="Arial"/>
          <w:sz w:val="21"/>
          <w:szCs w:val="21"/>
        </w:rPr>
        <w:br/>
        <w:t xml:space="preserve">E-Mail: info@itshein.de</w:t>
      </w:r>
    </w:p>
    <w:p>
      <w:pPr>
        <w:spacing w:after="140" w:line="300"/>
      </w:pPr>
      <w:r>
        <w:rPr>
          <w:rFonts w:ascii="Arial" w:cs="Arial" w:eastAsia="Arial" w:hAnsi="Arial"/>
          <w:sz w:val="21"/>
          <w:szCs w:val="21"/>
        </w:rPr>
        <w:t xml:space="preserve">Bei Fragen zum Datenschutz erreichen Sie uns per E-Mail oder per Post an die oben genannte Anschrift mit dem Zusatz „Datenschutz“.</w:t>
      </w:r>
    </w:p>
    <w:p>
      <w:pPr>
        <w:pStyle w:val="Heading2"/>
        <w:keepNext/>
        <w:pBdr>
          <w:top w:val="single" w:color="C4D92D" w:sz="18" w:space="6"/>
        </w:pBdr>
        <w:spacing w:after="160" w:before="420"/>
      </w:pPr>
      <w:r>
        <w:rPr>
          <w:rFonts w:ascii="Arial" w:cs="Arial" w:eastAsia="Arial" w:hAnsi="Arial"/>
          <w:b/>
          <w:bCs/>
          <w:color w:val="1D1D1D"/>
          <w:sz w:val="30"/>
          <w:szCs w:val="30"/>
        </w:rPr>
        <w:t xml:space="preserve">Facebook</w:t>
      </w:r>
    </w:p>
    <w:p>
      <w:pPr>
        <w:spacing w:after="140" w:line="300"/>
      </w:pPr>
      <w:r>
        <w:rPr>
          <w:rFonts w:ascii="Arial" w:cs="Arial" w:eastAsia="Arial" w:hAnsi="Arial"/>
          <w:sz w:val="21"/>
          <w:szCs w:val="21"/>
        </w:rPr>
        <w:t xml:space="preserve">Unsere Facebook-Seite: facebook.com/itshein</w:t>
      </w:r>
    </w:p>
    <w:p>
      <w:pPr>
        <w:pStyle w:val="Heading3"/>
        <w:keepNext/>
        <w:spacing w:after="100" w:before="260"/>
      </w:pPr>
      <w:r>
        <w:rPr>
          <w:rFonts w:ascii="Arial" w:cs="Arial" w:eastAsia="Arial" w:hAnsi="Arial"/>
          <w:b/>
          <w:bCs/>
          <w:color w:val="008C45"/>
          <w:sz w:val="23"/>
          <w:szCs w:val="23"/>
        </w:rPr>
        <w:t xml:space="preserve">Gemeinsame Verantwortlichkeit mit Meta</w:t>
      </w:r>
    </w:p>
    <w:p>
      <w:pPr>
        <w:spacing w:after="140" w:line="300"/>
      </w:pPr>
      <w:r>
        <w:rPr>
          <w:rFonts w:ascii="Arial" w:cs="Arial" w:eastAsia="Arial" w:hAnsi="Arial"/>
          <w:sz w:val="21"/>
          <w:szCs w:val="21"/>
        </w:rPr>
        <w:t xml:space="preserve">Facebook wird von der Meta Platforms Ireland Limited, Merrion Road, Dublin 4, D04 X2K5, Irland („Meta“) betrieben. Für die Statistiken über unsere Seite („Seiten-Insights“) sind wir und Meta gemeinsam verantwortlich (Art. 26 DSGVO; EuGH, Urteil vom 05.06.2018, C-210/16).</w:t>
      </w:r>
    </w:p>
    <w:p>
      <w:pPr>
        <w:spacing w:after="140" w:line="300"/>
      </w:pPr>
      <w:r>
        <w:rPr>
          <w:rFonts w:ascii="Arial" w:cs="Arial" w:eastAsia="Arial" w:hAnsi="Arial"/>
          <w:sz w:val="21"/>
          <w:szCs w:val="21"/>
        </w:rPr>
        <w:t xml:space="preserve">Die Einzelheiten regelt die Vereinbarung von Meta zu Insights (Page Insights Controller Addendum). Danach übernimmt Meta die primäre Verantwortung für die Verarbeitung der Insights-Daten, für die Informationspflichten und für die Bearbeitung von Betroffenenanfragen. Wir erhalten nur zusammengefasste, nicht personenbezogene Statistiken, etwa Reichweite, Aufrufe und Interaktionen sowie grobe demografische Angaben wie Altersgruppe oder Region.</w:t>
      </w:r>
    </w:p>
    <w:p>
      <w:pPr>
        <w:spacing w:after="140" w:line="300"/>
      </w:pPr>
      <w:r>
        <w:rPr>
          <w:rFonts w:ascii="Arial" w:cs="Arial" w:eastAsia="Arial" w:hAnsi="Arial"/>
          <w:sz w:val="21"/>
          <w:szCs w:val="21"/>
        </w:rPr>
        <w:t xml:space="preserve">Alle übrigen Verarbeitungen bei der Nutzung von Facebook, insbesondere das Setzen von Cookies, die Profilbildung und die Werbung, verantwortet Meta allein. Darauf haben wir keinen Einfluss. Informationen dazu finden Sie in der Datenschutzrichtlinie von Meta.</w:t>
      </w:r>
    </w:p>
    <w:p>
      <w:pPr>
        <w:pStyle w:val="Heading3"/>
        <w:keepNext/>
        <w:spacing w:after="100" w:before="260"/>
      </w:pPr>
      <w:r>
        <w:rPr>
          <w:rFonts w:ascii="Arial" w:cs="Arial" w:eastAsia="Arial" w:hAnsi="Arial"/>
          <w:b/>
          <w:bCs/>
          <w:color w:val="008C45"/>
          <w:sz w:val="23"/>
          <w:szCs w:val="23"/>
        </w:rPr>
        <w:t xml:space="preserve">Welche Daten wir verarbeiten und warum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Was</w:t>
            </w:r>
          </w:p>
        </w:tc>
        <w:tc>
          <w:tcPr>
            <w:tcW w:type="dxa" w:w="2600"/>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Wozu</w:t>
            </w:r>
          </w:p>
        </w:tc>
        <w:tc>
          <w:tcPr>
            <w:tcW w:type="dxa" w:w="3426"/>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Rechtsgrundlage</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Ihr öffentlicher Name und Ihr Profilbild, wenn Sie unsere Seite abonnieren, liken, kommentieren oder auf Beiträge reagieren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Darstellung und Pflege unserer Seite, Antworten auf Kommentare</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f DSGVO: berechtigtes Interesse an zeitgemäßer Öffentlichkeitsarbeit und Kommunikation</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Bewertungen und Empfehlungen, die Sie auf unserer Seite abgeben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Antwort auf Ihre Bewertung, Verbesserung unseres Angebots</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f DSGVO</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Inhalte Ihrer Nachrichten über den Messenger</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Beantwortung Ihrer Anfragen</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b DSGVO, soweit Ihre Anfrage auf einen Vertrag zielt; sonst Art. 6 Abs. 1 lit. f DSGVO</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Zusammengefasste Statistiken (Seiten-Insights), z. B. Reichweite, Seitenaufrufe, Interaktionen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Auswertung, welche Inhalte ankommen, und Verbesserung unseres Angebots</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f DSGVO: berechtigtes Interesse an der Optimierung unserer Öffentlichkeitsarbeit</w:t>
            </w:r>
          </w:p>
        </w:tc>
      </w:tr>
    </w:tbl>
    <w:p>
      <w:pPr>
        <w:pStyle w:val="Heading3"/>
        <w:keepNext/>
        <w:spacing w:after="100" w:before="260"/>
      </w:pPr>
      <w:r>
        <w:rPr>
          <w:rFonts w:ascii="Arial" w:cs="Arial" w:eastAsia="Arial" w:hAnsi="Arial"/>
          <w:b/>
          <w:bCs/>
          <w:color w:val="008C45"/>
          <w:sz w:val="23"/>
          <w:szCs w:val="23"/>
        </w:rPr>
        <w:t xml:space="preserve">Speicherdauer</w:t>
      </w:r>
    </w:p>
    <w:p>
      <w:pPr>
        <w:pStyle w:val="ListParagraph"/>
        <w:numPr>
          <w:ilvl w:val="0"/>
          <w:numId w:val="2"/>
        </w:numPr>
        <w:spacing w:after="80" w:line="300"/>
      </w:pPr>
      <w:r>
        <w:rPr>
          <w:rFonts w:ascii="Arial" w:cs="Arial" w:eastAsia="Arial" w:hAnsi="Arial"/>
          <w:b/>
          <w:bCs/>
          <w:sz w:val="21"/>
          <w:szCs w:val="21"/>
        </w:rPr>
        <w:t xml:space="preserve">Kommentare, Reaktionen und Bewertungen </w:t>
      </w:r>
      <w:r>
        <w:rPr>
          <w:rFonts w:ascii="Arial" w:cs="Arial" w:eastAsia="Arial" w:hAnsi="Arial"/>
          <w:sz w:val="21"/>
          <w:szCs w:val="21"/>
        </w:rPr>
        <w:t xml:space="preserve">bleiben sichtbar, bis Sie sie selbst löschen oder wir sie entfernen. Wir entfernen Beiträge, die rechtswidrig sind oder Daten Dritter enthalten.</w:t>
      </w:r>
    </w:p>
    <w:p>
      <w:pPr>
        <w:pStyle w:val="ListParagraph"/>
        <w:numPr>
          <w:ilvl w:val="0"/>
          <w:numId w:val="2"/>
        </w:numPr>
        <w:spacing w:after="80" w:line="300"/>
      </w:pPr>
      <w:r>
        <w:rPr>
          <w:rFonts w:ascii="Arial" w:cs="Arial" w:eastAsia="Arial" w:hAnsi="Arial"/>
          <w:b/>
          <w:bCs/>
          <w:sz w:val="21"/>
          <w:szCs w:val="21"/>
        </w:rPr>
        <w:t xml:space="preserve">Messenger-Nachrichten </w:t>
      </w:r>
      <w:r>
        <w:rPr>
          <w:rFonts w:ascii="Arial" w:cs="Arial" w:eastAsia="Arial" w:hAnsi="Arial"/>
          <w:sz w:val="21"/>
          <w:szCs w:val="21"/>
        </w:rPr>
        <w:t xml:space="preserve">löschen wir, sobald Ihre Anfrage erledigt ist. Ausgenommen sind Inhalte, die wir wegen gesetzlicher Aufbewahrungspflichten länger speichern müssen, etwa bei einem Vertragsschluss.</w:t>
      </w:r>
    </w:p>
    <w:p>
      <w:pPr>
        <w:pStyle w:val="ListParagraph"/>
        <w:numPr>
          <w:ilvl w:val="0"/>
          <w:numId w:val="2"/>
        </w:numPr>
        <w:spacing w:after="80" w:line="300"/>
      </w:pPr>
      <w:r>
        <w:rPr>
          <w:rFonts w:ascii="Arial" w:cs="Arial" w:eastAsia="Arial" w:hAnsi="Arial"/>
          <w:b/>
          <w:bCs/>
          <w:sz w:val="21"/>
          <w:szCs w:val="21"/>
        </w:rPr>
        <w:t xml:space="preserve">Statistiken </w:t>
      </w:r>
      <w:r>
        <w:rPr>
          <w:rFonts w:ascii="Arial" w:cs="Arial" w:eastAsia="Arial" w:hAnsi="Arial"/>
          <w:sz w:val="21"/>
          <w:szCs w:val="21"/>
        </w:rPr>
        <w:t xml:space="preserve">speichert Meta; wir erhalten sie nur in zusammengefasster Form. Wie lange Meta Daten speichert, legt Meta fest.</w:t>
      </w:r>
    </w:p>
    <w:p>
      <w:pPr>
        <w:pBdr>
          <w:left w:val="single" w:color="C4D92D" w:sz="24" w:space="8"/>
        </w:pBdr>
        <w:shd w:fill="F2F5E3" w:color="auto" w:val="clear"/>
        <w:spacing w:after="160" w:before="120"/>
      </w:pPr>
      <w:r>
        <w:rPr>
          <w:rFonts w:ascii="Arial" w:cs="Arial" w:eastAsia="Arial" w:hAnsi="Arial"/>
          <w:i/>
          <w:iCs/>
          <w:sz w:val="21"/>
          <w:szCs w:val="21"/>
        </w:rPr>
        <w:t xml:space="preserve">Dienstleister, Übermittlung in die USA und Ihre Rechte: siehe Abschnitt „Für beide Plattformen“.</w:t>
      </w:r>
    </w:p>
    <w:p>
      <w:pPr>
        <w:pStyle w:val="Heading2"/>
        <w:keepNext/>
        <w:pBdr>
          <w:top w:val="single" w:color="C4D92D" w:sz="18" w:space="6"/>
        </w:pBdr>
        <w:spacing w:after="160" w:before="420"/>
      </w:pPr>
      <w:r>
        <w:rPr>
          <w:rFonts w:ascii="Arial" w:cs="Arial" w:eastAsia="Arial" w:hAnsi="Arial"/>
          <w:b/>
          <w:bCs/>
          <w:color w:val="1D1D1D"/>
          <w:sz w:val="30"/>
          <w:szCs w:val="30"/>
        </w:rPr>
        <w:t xml:space="preserve">Instagram</w:t>
      </w:r>
    </w:p>
    <w:p>
      <w:pPr>
        <w:spacing w:after="140" w:line="300"/>
      </w:pPr>
      <w:r>
        <w:rPr>
          <w:rFonts w:ascii="Arial" w:cs="Arial" w:eastAsia="Arial" w:hAnsi="Arial"/>
          <w:sz w:val="21"/>
          <w:szCs w:val="21"/>
        </w:rPr>
        <w:t xml:space="preserve">Unser Instagram-Profil: @its_datenschutz</w:t>
      </w:r>
    </w:p>
    <w:p>
      <w:pPr>
        <w:pStyle w:val="Heading3"/>
        <w:keepNext/>
        <w:spacing w:after="100" w:before="260"/>
      </w:pPr>
      <w:r>
        <w:rPr>
          <w:rFonts w:ascii="Arial" w:cs="Arial" w:eastAsia="Arial" w:hAnsi="Arial"/>
          <w:b/>
          <w:bCs/>
          <w:color w:val="008C45"/>
          <w:sz w:val="23"/>
          <w:szCs w:val="23"/>
        </w:rPr>
        <w:t xml:space="preserve">Gemeinsame Verantwortlichkeit mit Meta</w:t>
      </w:r>
    </w:p>
    <w:p>
      <w:pPr>
        <w:spacing w:after="140" w:line="300"/>
      </w:pPr>
      <w:r>
        <w:rPr>
          <w:rFonts w:ascii="Arial" w:cs="Arial" w:eastAsia="Arial" w:hAnsi="Arial"/>
          <w:sz w:val="21"/>
          <w:szCs w:val="21"/>
        </w:rPr>
        <w:t xml:space="preserve">Instagram wird von der Meta Platforms Ireland Limited, Merrion Road, Dublin 4, D04 X2K5, Irland („Meta“) betrieben. Für die Statistiken über unser Profil („Insights“) sind wir und Meta gemeinsam verantwortlich (Art. 26 DSGVO; EuGH, Urteil vom 05.06.2018, C-210/16).</w:t>
      </w:r>
    </w:p>
    <w:p>
      <w:pPr>
        <w:spacing w:after="140" w:line="300"/>
      </w:pPr>
      <w:r>
        <w:rPr>
          <w:rFonts w:ascii="Arial" w:cs="Arial" w:eastAsia="Arial" w:hAnsi="Arial"/>
          <w:sz w:val="21"/>
          <w:szCs w:val="21"/>
        </w:rPr>
        <w:t xml:space="preserve">Die Einzelheiten regelt die Vereinbarung von Meta zu Insights (Page Insights Controller Addendum). Danach übernimmt Meta die primäre Verantwortung für die Verarbeitung der Insights-Daten, für die Informationspflichten und für die Bearbeitung von Betroffenenanfragen. Wir erhalten nur zusammengefasste, nicht personenbezogene Statistiken, etwa Reichweite, Aufrufe und Interaktionen.</w:t>
      </w:r>
    </w:p>
    <w:p>
      <w:pPr>
        <w:spacing w:after="140" w:line="300"/>
      </w:pPr>
      <w:r>
        <w:rPr>
          <w:rFonts w:ascii="Arial" w:cs="Arial" w:eastAsia="Arial" w:hAnsi="Arial"/>
          <w:sz w:val="21"/>
          <w:szCs w:val="21"/>
        </w:rPr>
        <w:t xml:space="preserve">Alle übrigen Verarbeitungen bei der Nutzung von Instagram, insbesondere das Setzen von Cookies, die Profilbildung und die Werbung, verantwortet Meta allein. Darauf haben wir keinen Einfluss. Informationen dazu finden Sie in der Datenschutzrichtlinie von Instagram.</w:t>
      </w:r>
    </w:p>
    <w:p>
      <w:pPr>
        <w:pStyle w:val="Heading3"/>
        <w:keepNext/>
        <w:spacing w:after="100" w:before="260"/>
      </w:pPr>
      <w:r>
        <w:rPr>
          <w:rFonts w:ascii="Arial" w:cs="Arial" w:eastAsia="Arial" w:hAnsi="Arial"/>
          <w:b/>
          <w:bCs/>
          <w:color w:val="008C45"/>
          <w:sz w:val="23"/>
          <w:szCs w:val="23"/>
        </w:rPr>
        <w:t xml:space="preserve">Welche Daten wir verarbeiten und warum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Was</w:t>
            </w:r>
          </w:p>
        </w:tc>
        <w:tc>
          <w:tcPr>
            <w:tcW w:type="dxa" w:w="2600"/>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Wozu</w:t>
            </w:r>
          </w:p>
        </w:tc>
        <w:tc>
          <w:tcPr>
            <w:tcW w:type="dxa" w:w="3426"/>
            <w:shd w:fill="1D1D1D" w:color="auto" w:val="clear"/>
            <w:tcMar>
              <w:top w:type="dxa" w:w="80"/>
              <w:left w:type="dxa" w:w="100"/>
              <w:bottom w:type="dxa" w:w="80"/>
              <w:right w:type="dxa" w:w="100"/>
            </w:tcMar>
          </w:tcPr>
          <w:p>
            <w:r>
              <w:rPr>
                <w:rFonts w:ascii="Arial" w:cs="Arial" w:eastAsia="Arial" w:hAnsi="Arial"/>
                <w:b/>
                <w:bCs/>
                <w:color w:val="FFFFFF"/>
                <w:sz w:val="19"/>
                <w:szCs w:val="19"/>
              </w:rPr>
              <w:t xml:space="preserve">Rechtsgrundlage</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Ihr öffentlicher Benutzername und Ihr Profilbild, wenn Sie uns folgen, kommentieren oder Beiträge liken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Darstellung und Pflege unserer Community, Antworten auf Kommentare</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f DSGVO: berechtigtes Interesse an zeitgemäßer Öffentlichkeitsarbeit und Kommunikation</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Inhalte Ihrer Kommentare und Direktnachrichten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Beantwortung Ihrer Anfragen</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b DSGVO, soweit Ihre Anfrage auf einen Vertrag zielt; sonst Art. 6 Abs. 1 lit. f DSGVO</w:t>
            </w:r>
          </w:p>
        </w:tc>
      </w:tr>
      <w:tr>
        <w:trPr>
          <w:cantSplit/>
        </w:trPr>
        <w:tc>
          <w:tcPr>
            <w:tcW w:type="dxa" w:w="3000"/>
            <w:tcMar>
              <w:top w:type="dxa" w:w="80"/>
              <w:left w:type="dxa" w:w="100"/>
              <w:bottom w:type="dxa" w:w="80"/>
              <w:right w:type="dxa" w:w="100"/>
            </w:tcMar>
          </w:tcPr>
          <w:p>
            <w:r>
              <w:rPr>
                <w:rFonts w:ascii="Arial" w:cs="Arial" w:eastAsia="Arial" w:hAnsi="Arial"/>
                <w:b w:val="false"/>
                <w:bCs w:val="false"/>
                <w:color w:val="1D1D1D"/>
                <w:sz w:val="19"/>
                <w:szCs w:val="19"/>
              </w:rPr>
              <w:t xml:space="preserve">Zusammengefasste Statistiken (Insights), z. B. Reichweite, Aufrufe, Interaktionen</w:t>
            </w:r>
          </w:p>
        </w:tc>
        <w:tc>
          <w:tcPr>
            <w:tcW w:type="dxa" w:w="2600"/>
            <w:tcMar>
              <w:top w:type="dxa" w:w="80"/>
              <w:left w:type="dxa" w:w="100"/>
              <w:bottom w:type="dxa" w:w="80"/>
              <w:right w:type="dxa" w:w="100"/>
            </w:tcMar>
          </w:tcPr>
          <w:p>
            <w:r>
              <w:rPr>
                <w:rFonts w:ascii="Arial" w:cs="Arial" w:eastAsia="Arial" w:hAnsi="Arial"/>
                <w:b w:val="false"/>
                <w:bCs w:val="false"/>
                <w:color w:val="1D1D1D"/>
                <w:sz w:val="19"/>
                <w:szCs w:val="19"/>
              </w:rPr>
              <w:t xml:space="preserve">Auswertung, welche Inhalte ankommen, und Verbesserung unseres Angebots</w:t>
            </w:r>
          </w:p>
        </w:tc>
        <w:tc>
          <w:tcPr>
            <w:tcW w:type="dxa" w:w="3426"/>
            <w:tcMar>
              <w:top w:type="dxa" w:w="80"/>
              <w:left w:type="dxa" w:w="100"/>
              <w:bottom w:type="dxa" w:w="80"/>
              <w:right w:type="dxa" w:w="100"/>
            </w:tcMar>
          </w:tcPr>
          <w:p>
            <w:r>
              <w:rPr>
                <w:rFonts w:ascii="Arial" w:cs="Arial" w:eastAsia="Arial" w:hAnsi="Arial"/>
                <w:b w:val="false"/>
                <w:bCs w:val="false"/>
                <w:color w:val="1D1D1D"/>
                <w:sz w:val="19"/>
                <w:szCs w:val="19"/>
              </w:rPr>
              <w:t xml:space="preserve">Art. 6 Abs. 1 lit. f DSGVO: berechtigtes Interesse an der Optimierung unserer Öffentlichkeitsarbeit</w:t>
            </w:r>
          </w:p>
        </w:tc>
      </w:tr>
    </w:tbl>
    <w:p>
      <w:pPr>
        <w:pStyle w:val="Heading3"/>
        <w:keepNext/>
        <w:spacing w:after="100" w:before="260"/>
      </w:pPr>
      <w:r>
        <w:rPr>
          <w:rFonts w:ascii="Arial" w:cs="Arial" w:eastAsia="Arial" w:hAnsi="Arial"/>
          <w:b/>
          <w:bCs/>
          <w:color w:val="008C45"/>
          <w:sz w:val="23"/>
          <w:szCs w:val="23"/>
        </w:rPr>
        <w:t xml:space="preserve">Speicherdauer</w:t>
      </w:r>
    </w:p>
    <w:p>
      <w:pPr>
        <w:pStyle w:val="ListParagraph"/>
        <w:numPr>
          <w:ilvl w:val="0"/>
          <w:numId w:val="2"/>
        </w:numPr>
        <w:spacing w:after="80" w:line="300"/>
      </w:pPr>
      <w:r>
        <w:rPr>
          <w:rFonts w:ascii="Arial" w:cs="Arial" w:eastAsia="Arial" w:hAnsi="Arial"/>
          <w:b/>
          <w:bCs/>
          <w:sz w:val="21"/>
          <w:szCs w:val="21"/>
        </w:rPr>
        <w:t xml:space="preserve">Kommentare und Likes </w:t>
      </w:r>
      <w:r>
        <w:rPr>
          <w:rFonts w:ascii="Arial" w:cs="Arial" w:eastAsia="Arial" w:hAnsi="Arial"/>
          <w:sz w:val="21"/>
          <w:szCs w:val="21"/>
        </w:rPr>
        <w:t xml:space="preserve">bleiben sichtbar, bis Sie sie selbst löschen oder wir sie entfernen. Wir entfernen Kommentare, die rechtswidrig sind oder Daten Dritter enthalten.</w:t>
      </w:r>
    </w:p>
    <w:p>
      <w:pPr>
        <w:pStyle w:val="ListParagraph"/>
        <w:numPr>
          <w:ilvl w:val="0"/>
          <w:numId w:val="2"/>
        </w:numPr>
        <w:spacing w:after="80" w:line="300"/>
      </w:pPr>
      <w:r>
        <w:rPr>
          <w:rFonts w:ascii="Arial" w:cs="Arial" w:eastAsia="Arial" w:hAnsi="Arial"/>
          <w:b/>
          <w:bCs/>
          <w:sz w:val="21"/>
          <w:szCs w:val="21"/>
        </w:rPr>
        <w:t xml:space="preserve">Direktnachrichten </w:t>
      </w:r>
      <w:r>
        <w:rPr>
          <w:rFonts w:ascii="Arial" w:cs="Arial" w:eastAsia="Arial" w:hAnsi="Arial"/>
          <w:sz w:val="21"/>
          <w:szCs w:val="21"/>
        </w:rPr>
        <w:t xml:space="preserve">löschen wir, sobald Ihre Anfrage erledigt ist. Ausgenommen sind Inhalte, die wir wegen gesetzlicher Aufbewahrungspflichten länger speichern müssen, etwa bei einem Vertragsschluss.</w:t>
      </w:r>
    </w:p>
    <w:p>
      <w:pPr>
        <w:pStyle w:val="ListParagraph"/>
        <w:numPr>
          <w:ilvl w:val="0"/>
          <w:numId w:val="2"/>
        </w:numPr>
        <w:spacing w:after="80" w:line="300"/>
      </w:pPr>
      <w:r>
        <w:rPr>
          <w:rFonts w:ascii="Arial" w:cs="Arial" w:eastAsia="Arial" w:hAnsi="Arial"/>
          <w:b/>
          <w:bCs/>
          <w:sz w:val="21"/>
          <w:szCs w:val="21"/>
        </w:rPr>
        <w:t xml:space="preserve">Statistiken </w:t>
      </w:r>
      <w:r>
        <w:rPr>
          <w:rFonts w:ascii="Arial" w:cs="Arial" w:eastAsia="Arial" w:hAnsi="Arial"/>
          <w:sz w:val="21"/>
          <w:szCs w:val="21"/>
        </w:rPr>
        <w:t xml:space="preserve">speichert Meta; wir erhalten sie nur in zusammengefasster Form. Wie lange Meta Daten speichert, legt Meta fest.</w:t>
      </w:r>
    </w:p>
    <w:p>
      <w:pPr>
        <w:pBdr>
          <w:left w:val="single" w:color="C4D92D" w:sz="24" w:space="8"/>
        </w:pBdr>
        <w:shd w:fill="F2F5E3" w:color="auto" w:val="clear"/>
        <w:spacing w:after="160" w:before="120"/>
      </w:pPr>
      <w:r>
        <w:rPr>
          <w:rFonts w:ascii="Arial" w:cs="Arial" w:eastAsia="Arial" w:hAnsi="Arial"/>
          <w:i/>
          <w:iCs/>
          <w:sz w:val="21"/>
          <w:szCs w:val="21"/>
        </w:rPr>
        <w:t xml:space="preserve">Dienstleister, Übermittlung in die USA und Ihre Rechte: siehe Abschnitt „Für beide Plattformen“.</w:t>
      </w:r>
    </w:p>
    <w:p>
      <w:pPr>
        <w:pStyle w:val="Heading2"/>
        <w:keepNext/>
        <w:pBdr>
          <w:top w:val="single" w:color="C4D92D" w:sz="18" w:space="6"/>
        </w:pBdr>
        <w:spacing w:after="160" w:before="420"/>
      </w:pPr>
      <w:r>
        <w:rPr>
          <w:rFonts w:ascii="Arial" w:cs="Arial" w:eastAsia="Arial" w:hAnsi="Arial"/>
          <w:b/>
          <w:bCs/>
          <w:color w:val="1D1D1D"/>
          <w:sz w:val="30"/>
          <w:szCs w:val="30"/>
        </w:rPr>
        <w:t xml:space="preserve">Für beide Plattformen</w:t>
      </w:r>
    </w:p>
    <w:p>
      <w:pPr>
        <w:pStyle w:val="Heading3"/>
        <w:keepNext/>
        <w:spacing w:after="100" w:before="260"/>
      </w:pPr>
      <w:r>
        <w:rPr>
          <w:rFonts w:ascii="Arial" w:cs="Arial" w:eastAsia="Arial" w:hAnsi="Arial"/>
          <w:b/>
          <w:bCs/>
          <w:color w:val="008C45"/>
          <w:sz w:val="23"/>
          <w:szCs w:val="23"/>
        </w:rPr>
        <w:t xml:space="preserve">Allgemeine Hinweise</w:t>
      </w:r>
    </w:p>
    <w:p>
      <w:pPr>
        <w:spacing w:after="140" w:line="300"/>
      </w:pPr>
      <w:r>
        <w:rPr>
          <w:rFonts w:ascii="Arial" w:cs="Arial" w:eastAsia="Arial" w:hAnsi="Arial"/>
          <w:sz w:val="21"/>
          <w:szCs w:val="21"/>
        </w:rPr>
        <w:t xml:space="preserve">Wir nutzen keine Daten aus Facebook oder Instagram für eigene Werbeprofile, führen kein Retargeting durch und setzen auf unserer Website kein Meta-Pixel ein. Bitte geben Sie in Kommentaren und Nachrichten keine sensiblen Daten an. Für vertrauliche Anfragen nutzen Sie besser E-Mail oder Telefon.</w:t>
      </w:r>
    </w:p>
    <w:p>
      <w:pPr>
        <w:pStyle w:val="Heading3"/>
        <w:keepNext/>
        <w:spacing w:after="100" w:before="260"/>
      </w:pPr>
      <w:r>
        <w:rPr>
          <w:rFonts w:ascii="Arial" w:cs="Arial" w:eastAsia="Arial" w:hAnsi="Arial"/>
          <w:b/>
          <w:bCs/>
          <w:color w:val="008C45"/>
          <w:sz w:val="23"/>
          <w:szCs w:val="23"/>
        </w:rPr>
        <w:t xml:space="preserve">Dienstleister</w:t>
      </w:r>
    </w:p>
    <w:p>
      <w:pPr>
        <w:spacing w:after="140" w:line="300"/>
      </w:pPr>
      <w:r>
        <w:rPr>
          <w:rFonts w:ascii="Arial" w:cs="Arial" w:eastAsia="Arial" w:hAnsi="Arial"/>
          <w:sz w:val="21"/>
          <w:szCs w:val="21"/>
        </w:rPr>
        <w:t xml:space="preserve">Wir planen unsere Beiträge und werten die Statistiken mit der Software Metricool aus. Anbieter ist die Metricool Software, S.L., Spanien. Metricool verarbeitet die Daten ausschließlich in unserem Auftrag und nach unseren Weisungen. Dazu haben wir einen Vertrag zur Auftragsverarbeitung nach Art. 28 DSGVO geschlossen. Metricool erhält von Meta dieselben zusammengefassten Statistiken, die auch wir sehen, sowie die Kommentare zu unseren Beiträgen. Bei Metricool bleiben die Statistiken gespeichert, solange wir den Dienst nutzen.</w:t>
      </w:r>
    </w:p>
    <w:p>
      <w:pPr>
        <w:pStyle w:val="Heading3"/>
        <w:keepNext/>
        <w:spacing w:after="100" w:before="260"/>
      </w:pPr>
      <w:r>
        <w:rPr>
          <w:rFonts w:ascii="Arial" w:cs="Arial" w:eastAsia="Arial" w:hAnsi="Arial"/>
          <w:b/>
          <w:bCs/>
          <w:color w:val="008C45"/>
          <w:sz w:val="23"/>
          <w:szCs w:val="23"/>
        </w:rPr>
        <w:t xml:space="preserve">Übermittlung in die USA</w:t>
      </w:r>
    </w:p>
    <w:p>
      <w:pPr>
        <w:spacing w:after="140" w:line="300"/>
      </w:pPr>
      <w:r>
        <w:rPr>
          <w:rFonts w:ascii="Arial" w:cs="Arial" w:eastAsia="Arial" w:hAnsi="Arial"/>
          <w:sz w:val="21"/>
          <w:szCs w:val="21"/>
        </w:rPr>
        <w:t xml:space="preserve">Meta verarbeitet Daten auch in den USA. Die Meta Platforms, Inc. ist nach dem EU-US Data Privacy Framework zertifiziert. Für zertifizierte Unternehmen hat die EU-Kommission ein angemessenes Datenschutzniveau festgestellt (Angemessenheitsbeschluss (EU) 2023/1795, Art. 45 DSGVO). Zusätzlich stützt Meta Übermittlungen auf die Standardvertragsklauseln der EU-Kommission (Art. 46 Abs. 2 lit. c DSGVO). Wir selbst übermitteln keine Daten aus unseren Social-Media-Auftritten in Drittländer.</w:t>
      </w:r>
    </w:p>
    <w:p>
      <w:pPr>
        <w:pStyle w:val="Heading3"/>
        <w:keepNext/>
        <w:spacing w:after="100" w:before="260"/>
      </w:pPr>
      <w:r>
        <w:rPr>
          <w:rFonts w:ascii="Arial" w:cs="Arial" w:eastAsia="Arial" w:hAnsi="Arial"/>
          <w:b/>
          <w:bCs/>
          <w:color w:val="008C45"/>
          <w:sz w:val="23"/>
          <w:szCs w:val="23"/>
        </w:rPr>
        <w:t xml:space="preserve">Ihre Rechte</w:t>
      </w:r>
    </w:p>
    <w:p>
      <w:pPr>
        <w:spacing w:after="140" w:line="300"/>
      </w:pPr>
      <w:r>
        <w:rPr>
          <w:rFonts w:ascii="Arial" w:cs="Arial" w:eastAsia="Arial" w:hAnsi="Arial"/>
          <w:sz w:val="21"/>
          <w:szCs w:val="21"/>
        </w:rPr>
        <w:t xml:space="preserve">Sie haben das Recht auf Auskunft (Art. 15 DSGVO), Berichtigung (Art. 16), Löschung (Art. 17), Einschränkung der Verarbeitung (Art. 18) und Datenübertragbarkeit (Art. 20).</w:t>
      </w:r>
    </w:p>
    <w:p>
      <w:pPr>
        <w:spacing w:after="140" w:line="300"/>
      </w:pPr>
      <w:r>
        <w:rPr>
          <w:rFonts w:ascii="Arial" w:cs="Arial" w:eastAsia="Arial" w:hAnsi="Arial"/>
          <w:b/>
          <w:bCs/>
          <w:sz w:val="21"/>
          <w:szCs w:val="21"/>
        </w:rPr>
        <w:t xml:space="preserve">Widerspruchsrecht: </w:t>
      </w:r>
      <w:r>
        <w:rPr>
          <w:rFonts w:ascii="Arial" w:cs="Arial" w:eastAsia="Arial" w:hAnsi="Arial"/>
          <w:sz w:val="21"/>
          <w:szCs w:val="21"/>
        </w:rPr>
        <w:t xml:space="preserve">Soweit wir Daten auf Grundlage unseres berechtigten Interesses verarbeiten (Art. 6 Abs. 1 lit. f DSGVO), können Sie dem aus Gründen, die sich aus Ihrer besonderen Situation ergeben, jederzeit widersprechen (Art. 21 DSGVO).</w:t>
      </w:r>
    </w:p>
    <w:p>
      <w:pPr>
        <w:spacing w:after="140" w:line="300"/>
      </w:pPr>
      <w:r>
        <w:rPr>
          <w:rFonts w:ascii="Arial" w:cs="Arial" w:eastAsia="Arial" w:hAnsi="Arial"/>
          <w:sz w:val="21"/>
          <w:szCs w:val="21"/>
        </w:rPr>
        <w:t xml:space="preserve">Ihre Rechte können Sie bei uns und bei Meta geltend machen. Für die Insights-Daten ist Meta der richtige Ansprechpartner, weil nur Meta auf die zugrunde liegenden Einzeldaten zugreifen kann. Wenn Sie sich an uns wenden, leiten wir Ihre Anfrage an Meta weiter. Den Datenschutzbeauftragten von Meta erreichen Sie über das Kontaktformular im Hilfebereich von Facebook.</w:t>
      </w:r>
    </w:p>
    <w:p>
      <w:pPr>
        <w:pStyle w:val="Heading3"/>
        <w:keepNext/>
        <w:spacing w:after="100" w:before="260"/>
      </w:pPr>
      <w:r>
        <w:rPr>
          <w:rFonts w:ascii="Arial" w:cs="Arial" w:eastAsia="Arial" w:hAnsi="Arial"/>
          <w:b/>
          <w:bCs/>
          <w:color w:val="008C45"/>
          <w:sz w:val="23"/>
          <w:szCs w:val="23"/>
        </w:rPr>
        <w:t xml:space="preserve">Beschwerderecht</w:t>
      </w:r>
    </w:p>
    <w:p>
      <w:pPr>
        <w:spacing w:after="140" w:line="300"/>
      </w:pPr>
      <w:r>
        <w:rPr>
          <w:rFonts w:ascii="Arial" w:cs="Arial" w:eastAsia="Arial" w:hAnsi="Arial"/>
          <w:sz w:val="21"/>
          <w:szCs w:val="21"/>
        </w:rPr>
        <w:t xml:space="preserve">Sie können sich bei einer Datenschutz-Aufsichtsbehörde beschweren (Art. 77 DSGVO). Für uns zuständig ist das Bayerische Landesamt für Datenschutzaufsicht (BayLDA), Promenade 18, 91522 Ansbach. Für Meta ist die irische Data Protection Commission federführend.</w:t>
      </w:r>
    </w:p>
    <w:sectPr>
      <w:pgSz w:w="11906" w:h="16838" w:orient="portrait"/>
      <w:pgMar w:top="1417"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Datenschutzhinweise für unsere Social-Media-Auftritte</dc:title>
  <dc:creator>ITs Hein GmbH</dc:creator>
  <cp:lastModifiedBy>Un-named</cp:lastModifiedBy>
  <cp:revision>1</cp:revision>
  <dcterms:created xsi:type="dcterms:W3CDTF">2026-10-23T09:29:04.192Z</dcterms:created>
  <dcterms:modified xsi:type="dcterms:W3CDTF">2026-10-23T09:29:04.192Z</dcterms:modified>
</cp:coreProperties>
</file>

<file path=docProps/custom.xml><?xml version="1.0" encoding="utf-8"?>
<Properties xmlns="http://schemas.openxmlformats.org/officeDocument/2006/custom-properties" xmlns:vt="http://schemas.openxmlformats.org/officeDocument/2006/docPropsVTypes"/>
</file>