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32.png" ContentType="image/png"/>
  <Override PartName="/word/media/rId29.jpg" ContentType="image/jpeg"/>
  <Override PartName="/word/media/rId26.png" ContentType="image/png"/>
  <Override PartName="/word/media/rId23.png" ContentType="image/png"/>
  <Override PartName="/word/media/rId35.png" ContentType="image/png"/>
  <Override PartName="/word/media/rId69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50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5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drawing>
          <wp:inline>
            <wp:extent cx="1783080" cy="99495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agenes/COMFOR-log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994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1097280" cy="135744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imagenes/im_ft_color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5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1097280" cy="135744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imagenes/foot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357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943600" cy="141985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imagenes/foot-back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Regional</w:t>
      </w:r>
      <w:r>
        <w:t xml:space="preserve"> </w:t>
      </w: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forest</w:t>
      </w:r>
      <w:r>
        <w:t xml:space="preserve"> </w:t>
      </w:r>
      <w:r>
        <w:t xml:space="preserve">characterization</w:t>
      </w:r>
      <w:r>
        <w:t xml:space="preserve"> </w:t>
      </w:r>
      <w:r>
        <w:t xml:space="preserve">with</w:t>
      </w:r>
      <w:r>
        <w:t xml:space="preserve"> </w:t>
      </w:r>
      <w:r>
        <w:t xml:space="preserve">NFI</w:t>
      </w:r>
    </w:p>
    <w:p>
      <w:pPr>
        <w:pStyle w:val="Author"/>
      </w:pPr>
      <w:r>
        <w:t xml:space="preserve">Cristóbal</w:t>
      </w:r>
      <w:r>
        <w:t xml:space="preserve"> </w:t>
      </w:r>
      <w:r>
        <w:t xml:space="preserve">Ordóñez,</w:t>
      </w:r>
      <w:r>
        <w:t xml:space="preserve"> </w:t>
      </w:r>
      <w:r>
        <w:t xml:space="preserve">Irene</w:t>
      </w:r>
      <w:r>
        <w:t xml:space="preserve"> </w:t>
      </w:r>
      <w:r>
        <w:t xml:space="preserve">Arroyo</w:t>
      </w:r>
      <w:r>
        <w:t xml:space="preserve"> </w:t>
      </w:r>
      <w:r>
        <w:t xml:space="preserve">&amp;</w:t>
      </w:r>
      <w:r>
        <w:t xml:space="preserve"> </w:t>
      </w:r>
      <w:r>
        <w:t xml:space="preserve">Felipe</w:t>
      </w:r>
      <w:r>
        <w:t xml:space="preserve"> </w:t>
      </w:r>
      <w:r>
        <w:t xml:space="preserve">Bravo</w:t>
      </w:r>
    </w:p>
    <w:p>
      <w:pPr>
        <w:pStyle w:val="Date"/>
      </w:pPr>
      <w:r>
        <w:t xml:space="preserve">“</w:t>
      </w:r>
      <w:r>
        <w:t xml:space="preserve">2023-07-16</w:t>
      </w:r>
      <w:r>
        <w:t xml:space="preserve">”</w:t>
      </w:r>
      <w:r>
        <w:br/>
      </w:r>
      <w:r>
        <w:t xml:space="preserve">·</w:t>
      </w:r>
      <w:r>
        <w:br/>
      </w:r>
      <w:r>
        <w:drawing>
          <wp:inline>
            <wp:extent cx="1828800" cy="351129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imagenes/etsiiaa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1828800" cy="525517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./imagenes/iuFOR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2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introducción-y-marco-del-inform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Introducción y marco del informe</w:t>
      </w:r>
    </w:p>
    <w:p>
      <w:pPr>
        <w:pStyle w:val="FirstParagraph"/>
      </w:pPr>
      <w:r>
        <w:t xml:space="preserve">En el presente informe se muestra el resultado de la valoración económica de diversas alternativas selvícolas planteadas para masas de</w:t>
      </w:r>
      <w:r>
        <w:t xml:space="preserve"> </w:t>
      </w:r>
      <w:r>
        <w:rPr>
          <w:iCs/>
          <w:i/>
        </w:rPr>
        <w:t xml:space="preserve">Pinus pinaster</w:t>
      </w:r>
      <w:r>
        <w:t xml:space="preserve"> </w:t>
      </w:r>
      <w:r>
        <w:t xml:space="preserve">en el marco del proyecto del Grupo Operativo SIGCA para madera de calidad de esta especie.</w:t>
      </w:r>
    </w:p>
    <w:bookmarkEnd w:id="38"/>
    <w:bookmarkStart w:id="39" w:name="objetivo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Objetivos</w:t>
      </w:r>
    </w:p>
    <w:p>
      <w:pPr>
        <w:pStyle w:val="FirstParagraph"/>
      </w:pPr>
      <w:r>
        <w:t xml:space="preserve">El objetivo principal de este entregable es describir la evolución de las masas complejas a lo largo de las distintas ediciones del Inventario Forestal Nacional Español. Para ello se presentarán distintos gráficos y mapas con las combinaciones de especies y porcentajes que representan.</w:t>
      </w:r>
    </w:p>
    <w:bookmarkEnd w:id="39"/>
    <w:bookmarkStart w:id="54" w:name="masas-mixta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Masas mixtas</w:t>
      </w:r>
    </w:p>
    <w:p>
      <w:pPr>
        <w:pStyle w:val="FirstParagraph"/>
      </w:pPr>
      <w:r>
        <w:t xml:space="preserve">——- breve intro ——–</w:t>
      </w:r>
    </w:p>
    <w:bookmarkStart w:id="49" w:name="gráficas-por-edició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Gráficas por edición</w:t>
      </w:r>
    </w:p>
    <w:p>
      <w:pPr>
        <w:pStyle w:val="FirstParagraph"/>
      </w:pPr>
      <w:r>
        <w:t xml:space="preserve">A continuación se muestra las gráficas con el número de ocurrencias de las combinaciones de especies presentes en cada edición del IFN.</w:t>
      </w:r>
    </w:p>
    <w:p>
      <w:pPr>
        <w:pStyle w:val="TextBody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plot.comb.01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plot.comb.01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plot.comb.01-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gráfica-conjunt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Gráfica conjunta</w:t>
      </w:r>
    </w:p>
    <w:p>
      <w:pPr>
        <w:pStyle w:val="FirstParagraph"/>
      </w:pPr>
      <w:r>
        <w:t xml:space="preserve">A continuación se muestra la gráfica conjunta para las combinacines de especies en las que haya al menos mas de 100 ocurrencias en las dos primeras ediciones y 40 en la cuarta edición. Se ha puesto un límite menor en esta última edición porque no está disponible para todo el territorio nacional.</w:t>
      </w:r>
    </w:p>
    <w:p>
      <w:pPr>
        <w:pStyle w:val="TextBody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grafica%20evolución%20combinaciones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58" w:name="evolución-del-ifn-en-conjunto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Evolución del IFN en conjunto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representacion%20evol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8" w:name="evolución-del-ifn-por-ccaa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Evolución del IFN por CCAA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datos%20para%20mapa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datos%20para%20mapa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datos%20para%20mapa-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3" w:name="X416414265d8e7ae6de2b57dc2c029e3235e8fe9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Mapas de representación por tipo de parcela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output/COMFOR_D1_1_1_RegionalReport_ComplexForests_files/figure-docx/Mapas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2" w:name="Xb1a2c31d47062c1cb60f7b4f0d62a002f5f894a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las distintas ediciones para cada comunidad autónomas</w:t>
      </w:r>
    </w:p>
    <w:bookmarkEnd w:id="72"/>
    <w:bookmarkEnd w:id="73"/>
    <w:bookmarkStart w:id="74" w:name="referencia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Referencias</w:t>
      </w:r>
    </w:p>
    <w:bookmarkEnd w:id="74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Monserrat">
    <w:charset w:val="01"/>
    <w:family w:val="auto"/>
    <w:pitch w:val="default"/>
  </w:font>
  <w:font w:name="Moserrat">
    <w:charset w:val="01"/>
    <w:family w:val="auto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Monserrat" w:cs="" w:cstheme="majorBidi" w:eastAsia="" w:eastAsiaTheme="majorEastAsia" w:hAnsi="Monserrat"/>
      <w:b/>
      <w:bCs/>
      <w:color w:val="C16023"/>
      <w:sz w:val="28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Monserrat" w:cs="" w:cstheme="majorBidi" w:eastAsia="" w:eastAsiaTheme="majorEastAsia" w:hAnsi="Monserrat"/>
      <w:b w:val="false"/>
      <w:bCs/>
      <w:color w:val="C16023"/>
      <w:sz w:val="24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Moserrat" w:cs="" w:cstheme="majorBidi" w:eastAsia="" w:eastAsiaTheme="majorEastAsia" w:hAnsi="Moserrat"/>
      <w:b w:val="false"/>
      <w:bCs/>
      <w:color w:val="C16023"/>
      <w:sz w:val="22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Monserrat" w:cs="" w:cstheme="majorBidi" w:eastAsia="" w:eastAsiaTheme="majorEastAsia" w:hAnsi="Monserrat"/>
      <w:bCs/>
      <w:i/>
      <w:color w:val="C16023"/>
      <w:sz w:val="22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b/>
      <w:color w:val="204A87"/>
      <w:shd w:fill="F8F8F8" w:val="clear"/>
    </w:rPr>
  </w:style>
  <w:style w:customStyle="1" w:styleId="DataTypeTok" w:type="character">
    <w:name w:val="DataTypeTok"/>
    <w:basedOn w:val="VerbatimChar"/>
    <w:qFormat/>
    <w:rPr>
      <w:color w:val="204A87"/>
      <w:shd w:fill="F8F8F8" w:val="clear"/>
    </w:rPr>
  </w:style>
  <w:style w:customStyle="1" w:styleId="DecValTok" w:type="character">
    <w:name w:val="DecValTok"/>
    <w:basedOn w:val="VerbatimChar"/>
    <w:qFormat/>
    <w:rPr>
      <w:color w:val="0000CF"/>
      <w:shd w:fill="F8F8F8" w:val="clear"/>
    </w:rPr>
  </w:style>
  <w:style w:customStyle="1" w:styleId="BaseNTok" w:type="character">
    <w:name w:val="BaseNTok"/>
    <w:basedOn w:val="VerbatimChar"/>
    <w:qFormat/>
    <w:rPr>
      <w:color w:val="0000CF"/>
      <w:shd w:fill="F8F8F8" w:val="clear"/>
    </w:rPr>
  </w:style>
  <w:style w:customStyle="1" w:styleId="FloatTok" w:type="character">
    <w:name w:val="FloatTok"/>
    <w:basedOn w:val="VerbatimChar"/>
    <w:qFormat/>
    <w:rPr>
      <w:color w:val="0000CF"/>
      <w:shd w:fill="F8F8F8" w:val="clear"/>
    </w:rPr>
  </w:style>
  <w:style w:customStyle="1" w:styleId="ConstantTok" w:type="character">
    <w:name w:val="ConstantTok"/>
    <w:basedOn w:val="VerbatimChar"/>
    <w:qFormat/>
    <w:rPr>
      <w:color w:val="000000"/>
      <w:shd w:fill="F8F8F8" w:val="clear"/>
    </w:rPr>
  </w:style>
  <w:style w:customStyle="1" w:styleId="CharTok" w:type="character">
    <w:name w:val="CharTok"/>
    <w:basedOn w:val="VerbatimChar"/>
    <w:qFormat/>
    <w:rPr>
      <w:color w:val="4E9A06"/>
      <w:shd w:fill="F8F8F8" w:val="clear"/>
    </w:rPr>
  </w:style>
  <w:style w:customStyle="1" w:styleId="SpecialCharTok" w:type="character">
    <w:name w:val="SpecialCharTok"/>
    <w:basedOn w:val="VerbatimChar"/>
    <w:qFormat/>
    <w:rPr>
      <w:color w:val="000000"/>
      <w:shd w:fill="F8F8F8" w:val="clear"/>
    </w:rPr>
  </w:style>
  <w:style w:customStyle="1" w:styleId="StringTok" w:type="character">
    <w:name w:val="StringTok"/>
    <w:basedOn w:val="VerbatimChar"/>
    <w:qFormat/>
    <w:rPr>
      <w:color w:val="4E9A06"/>
      <w:shd w:fill="F8F8F8" w:val="clear"/>
    </w:rPr>
  </w:style>
  <w:style w:customStyle="1" w:styleId="VerbatimStringTok" w:type="character">
    <w:name w:val="VerbatimStringTok"/>
    <w:basedOn w:val="VerbatimChar"/>
    <w:qFormat/>
    <w:rPr>
      <w:color w:val="4E9A06"/>
      <w:shd w:fill="F8F8F8" w:val="clear"/>
    </w:rPr>
  </w:style>
  <w:style w:customStyle="1" w:styleId="SpecialStringTok" w:type="character">
    <w:name w:val="SpecialStringTok"/>
    <w:basedOn w:val="VerbatimChar"/>
    <w:qFormat/>
    <w:rPr>
      <w:color w:val="4E9A06"/>
      <w:shd w:fill="F8F8F8" w:val="clear"/>
    </w:rPr>
  </w:style>
  <w:style w:customStyle="1" w:styleId="ImportTok" w:type="character">
    <w:name w:val="ImportTok"/>
    <w:basedOn w:val="VerbatimChar"/>
    <w:qFormat/>
    <w:rPr>
      <w:shd w:fill="F8F8F8" w:val="clear"/>
    </w:rPr>
  </w:style>
  <w:style w:customStyle="1" w:styleId="CommentTok" w:type="character">
    <w:name w:val="CommentTok"/>
    <w:basedOn w:val="VerbatimChar"/>
    <w:qFormat/>
    <w:rPr>
      <w:i/>
      <w:color w:val="8F5902"/>
      <w:shd w:fill="F8F8F8" w:val="clear"/>
    </w:rPr>
  </w:style>
  <w:style w:customStyle="1" w:styleId="DocumentationTok" w:type="character">
    <w:name w:val="DocumentationTok"/>
    <w:basedOn w:val="VerbatimChar"/>
    <w:qFormat/>
    <w:rPr>
      <w:b/>
      <w:i/>
      <w:color w:val="8F5902"/>
      <w:shd w:fill="F8F8F8" w:val="clear"/>
    </w:rPr>
  </w:style>
  <w:style w:customStyle="1" w:styleId="AnnotationTok" w:type="character">
    <w:name w:val="AnnotationTok"/>
    <w:basedOn w:val="VerbatimChar"/>
    <w:qFormat/>
    <w:rPr>
      <w:b/>
      <w:i/>
      <w:color w:val="8F5902"/>
      <w:shd w:fill="F8F8F8" w:val="clear"/>
    </w:rPr>
  </w:style>
  <w:style w:customStyle="1" w:styleId="CommentVarTok" w:type="character">
    <w:name w:val="CommentVarTok"/>
    <w:basedOn w:val="VerbatimChar"/>
    <w:qFormat/>
    <w:rPr>
      <w:b/>
      <w:i/>
      <w:color w:val="8F5902"/>
      <w:shd w:fill="F8F8F8" w:val="clear"/>
    </w:rPr>
  </w:style>
  <w:style w:customStyle="1" w:styleId="OtherTok" w:type="character">
    <w:name w:val="OtherTok"/>
    <w:basedOn w:val="VerbatimChar"/>
    <w:qFormat/>
    <w:rPr>
      <w:color w:val="8F5902"/>
      <w:shd w:fill="F8F8F8" w:val="clear"/>
    </w:rPr>
  </w:style>
  <w:style w:customStyle="1" w:styleId="FunctionTok" w:type="character">
    <w:name w:val="FunctionTok"/>
    <w:basedOn w:val="VerbatimChar"/>
    <w:qFormat/>
    <w:rPr>
      <w:color w:val="000000"/>
      <w:shd w:fill="F8F8F8" w:val="clear"/>
    </w:rPr>
  </w:style>
  <w:style w:customStyle="1" w:styleId="VariableTok" w:type="character">
    <w:name w:val="VariableTok"/>
    <w:basedOn w:val="VerbatimChar"/>
    <w:qFormat/>
    <w:rPr>
      <w:color w:val="000000"/>
      <w:shd w:fill="F8F8F8" w:val="clear"/>
    </w:rPr>
  </w:style>
  <w:style w:customStyle="1" w:styleId="ControlFlowTok" w:type="character">
    <w:name w:val="ControlFlowTok"/>
    <w:basedOn w:val="VerbatimChar"/>
    <w:qFormat/>
    <w:rPr>
      <w:b/>
      <w:color w:val="204A87"/>
      <w:shd w:fill="F8F8F8" w:val="clear"/>
    </w:rPr>
  </w:style>
  <w:style w:customStyle="1" w:styleId="OperatorTok" w:type="character">
    <w:name w:val="OperatorTok"/>
    <w:basedOn w:val="VerbatimChar"/>
    <w:qFormat/>
    <w:rPr>
      <w:b/>
      <w:color w:val="CE5C00"/>
      <w:shd w:fill="F8F8F8" w:val="clear"/>
    </w:rPr>
  </w:style>
  <w:style w:customStyle="1" w:styleId="BuiltInTok" w:type="character">
    <w:name w:val="BuiltInTok"/>
    <w:basedOn w:val="VerbatimChar"/>
    <w:qFormat/>
    <w:rPr>
      <w:shd w:fill="F8F8F8" w:val="clear"/>
    </w:rPr>
  </w:style>
  <w:style w:customStyle="1" w:styleId="ExtensionTok" w:type="character">
    <w:name w:val="ExtensionTok"/>
    <w:basedOn w:val="VerbatimChar"/>
    <w:qFormat/>
    <w:rPr>
      <w:shd w:fill="F8F8F8" w:val="clear"/>
    </w:rPr>
  </w:style>
  <w:style w:customStyle="1" w:styleId="PreprocessorTok" w:type="character">
    <w:name w:val="PreprocessorTok"/>
    <w:basedOn w:val="VerbatimChar"/>
    <w:qFormat/>
    <w:rPr>
      <w:i/>
      <w:color w:val="8F5902"/>
      <w:shd w:fill="F8F8F8" w:val="clear"/>
    </w:rPr>
  </w:style>
  <w:style w:customStyle="1" w:styleId="AttributeTok" w:type="character">
    <w:name w:val="AttributeTok"/>
    <w:basedOn w:val="VerbatimChar"/>
    <w:qFormat/>
    <w:rPr>
      <w:color w:val="C4A000"/>
      <w:shd w:fill="F8F8F8" w:val="clear"/>
    </w:rPr>
  </w:style>
  <w:style w:customStyle="1" w:styleId="RegionMarkerTok" w:type="character">
    <w:name w:val="RegionMarkerTok"/>
    <w:basedOn w:val="VerbatimChar"/>
    <w:qFormat/>
    <w:rPr>
      <w:shd w:fill="F8F8F8" w:val="clear"/>
    </w:rPr>
  </w:style>
  <w:style w:customStyle="1" w:styleId="InformationTok" w:type="character">
    <w:name w:val="InformationTok"/>
    <w:basedOn w:val="VerbatimChar"/>
    <w:qFormat/>
    <w:rPr>
      <w:b/>
      <w:i/>
      <w:color w:val="8F5902"/>
      <w:shd w:fill="F8F8F8" w:val="clear"/>
    </w:rPr>
  </w:style>
  <w:style w:customStyle="1" w:styleId="WarningTok" w:type="character">
    <w:name w:val="WarningTok"/>
    <w:basedOn w:val="VerbatimChar"/>
    <w:qFormat/>
    <w:rPr>
      <w:b/>
      <w:i/>
      <w:color w:val="8F5902"/>
      <w:shd w:fill="F8F8F8" w:val="clear"/>
    </w:rPr>
  </w:style>
  <w:style w:customStyle="1" w:styleId="AlertTok" w:type="character">
    <w:name w:val="AlertTok"/>
    <w:basedOn w:val="VerbatimChar"/>
    <w:qFormat/>
    <w:rPr>
      <w:color w:val="EF2929"/>
      <w:shd w:fill="F8F8F8" w:val="clear"/>
    </w:rPr>
  </w:style>
  <w:style w:customStyle="1" w:styleId="ErrorTok" w:type="character">
    <w:name w:val="ErrorTok"/>
    <w:basedOn w:val="VerbatimChar"/>
    <w:qFormat/>
    <w:rPr>
      <w:b/>
      <w:color w:val="A40000"/>
      <w:shd w:fill="F8F8F8" w:val="clear"/>
    </w:rPr>
  </w:style>
  <w:style w:customStyle="1" w:styleId="NormalTok" w:type="character">
    <w:name w:val="NormalTok"/>
    <w:basedOn w:val="VerbatimChar"/>
    <w:qFormat/>
    <w:rPr>
      <w:shd w:fill="F8F8F8" w:val="clear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Monserrat" w:cs="" w:cstheme="majorBidi" w:eastAsia="" w:eastAsiaTheme="majorEastAsia" w:hAnsi="Monserrat"/>
      <w:b/>
      <w:bCs/>
      <w:color w:themeShade="b5" w:val="6F8A47"/>
      <w:sz w:val="40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8F8F8" w:val="clea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32" Target="media/rId32.png" /><Relationship Type="http://schemas.openxmlformats.org/officeDocument/2006/relationships/image" Id="rId29" Target="media/rId29.jp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69" Target="media/rId69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50" Target="media/rId50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2</Pages>
  <Words>154</Words>
  <Characters>743</Characters>
  <CharactersWithSpaces>873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Regional report on complex forest characterization with NFI</dc:title>
  <dc:creator>Cristóbal Ordóñez, Irene Arroyo &amp; Felipe Bravo</dc:creator>
  <cp:keywords/>
  <dcterms:created xsi:type="dcterms:W3CDTF">2023-07-16T20:31:44Z</dcterms:created>
  <dcterms:modified xsi:type="dcterms:W3CDTF">2023-07-16T20:31:44Z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report.bib</vt:lpwstr>
  </property>
  <property fmtid="{D5CDD505-2E9C-101B-9397-08002B2CF9AE}" pid="4" name="date">
    <vt:lpwstr>“2023-07-16” ·  </vt:lpwstr>
  </property>
  <property fmtid="{D5CDD505-2E9C-101B-9397-08002B2CF9AE}" pid="5" name="documentclass">
    <vt:lpwstr>book</vt:lpwstr>
  </property>
  <property fmtid="{D5CDD505-2E9C-101B-9397-08002B2CF9AE}" pid="6" name="header-includes">
    <vt:lpwstr/>
  </property>
  <property fmtid="{D5CDD505-2E9C-101B-9397-08002B2CF9AE}" pid="7" name="linestretch">
    <vt:lpwstr>1.5</vt:lpwstr>
  </property>
  <property fmtid="{D5CDD505-2E9C-101B-9397-08002B2CF9AE}" pid="8" name="link-citations">
    <vt:lpwstr>True</vt:lpwstr>
  </property>
  <property fmtid="{D5CDD505-2E9C-101B-9397-08002B2CF9AE}" pid="9" name="output">
    <vt:lpwstr/>
  </property>
  <property fmtid="{D5CDD505-2E9C-101B-9397-08002B2CF9AE}" pid="10" name="shorttitle">
    <vt:lpwstr>Informe para el proyecto COMFORT-SUDOE</vt:lpwstr>
  </property>
</Properties>
</file>