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200"/>
        <w:contextualSpacing w:val="0"/>
      </w:pPr>
      <w:bookmarkStart w:id="0" w:colFirst="0" w:name="h.btpmssayjehk" w:colLast="0"/>
      <w:bookmarkEnd w:id="0"/>
      <w:r w:rsidRPr="00000000" w:rsidR="00000000" w:rsidDel="00000000">
        <w:rPr>
          <w:rtl w:val="0"/>
        </w:rPr>
        <w:t xml:space="preserve">NPC_PD2 Compound-file metadata</w:t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Here we describe the columns in the compound CSV file released in Feb. 2015 in the first public release of the NCATS-NPC Lilly-OIDD-PD2 phenotypic assay dataset.  This release is comprised of three datafiles, for (1) compounds, (2) assays, and (3) measured bioactivity, and associated metadata.</w:t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450.0" w:type="dxa"/>
        <w:jc w:val="left"/>
        <w:tblBorders>
          <w:top w:color="efefef" w:space="0" w:val="single" w:sz="18"/>
          <w:left w:color="efefef" w:space="0" w:val="single" w:sz="18"/>
          <w:bottom w:color="efefef" w:space="0" w:val="single" w:sz="18"/>
          <w:right w:color="efefef" w:space="0" w:val="single" w:sz="18"/>
          <w:insideH w:color="efefef" w:space="0" w:val="single" w:sz="18"/>
          <w:insideV w:color="efefef" w:space="0" w:val="single" w:sz="18"/>
        </w:tblBorders>
        <w:tblLayout w:type="fixed"/>
        <w:tblLook w:val="0600"/>
      </w:tblPr>
      <w:tblGrid>
        <w:gridCol w:w="3180"/>
        <w:gridCol w:w="1320"/>
        <w:gridCol w:w="4950"/>
        <w:tblGridChange w:id="0">
          <w:tblGrid>
            <w:gridCol w:w="3180"/>
            <w:gridCol w:w="1320"/>
            <w:gridCol w:w="495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OIDD:Serial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OIDD:NCATS_Name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NCGC_ID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OIDD:OIDD_ID of Untitled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OIDD:Trivial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OIDD:Drug DB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OIDD:Drug DB 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CAS RegNo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OIDD:Old NCGC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OIDD:NPC Browser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OIDD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NCATS:Sample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NCGC_ID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NCATS:PubChem 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NCATS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Substance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NCATS:Synonym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NCATS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SMILES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Structure associated with SID.  May be stereo, may be salt.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PUBCHEM_SUBSTANCE_ID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Substance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PUBCHEM_EXT_DATASOURCE_REGID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NCGC_ID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PUBCHEM_SUBSTANCE_SYNONYM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PUBCHEM_XREF_EXT_ID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PUBCHEM_CID_ASSOCIATIONS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PubChem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Compound ID</w:t>
            </w:r>
          </w:p>
        </w:tc>
      </w:tr>
    </w:tbl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11" w:right="1411" w:top="1411" w:bottom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NPC_PD2 Compound-file metadata.docx</dc:title>
</cp:coreProperties>
</file>