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iahetgu6o7aq" w:id="0"/>
      <w:bookmarkEnd w:id="0"/>
      <w:r w:rsidDel="00000000" w:rsidR="00000000" w:rsidRPr="00000000">
        <w:rPr>
          <w:rFonts w:ascii="Arial" w:cs="Arial" w:eastAsia="Arial" w:hAnsi="Arial"/>
          <w:rtl w:val="0"/>
        </w:rPr>
        <w:t xml:space="preserve">OPDDR Research Collaboration Phase 2 Final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Introduction</w:t>
      </w:r>
    </w:p>
    <w:p w:rsidR="00000000" w:rsidDel="00000000" w:rsidP="00000000" w:rsidRDefault="00000000" w:rsidRPr="00000000">
      <w:pPr>
        <w:contextualSpacing w:val="0"/>
      </w:pPr>
      <w:r w:rsidDel="00000000" w:rsidR="00000000" w:rsidRPr="00000000">
        <w:rPr>
          <w:rtl w:val="0"/>
        </w:rPr>
        <w:t xml:space="preserve">This report is submitted in accordance with the Lilly Resarch Collaboration Agreement between Eli Lilly &amp; Co (Lilly) and Data2Discovery, executed on June 11, 2015.  The work is part of an ongoing collaboration involving Lilly, NIH-NCATS, and Data2Discovery.  The role of Data2Discovery is informatics: transforming and integrating data to enhance semantic value, development of a Knowledge Network (KN),</w:t>
      </w:r>
      <w:r w:rsidDel="00000000" w:rsidR="00000000" w:rsidRPr="00000000">
        <w:rPr>
          <w:highlight w:val="white"/>
          <w:rtl w:val="0"/>
        </w:rPr>
        <w:t xml:space="preserve"> a publicly shared Open Phenotypic Drug Discovery Resource (OPDDR, aka PD2) which can be used to identify</w:t>
      </w:r>
      <w:r w:rsidDel="00000000" w:rsidR="00000000" w:rsidRPr="00000000">
        <w:rPr>
          <w:highlight w:val="white"/>
          <w:rtl w:val="0"/>
        </w:rPr>
        <w:t xml:space="preserve"> relationships between National Pharmaceutical Collection (NPC) compounds, phenotypic assays, ontological classes of assays, and associated public data on related molecular targets.</w:t>
      </w:r>
      <w:r w:rsidDel="00000000" w:rsidR="00000000" w:rsidRPr="00000000">
        <w:rPr>
          <w:rtl w:val="0"/>
        </w:rPr>
      </w:r>
    </w:p>
    <w:p w:rsidR="00000000" w:rsidDel="00000000" w:rsidP="00000000" w:rsidRDefault="00000000" w:rsidRPr="00000000">
      <w:pPr>
        <w:pStyle w:val="Heading1"/>
        <w:spacing w:after="0" w:lineRule="auto"/>
        <w:contextualSpacing w:val="0"/>
      </w:pPr>
      <w:bookmarkStart w:colFirst="0" w:colLast="0" w:name="h.kox0bigugthj" w:id="1"/>
      <w:bookmarkEnd w:id="1"/>
      <w:r w:rsidDel="00000000" w:rsidR="00000000" w:rsidRPr="00000000">
        <w:rPr>
          <w:rFonts w:ascii="Arial" w:cs="Arial" w:eastAsia="Arial" w:hAnsi="Arial"/>
          <w:rtl w:val="0"/>
        </w:rPr>
        <w:t xml:space="preserve">Accomplishments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per the agreement, the OPDDR has been developed and deployed, hosted by NCATS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Related publication:</w:t>
      </w:r>
      <w:r w:rsidDel="00000000" w:rsidR="00000000" w:rsidRPr="00000000">
        <w:rPr>
          <w:rtl w:val="0"/>
        </w:rPr>
        <w:t xml:space="preserve"> </w:t>
      </w:r>
      <w:hyperlink r:id="rId6">
        <w:r w:rsidDel="00000000" w:rsidR="00000000" w:rsidRPr="00000000">
          <w:rPr>
            <w:color w:val="1155cc"/>
            <w:u w:val="single"/>
            <w:rtl w:val="0"/>
          </w:rPr>
          <w:t xml:space="preserve">Novel Phenotypic Outcomes Identified for a Public Collection of Approved Drugs from a Publicly Accessible Panel of Assays </w:t>
        </w:r>
      </w:hyperlink>
      <w:r w:rsidDel="00000000" w:rsidR="00000000" w:rsidRPr="00000000">
        <w:rPr>
          <w:rtl w:val="0"/>
        </w:rPr>
        <w:t xml:space="preserve">, Lee JA, Shinn P, Jaken S, Oliver S, Willard FS, Heidler S, Peery RB, Oler J, Chu S, Southall N, Dexheimer TS, Smallwood J, Huang R, Guha R, Jadhav A, Cox K, Austin C AP, Simeonov, Sittampalam GS, Husain S, Franklin N, Wild DJ, Yang JJ, Sutherland JJ, Thomas CJ, (2015) PLoS ONE 10(7): e0130796. doi: 10.1371/journal.pone.0130796.</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recently and significantly revised (June 2015) PubChem RDF data model was integrated, informed via engagement with PubChem team (Bolton et al.) initiated by Data2Discovery.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BioAssay Ontology (BAO) integration informed by discussions with BAO team (S. Schurer), and with AstraZeneca (O. Enqvist) regarding their assay annotation template.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OpenPHACTS (OP) integration informed by discussions with OP, which entailed major revisions in the KN, and also revisions in the OP data model and API, to handle phenotypic assays. </w:t>
      </w:r>
      <w:r w:rsidDel="00000000" w:rsidR="00000000" w:rsidRPr="00000000">
        <w:rPr>
          <w:rtl w:val="0"/>
        </w:rPr>
      </w:r>
    </w:p>
    <w:p w:rsidR="00000000" w:rsidDel="00000000" w:rsidP="00000000" w:rsidRDefault="00000000" w:rsidRPr="00000000">
      <w:pPr>
        <w:pStyle w:val="Heading1"/>
        <w:spacing w:after="0" w:lineRule="auto"/>
        <w:contextualSpacing w:val="0"/>
      </w:pPr>
      <w:bookmarkStart w:colFirst="0" w:colLast="0" w:name="h.6cesi3yn9dij" w:id="2"/>
      <w:bookmarkEnd w:id="2"/>
      <w:r w:rsidDel="00000000" w:rsidR="00000000" w:rsidRPr="00000000">
        <w:rPr>
          <w:rFonts w:ascii="Arial" w:cs="Arial" w:eastAsia="Arial" w:hAnsi="Arial"/>
          <w:rtl w:val="0"/>
        </w:rPr>
        <w:t xml:space="preserve">Knowledge Network Description</w:t>
      </w:r>
    </w:p>
    <w:p w:rsidR="00000000" w:rsidDel="00000000" w:rsidP="00000000" w:rsidRDefault="00000000" w:rsidRPr="00000000">
      <w:pPr>
        <w:spacing w:after="200" w:lineRule="auto"/>
        <w:contextualSpacing w:val="0"/>
      </w:pPr>
      <w:r w:rsidDel="00000000" w:rsidR="00000000" w:rsidRPr="00000000">
        <w:rPr>
          <w:rtl w:val="0"/>
        </w:rPr>
        <w:t xml:space="preserve">The initial version of the KN is intended to provide a clear and easily comprehensible first step of describing the OPDDR compounds and assays in accordance with standardized community ontologies and namespaces, and relating these to protein targets from ChEMBL.  Biological networks can be extremely complex, and many further entity classes can be integrated in future (e.g. pathways), and will be facilitated by this initial KN.</w:t>
      </w:r>
      <w:r w:rsidDel="00000000" w:rsidR="00000000" w:rsidRPr="00000000">
        <w:rPr>
          <w:rtl w:val="0"/>
        </w:rPr>
      </w:r>
    </w:p>
    <w:p w:rsidR="00000000" w:rsidDel="00000000" w:rsidP="00000000" w:rsidRDefault="00000000" w:rsidRPr="00000000">
      <w:pPr>
        <w:pStyle w:val="Heading1"/>
        <w:spacing w:after="0" w:lineRule="auto"/>
        <w:contextualSpacing w:val="0"/>
      </w:pPr>
      <w:bookmarkStart w:colFirst="0" w:colLast="0" w:name="h.alr8yoldfwgu" w:id="3"/>
      <w:bookmarkEnd w:id="3"/>
      <w:r w:rsidDel="00000000" w:rsidR="00000000" w:rsidRPr="00000000">
        <w:rPr>
          <w:rFonts w:ascii="Arial" w:cs="Arial" w:eastAsia="Arial" w:hAnsi="Arial"/>
          <w:rtl w:val="0"/>
        </w:rPr>
        <w:t xml:space="preserve">Ontologies Used</w:t>
      </w:r>
    </w:p>
    <w:p w:rsidR="00000000" w:rsidDel="00000000" w:rsidP="00000000" w:rsidRDefault="00000000" w:rsidRPr="00000000">
      <w:pPr>
        <w:contextualSpacing w:val="0"/>
      </w:pPr>
      <w:r w:rsidDel="00000000" w:rsidR="00000000" w:rsidRPr="00000000">
        <w:rPr>
          <w:rtl w:val="0"/>
        </w:rPr>
        <w:t xml:space="preserve">The KN uses the following ontologies:</w:t>
      </w:r>
    </w:p>
    <w:p w:rsidR="00000000" w:rsidDel="00000000" w:rsidP="00000000" w:rsidRDefault="00000000" w:rsidRPr="00000000">
      <w:pPr>
        <w:contextualSpacing w:val="0"/>
      </w:pPr>
      <w:r w:rsidDel="00000000" w:rsidR="00000000" w:rsidRPr="00000000">
        <w:rPr>
          <w:rtl w:val="0"/>
        </w:rPr>
      </w:r>
    </w:p>
    <w:tbl>
      <w:tblPr>
        <w:tblStyle w:val="Table1"/>
        <w:bidi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300"/>
        <w:tblGridChange w:id="0">
          <w:tblGrid>
            <w:gridCol w:w="2790"/>
            <w:gridCol w:w="630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PubChem RDF</w:t>
            </w:r>
            <w:r w:rsidDel="00000000" w:rsidR="00000000" w:rsidRPr="00000000">
              <w:rPr>
                <w:b w:val="1"/>
                <w:vertAlign w:val="superscript"/>
              </w:rPr>
              <w:footnoteReference w:customMarkFollows="0" w:id="1"/>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reference for this project.  Mainly because assays and substances have been deposited into PubChem.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&lt;http://rdf.ncbi.nlm.nih.gov/pubchem/&gt;</w:t>
            </w:r>
          </w:p>
        </w:tc>
      </w:tr>
      <w:tr>
        <w:tc>
          <w:tcPr>
            <w:shd w:fill="f9cb9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BAO</w:t>
            </w:r>
            <w:r w:rsidDel="00000000" w:rsidR="00000000" w:rsidRPr="00000000">
              <w:rPr>
                <w:b w:val="1"/>
                <w:vertAlign w:val="superscript"/>
              </w:rPr>
              <w:footnoteReference w:customMarkFollows="0" w:id="2"/>
            </w:r>
            <w:r w:rsidDel="00000000" w:rsidR="00000000" w:rsidRPr="00000000">
              <w:rPr>
                <w:rtl w:val="0"/>
              </w:rPr>
            </w:r>
          </w:p>
        </w:tc>
        <w:tc>
          <w:tcPr>
            <w:shd w:fill="f9cb9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Bioassay classification.  Initially using a minimal set based on annotation template provided by AstraZeneca.  Only </w:t>
            </w:r>
            <w:hyperlink r:id="rId7">
              <w:r w:rsidDel="00000000" w:rsidR="00000000" w:rsidRPr="00000000">
                <w:rPr>
                  <w:color w:val="1155cc"/>
                  <w:u w:val="single"/>
                  <w:rtl w:val="0"/>
                </w:rPr>
                <w:t xml:space="preserve">bao_vocabulary_assay.owl</w:t>
              </w:r>
            </w:hyperlink>
            <w:r w:rsidDel="00000000" w:rsidR="00000000" w:rsidRPr="00000000">
              <w:rPr>
                <w:rtl w:val="0"/>
              </w:rPr>
              <w:t xml:space="preserve"> is required currently.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&lt;http://www.bioassayontology.org/bao#&gt;</w:t>
            </w:r>
          </w:p>
        </w:tc>
      </w:tr>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b w:val="1"/>
                <w:rtl w:val="0"/>
              </w:rPr>
              <w:t xml:space="preserve">ChEMBL RDF</w:t>
            </w:r>
            <w:r w:rsidDel="00000000" w:rsidR="00000000" w:rsidRPr="00000000">
              <w:rPr>
                <w:b w:val="1"/>
                <w:vertAlign w:val="superscript"/>
              </w:rPr>
              <w:footnoteReference w:customMarkFollows="0" w:id="3"/>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ChEMBL, Reactome, Uniprot endpoint &amp; downloads available.</w:t>
            </w:r>
          </w:p>
          <w:p w:rsidR="00000000" w:rsidDel="00000000" w:rsidP="00000000" w:rsidRDefault="00000000" w:rsidRPr="00000000">
            <w:pPr>
              <w:widowControl w:val="0"/>
              <w:spacing w:line="240" w:lineRule="auto"/>
              <w:contextualSpacing w:val="0"/>
            </w:pPr>
            <w:r w:rsidDel="00000000" w:rsidR="00000000" w:rsidRPr="00000000">
              <w:rPr>
                <w:rtl w:val="0"/>
              </w:rPr>
              <w:t xml:space="preserve">CCO = ChEMBL Core Ontology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&lt;http://rdf.ebi.ac.uk/terms/chembl#&gt;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OBO</w:t>
            </w:r>
            <w:r w:rsidDel="00000000" w:rsidR="00000000" w:rsidRPr="00000000">
              <w:rPr>
                <w:b w:val="1"/>
                <w:vertAlign w:val="superscript"/>
              </w:rPr>
              <w:footnoteReference w:customMarkFollows="0" w:id="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Open Biological and Biomedical Ontologies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BFO = Basic Formal Ontology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&lt;http://purl.obolibrary.org/obo/&gt;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SIO</w:t>
            </w:r>
            <w:r w:rsidDel="00000000" w:rsidR="00000000" w:rsidRPr="00000000">
              <w:rPr>
                <w:b w:val="1"/>
                <w:vertAlign w:val="superscript"/>
              </w:rPr>
              <w:footnoteReference w:customMarkFollows="0"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Semanticscience Integrated Ontology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&lt;http://semanticscience.org/resource/&gt;</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p4zc81hd2rg" w:id="4"/>
      <w:bookmarkEnd w:id="4"/>
      <w:r w:rsidDel="00000000" w:rsidR="00000000" w:rsidRPr="00000000">
        <w:rPr>
          <w:rFonts w:ascii="Arial" w:cs="Arial" w:eastAsia="Arial" w:hAnsi="Arial"/>
          <w:rtl w:val="0"/>
        </w:rPr>
        <w:t xml:space="preserve">Entities:</w:t>
      </w:r>
      <w:r w:rsidDel="00000000" w:rsidR="00000000" w:rsidRPr="00000000">
        <w:rPr>
          <w:rtl w:val="0"/>
        </w:rPr>
      </w:r>
    </w:p>
    <w:tbl>
      <w:tblPr>
        <w:tblStyle w:val="Table2"/>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3060"/>
        <w:tblGridChange w:id="0">
          <w:tblGrid>
            <w:gridCol w:w="6060"/>
            <w:gridCol w:w="306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entity [abbr] namespace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example</w:t>
            </w:r>
          </w:p>
        </w:tc>
      </w:tr>
      <w:tr>
        <w:tc>
          <w:tcPr>
            <w:shd w:fill="cfe2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substance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&lt;</w:t>
            </w:r>
            <w:r w:rsidDel="00000000" w:rsidR="00000000" w:rsidRPr="00000000">
              <w:rPr>
                <w:rtl w:val="0"/>
              </w:rPr>
              <w:t xml:space="preserve">http://rdf.ncbi.nlm.nih.gov/pubchem/substance/&gt;</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SID124893119</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compound</w:t>
            </w:r>
          </w:p>
          <w:p w:rsidR="00000000" w:rsidDel="00000000" w:rsidP="00000000" w:rsidRDefault="00000000" w:rsidRPr="00000000">
            <w:pPr>
              <w:spacing w:line="240" w:lineRule="auto"/>
              <w:contextualSpacing w:val="0"/>
            </w:pPr>
            <w:r w:rsidDel="00000000" w:rsidR="00000000" w:rsidRPr="00000000">
              <w:rPr>
                <w:rtl w:val="0"/>
              </w:rPr>
              <w:t xml:space="preserve">&lt;http://rdf.ncbi.nlm.nih.gov/pubchem/compound/&gt;</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CID1131</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assay </w:t>
            </w:r>
            <w:r w:rsidDel="00000000" w:rsidR="00000000" w:rsidRPr="00000000">
              <w:rPr>
                <w:rtl w:val="0"/>
              </w:rPr>
              <w:t xml:space="preserve">(bioassay)</w:t>
            </w:r>
          </w:p>
          <w:p w:rsidR="00000000" w:rsidDel="00000000" w:rsidP="00000000" w:rsidRDefault="00000000" w:rsidRPr="00000000">
            <w:pPr>
              <w:spacing w:line="240" w:lineRule="auto"/>
              <w:contextualSpacing w:val="0"/>
            </w:pPr>
            <w:r w:rsidDel="00000000" w:rsidR="00000000" w:rsidRPr="00000000">
              <w:rPr>
                <w:rtl w:val="0"/>
              </w:rPr>
              <w:t xml:space="preserve">&lt;http://rdf.ncbi.nlm.nih.gov/pubchem/bioassay/&gt;</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AID1117354</w:t>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measuregroup </w:t>
            </w:r>
            <w:r w:rsidDel="00000000" w:rsidR="00000000" w:rsidRPr="00000000">
              <w:rPr>
                <w:rtl w:val="0"/>
              </w:rPr>
              <w:t xml:space="preserve">(measureg)</w:t>
            </w:r>
          </w:p>
          <w:p w:rsidR="00000000" w:rsidDel="00000000" w:rsidP="00000000" w:rsidRDefault="00000000" w:rsidRPr="00000000">
            <w:pPr>
              <w:spacing w:line="240" w:lineRule="auto"/>
              <w:contextualSpacing w:val="0"/>
            </w:pPr>
            <w:r w:rsidDel="00000000" w:rsidR="00000000" w:rsidRPr="00000000">
              <w:rPr>
                <w:rtl w:val="0"/>
              </w:rPr>
              <w:t xml:space="preserve">&lt;http://rdf.ncbi.nlm.nih.gov/pubchem/measuregroup/&gt;</w:t>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AID1117354</w:t>
            </w:r>
          </w:p>
        </w:tc>
      </w:tr>
      <w:tr>
        <w:tc>
          <w:tcPr>
            <w:shd w:fill="cfe2f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endpoint</w:t>
            </w:r>
          </w:p>
          <w:p w:rsidR="00000000" w:rsidDel="00000000" w:rsidP="00000000" w:rsidRDefault="00000000" w:rsidRPr="00000000">
            <w:pPr>
              <w:spacing w:line="240" w:lineRule="auto"/>
              <w:contextualSpacing w:val="0"/>
            </w:pPr>
            <w:r w:rsidDel="00000000" w:rsidR="00000000" w:rsidRPr="00000000">
              <w:rPr>
                <w:rtl w:val="0"/>
              </w:rPr>
              <w:t xml:space="preserve">&lt;http://rdf.ncbi.nlm.nih.gov/pubchem/endpoint/&gt;</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SID124893119_AID1117354</w:t>
            </w:r>
          </w:p>
        </w:tc>
      </w:tr>
      <w:tr>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protein</w:t>
            </w:r>
          </w:p>
          <w:p w:rsidR="00000000" w:rsidDel="00000000" w:rsidP="00000000" w:rsidRDefault="00000000" w:rsidRPr="00000000">
            <w:pPr>
              <w:spacing w:line="240" w:lineRule="auto"/>
              <w:contextualSpacing w:val="0"/>
            </w:pPr>
            <w:r w:rsidDel="00000000" w:rsidR="00000000" w:rsidRPr="00000000">
              <w:rPr>
                <w:rtl w:val="0"/>
              </w:rPr>
              <w:t xml:space="preserve">&lt;http://rdf.ncbi.nlm.nih.gov/pubchem/protein/&gt;</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GI124375976</w:t>
            </w:r>
          </w:p>
        </w:tc>
      </w:tr>
      <w:tr>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target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&lt;http://rdf.ebi.ac.uk/resource/chembl/target/&gt;</w:t>
            </w:r>
          </w:p>
        </w:tc>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CHEMBL3038470</w:t>
            </w:r>
          </w:p>
        </w:tc>
      </w:tr>
      <w:tr>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targetcomponent </w:t>
            </w:r>
            <w:r w:rsidDel="00000000" w:rsidR="00000000" w:rsidRPr="00000000">
              <w:rPr>
                <w:rtl w:val="0"/>
              </w:rPr>
              <w:t xml:space="preserve">(target_cmpt)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&lt;http://rdf.ebi.ac.uk/resource/chembl/targetcomponent/&gt;</w:t>
            </w:r>
          </w:p>
        </w:tc>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CHEMBL_TC_1927</w:t>
            </w:r>
          </w:p>
        </w:tc>
      </w:tr>
      <w:tr>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UniprotRef </w:t>
            </w:r>
            <w:r w:rsidDel="00000000" w:rsidR="00000000" w:rsidRPr="00000000">
              <w:rPr>
                <w:rtl w:val="0"/>
              </w:rPr>
              <w:t xml:space="preserve">(uniprot)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&lt;http://rdf.ebi.ac.uk/terms/chembl#UniprotRef&gt;</w:t>
            </w:r>
          </w:p>
        </w:tc>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P53350</w:t>
            </w:r>
          </w:p>
        </w:tc>
      </w:tr>
      <w:tr>
        <w:tc>
          <w:tcPr>
            <w:shd w:fill="f4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assay</w:t>
            </w:r>
          </w:p>
          <w:p w:rsidR="00000000" w:rsidDel="00000000" w:rsidP="00000000" w:rsidRDefault="00000000" w:rsidRPr="00000000">
            <w:pPr>
              <w:spacing w:line="240" w:lineRule="auto"/>
              <w:contextualSpacing w:val="0"/>
            </w:pPr>
            <w:r w:rsidDel="00000000" w:rsidR="00000000" w:rsidRPr="00000000">
              <w:rPr>
                <w:rtl w:val="0"/>
              </w:rPr>
              <w:t xml:space="preserve">&lt;http://rdf.ebi.ac.uk/resource/chembl/assay/&gt;</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CHEMBL987214</w:t>
            </w:r>
          </w:p>
        </w:tc>
      </w:tr>
      <w:tr>
        <w:tc>
          <w:tcPr>
            <w:shd w:fill="f4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activity</w:t>
            </w:r>
          </w:p>
          <w:p w:rsidR="00000000" w:rsidDel="00000000" w:rsidP="00000000" w:rsidRDefault="00000000" w:rsidRPr="00000000">
            <w:pPr>
              <w:spacing w:line="240" w:lineRule="auto"/>
              <w:contextualSpacing w:val="0"/>
            </w:pPr>
            <w:r w:rsidDel="00000000" w:rsidR="00000000" w:rsidRPr="00000000">
              <w:rPr>
                <w:rtl w:val="0"/>
              </w:rPr>
              <w:t xml:space="preserve">&lt;http://rdf.ebi.ac.uk/resource/chembl/activity/&gt;</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CHEMBL_ACT_2470294</w:t>
            </w:r>
          </w:p>
        </w:tc>
      </w:tr>
      <w:tr>
        <w:tc>
          <w:tcPr>
            <w:shd w:fill="f4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molecule</w:t>
            </w:r>
          </w:p>
          <w:p w:rsidR="00000000" w:rsidDel="00000000" w:rsidP="00000000" w:rsidRDefault="00000000" w:rsidRPr="00000000">
            <w:pPr>
              <w:spacing w:line="240" w:lineRule="auto"/>
              <w:contextualSpacing w:val="0"/>
            </w:pPr>
            <w:r w:rsidDel="00000000" w:rsidR="00000000" w:rsidRPr="00000000">
              <w:rPr>
                <w:rtl w:val="0"/>
              </w:rPr>
              <w:t xml:space="preserve">&lt;http://rdf.ebi.ac.uk/resource/chembl/molecule/&gt;</w:t>
            </w: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CHEMBL44884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Note that PubChem </w:t>
      </w:r>
      <w:r w:rsidDel="00000000" w:rsidR="00000000" w:rsidRPr="00000000">
        <w:rPr>
          <w:i w:val="1"/>
          <w:highlight w:val="white"/>
          <w:rtl w:val="0"/>
        </w:rPr>
        <w:t xml:space="preserve">compounds</w:t>
      </w:r>
      <w:r w:rsidDel="00000000" w:rsidR="00000000" w:rsidRPr="00000000">
        <w:rPr>
          <w:highlight w:val="white"/>
          <w:rtl w:val="0"/>
        </w:rPr>
        <w:t xml:space="preserve"> are required in addition to </w:t>
      </w:r>
      <w:r w:rsidDel="00000000" w:rsidR="00000000" w:rsidRPr="00000000">
        <w:rPr>
          <w:i w:val="1"/>
          <w:highlight w:val="white"/>
          <w:rtl w:val="0"/>
        </w:rPr>
        <w:t xml:space="preserve">substances</w:t>
      </w:r>
      <w:r w:rsidDel="00000000" w:rsidR="00000000" w:rsidRPr="00000000">
        <w:rPr>
          <w:highlight w:val="white"/>
          <w:rtl w:val="0"/>
        </w:rPr>
        <w:t xml:space="preserve">.  Compounds refer to canonically defined and identifiable chemical entities which can be linked across databases; Substances refer to specific samples of compounds as provided by a supplier.  We thus include both, to be as comprehensive and specific as possible.   Note also that PubChem measuregroups are defined for each assay, for example, the measuregroup URI for AID12345 is </w:t>
      </w:r>
      <w:hyperlink r:id="rId8">
        <w:r w:rsidDel="00000000" w:rsidR="00000000" w:rsidRPr="00000000">
          <w:rPr>
            <w:color w:val="1155cc"/>
            <w:u w:val="single"/>
            <w:rtl w:val="0"/>
          </w:rPr>
          <w:t xml:space="preserve">http://rdf.ncbi.nlm.nih.gov/pubchem/measuregroup/AID12345</w:t>
        </w:r>
      </w:hyperlink>
      <w:r w:rsidDel="00000000" w:rsidR="00000000" w:rsidRPr="00000000">
        <w:rPr>
          <w:rtl w:val="0"/>
        </w:rPr>
        <w:t xml:space="preserve">.  PubChem endpoints represent activity outcomes.  ChEMBL RDF represents bioactivities somewhat differently than PubChem, but we can rigorously link these data via chemical structure and CIDs.</w:t>
      </w:r>
      <w:r w:rsidDel="00000000" w:rsidR="00000000" w:rsidRPr="00000000">
        <w:rPr>
          <w:rtl w:val="0"/>
        </w:rPr>
      </w:r>
    </w:p>
    <w:p w:rsidR="00000000" w:rsidDel="00000000" w:rsidP="00000000" w:rsidRDefault="00000000" w:rsidRPr="00000000">
      <w:pPr>
        <w:pStyle w:val="Heading1"/>
        <w:contextualSpacing w:val="0"/>
      </w:pPr>
      <w:bookmarkStart w:colFirst="0" w:colLast="0" w:name="h.juq50bxl8w9o" w:id="5"/>
      <w:bookmarkEnd w:id="5"/>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KN Statistics</w:t>
      </w:r>
      <w:r w:rsidDel="00000000" w:rsidR="00000000" w:rsidRPr="00000000">
        <w:rPr>
          <w:rtl w:val="0"/>
        </w:rPr>
      </w:r>
    </w:p>
    <w:tbl>
      <w:tblPr>
        <w:tblStyle w:val="Table3"/>
        <w:bidi w:val="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20"/>
        <w:gridCol w:w="5610"/>
        <w:tblGridChange w:id="0">
          <w:tblGrid>
            <w:gridCol w:w="1920"/>
            <w:gridCol w:w="1920"/>
            <w:gridCol w:w="561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t xml:space="preserve">type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count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substance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SIDs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compound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CIDs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assay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AIDs.  Summary AID is 36th.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measuregroup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AIDs.  Default for assay.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endpoint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2511*35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SID-AID pairs.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targets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4977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ChEMBL IDs.  All single-component.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protein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4977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A.k.a. target component.  With UniprotRefs.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t xml:space="preserve">protein 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584,157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 ChEMBL, but includes PubChem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PD2 activity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5320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“ACTIVE” outcomes from results.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assay classifications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Manually curated PD2 to BAO associations.  Exported from worksheet.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sekhh1cvm6" w:id="6"/>
      <w:bookmarkEnd w:id="6"/>
      <w:r w:rsidDel="00000000" w:rsidR="00000000" w:rsidRPr="00000000">
        <w:rPr>
          <w:rFonts w:ascii="Arial" w:cs="Arial" w:eastAsia="Arial" w:hAnsi="Arial"/>
          <w:rtl w:val="0"/>
        </w:rPr>
        <w:t xml:space="preserve">Asserted triplets, patterns and examples </w:t>
      </w:r>
      <w:r w:rsidDel="00000000" w:rsidR="00000000" w:rsidRPr="00000000">
        <w:rPr>
          <w:rtl w:val="0"/>
        </w:rPr>
      </w:r>
    </w:p>
    <w:tbl>
      <w:tblPr>
        <w:tblStyle w:val="Table4"/>
        <w:bidi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315"/>
        <w:tblGridChange w:id="0">
          <w:tblGrid>
            <w:gridCol w:w="2775"/>
            <w:gridCol w:w="631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examples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assay to BAO class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bioassay:AID1117354 rdf:type bao:BAO_0000015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assay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bioassay:AID1117354 dcterms:title "human JAK2 kinase inhibition-screen"@en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assay to measuregroup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bioassay:AID1117354 bao:BAO_0000209 measuregroup:AID1117354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substance to NCGC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substance:SID144206486 skos:exactMatch ncats_sample:NCGC00182710-02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substance to measure group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substance:SID124882766 obo:BFO_0000056 measureg:AID1117326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endpoint outcome (activity)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endpoint:SID170466632_AID743241 vocabulary:PubChemAssayOutcome vocabulary:inactive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endpoint class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endpoint:SID103164874_AID443491 rdf:type bao:BAO_0000190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substance to compound association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substance:SID124893119 sio:CHEMINF_000477 compound:CID1131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assay to OIDD 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bioassay:AID1117350 skos:exactMatch  oidd_assay:17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ChEMBL target to UniProt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chembl_target:CHEMBL5464 cco:targetXref uniprot:Q13546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ChEMBL target to assay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chembl_target:CHEMBL5464 cco:hasAssay assay:CHEMBL3110727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ChEMBL target to target component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chembl_target:CHEMBL1867 cco:hasTargetComponent chembl_targetcmpt:CHEMBL_TC_180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ChEMBL target component to Uniprot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chembl_targetcmpt:CHEMBL_TC_180 cco:targetCmptXref uniprot:P08913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ChEMBL assay to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assay:CHEMBL3110727 cco:hasActivity activity:CHEMBL_ACT_13890030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ChEMBL molecule to activity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chembl_molecule:CHEMBL313842 cco:hasActivity activity:CHEMBL_ACT_14447741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tl w:val="0"/>
              </w:rPr>
              <w:t xml:space="preserve">PubChem substance to ChEMBL molecule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substance:SID225144242 skos:exactMatch molecule:CHEMBL1474122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tcMar>
              <w:top w:w="100.0" w:type="dxa"/>
              <w:left w:w="100.0" w:type="dxa"/>
              <w:bottom w:w="100.0" w:type="dxa"/>
              <w:right w:w="100.0" w:type="dxa"/>
            </w:tcMar>
          </w:tcPr>
          <w:p w:rsidR="00000000" w:rsidDel="00000000" w:rsidP="00000000" w:rsidRDefault="00000000" w:rsidRPr="00000000">
            <w:pPr>
              <w:pStyle w:val="Heading1"/>
              <w:contextualSpacing w:val="0"/>
              <w:jc w:val="center"/>
            </w:pPr>
            <w:bookmarkStart w:colFirst="0" w:colLast="0" w:name="h.im0kepgiskph" w:id="7"/>
            <w:bookmarkEnd w:id="7"/>
            <w:r w:rsidDel="00000000" w:rsidR="00000000" w:rsidRPr="00000000">
              <w:drawing>
                <wp:inline distB="114300" distT="114300" distL="114300" distR="114300">
                  <wp:extent cx="4539425" cy="3371850"/>
                  <wp:effectExtent b="0" l="0" r="0" t="0"/>
                  <wp:docPr descr="OPDDR schema.png" id="1" name="image01.png"/>
                  <a:graphic>
                    <a:graphicData uri="http://schemas.openxmlformats.org/drawingml/2006/picture">
                      <pic:pic>
                        <pic:nvPicPr>
                          <pic:cNvPr descr="OPDDR schema.png" id="0" name="image01.png"/>
                          <pic:cNvPicPr preferRelativeResize="0"/>
                        </pic:nvPicPr>
                        <pic:blipFill>
                          <a:blip r:embed="rId9"/>
                          <a:srcRect b="12631" l="5834" r="15663" t="9579"/>
                          <a:stretch>
                            <a:fillRect/>
                          </a:stretch>
                        </pic:blipFill>
                        <pic:spPr>
                          <a:xfrm>
                            <a:off x="0" y="0"/>
                            <a:ext cx="4539425" cy="337185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OPDDR RDF schema, simplified, showing source relationships.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7wlmi128xb" w:id="8"/>
      <w:bookmarkEnd w:id="8"/>
      <w:r w:rsidDel="00000000" w:rsidR="00000000" w:rsidRPr="00000000">
        <w:rPr>
          <w:rFonts w:ascii="Arial" w:cs="Arial" w:eastAsia="Arial" w:hAnsi="Arial"/>
          <w:rtl w:val="0"/>
        </w:rPr>
        <w:t xml:space="preserve">Files:</w:t>
      </w:r>
    </w:p>
    <w:p w:rsidR="00000000" w:rsidDel="00000000" w:rsidP="00000000" w:rsidRDefault="00000000" w:rsidRPr="00000000">
      <w:pPr>
        <w:contextualSpacing w:val="0"/>
      </w:pPr>
      <w:r w:rsidDel="00000000" w:rsidR="00000000" w:rsidRPr="00000000">
        <w:rPr>
          <w:rtl w:val="0"/>
        </w:rPr>
        <w:t xml:space="preserve">The following files comprise this release.  Files are grouped below by source, each file from one source only.</w:t>
      </w:r>
    </w:p>
    <w:tbl>
      <w:tblPr>
        <w:tblStyle w:val="Table6"/>
        <w:bidi w:val="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30"/>
        <w:gridCol w:w="5655"/>
        <w:tblGridChange w:id="0">
          <w:tblGrid>
            <w:gridCol w:w="2565"/>
            <w:gridCol w:w="1230"/>
            <w:gridCol w:w="565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file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source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npcpd2_assay.ttl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OPDDR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Assay links to OIDD namespace.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bioassay:AID1117326 skos:exactMatch oidd_assay:4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npcpd2_bao.ttl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OPDDR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Manually curated BAO classifications.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bioassay:AID1117352 rdf:type bao:BAO_0000219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npcpd2_substance.ttl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OPDDR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Substance links to NCATS namespace.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substance:SID170465644 skos:exactMatch ncats_sample:NCGC00160518-03</w:t>
            </w:r>
          </w:p>
        </w:tc>
      </w:tr>
      <w:tr>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bao_vocabulary_assay.owl</w:t>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BAO</w:t>
            </w:r>
          </w:p>
        </w:tc>
        <w:tc>
          <w:tcPr>
            <w:shd w:fill="f9cb9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BAO module with bioassay class hierarchy. </w:t>
            </w:r>
          </w:p>
        </w:tc>
      </w:tr>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pubchem_vocabulary.owl</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PubChem</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PubChem module with bioactivity terms etc.</w:t>
            </w:r>
          </w:p>
        </w:tc>
      </w:tr>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pubchem_pd2_assay.ttl</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PubChem</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RDF, includes titles, measuregroups.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bioassay:AID1117356 bao:BAO_0000209 measuregroup:AID1117356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bioassay:AID1117351 dcterms:title "Increased HeLa cells with 4N DNA content-IC50"@en </w:t>
            </w:r>
          </w:p>
        </w:tc>
      </w:tr>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pubchem_pd2_substance.ttl</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PubChem</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RDF, includes CIDs, measuregroups.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substance:SID124882766 obo:BFO_0000056 measuregroup:AID1117326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endpoint:SID124882766_AID1117342 obo:IAO_0000136 substance:SID124882766 .</w:t>
            </w: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pubchem_pd2_endpoint.ttl</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PubChem</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PubChem RDF, includes endpoints, activity results.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endpoint:SID170464708_AID1117354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obo:IAO_0000136 substance:SID170464708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vocabulary:PubChemAssayOutcome vocabulary:inactive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measuregroup:AID1117354 obo:OBI_0000299 endpoint:SID170464708_AID1117354 .</w:t>
            </w:r>
            <w:r w:rsidDel="00000000" w:rsidR="00000000" w:rsidRPr="00000000">
              <w:rPr>
                <w:rtl w:val="0"/>
              </w:rPr>
            </w:r>
          </w:p>
        </w:tc>
      </w:tr>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chembl_cco.ttl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ChEMBL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ChEMBL Core Ontology</w:t>
            </w:r>
          </w:p>
        </w:tc>
      </w:tr>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chembl_target.ttl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ChEMBL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ChEMBL protein targets.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chembl_target:CHEMBL2366239 a cco:SingleProtein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        dcterms:title "KLE"</w:t>
            </w:r>
            <w:r w:rsidDel="00000000" w:rsidR="00000000" w:rsidRPr="00000000">
              <w:rPr>
                <w:rtl w:val="0"/>
              </w:rPr>
            </w:r>
          </w:p>
        </w:tc>
      </w:tr>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chembl_rdf_activity.ttl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ChEMBL</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PubChem substance links to ChEMBL molecules, activities, assays, targets, target components, Uniprots.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substance:SID170466134 skos:exactMatch chembl_molecule:CHEMBL1230222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chembl_molecule:CHEMBL44884 cco:hasActivity chembl_activity:CHEMBL_ACT_7667167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chembl_target:CHEMBL218 cco:hasAssay chembl_assay:CHEMBL1909122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chembl_target:CHEMBL218 cco:hasTargetComponent chembl_targetcmpt:CHEMBL_TC_172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chembl_targetcmpt:CHEMBL_TC_172 cco:targetCmptXref uniprot:P21554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uniprot:P21554 a cco:UniprotRef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aiypu3e8yi" w:id="9"/>
      <w:bookmarkEnd w:id="9"/>
      <w:r w:rsidDel="00000000" w:rsidR="00000000" w:rsidRPr="00000000">
        <w:rPr>
          <w:rFonts w:ascii="Arial" w:cs="Arial" w:eastAsia="Arial" w:hAnsi="Arial"/>
          <w:rtl w:val="0"/>
        </w:rPr>
        <w:t xml:space="preserve">Project Status, Future</w:t>
      </w:r>
    </w:p>
    <w:p w:rsidR="00000000" w:rsidDel="00000000" w:rsidP="00000000" w:rsidRDefault="00000000" w:rsidRPr="00000000">
      <w:pPr>
        <w:contextualSpacing w:val="0"/>
      </w:pPr>
      <w:r w:rsidDel="00000000" w:rsidR="00000000" w:rsidRPr="00000000">
        <w:rPr>
          <w:rtl w:val="0"/>
        </w:rPr>
        <w:t xml:space="preserve">This initial KN Beta Version provides sufficient associations for semantic exploration across PD2 phenotypic and public biochemical assays for the NPC substances.  The integration with PubChem, ChEMBL, and OpenPHACTS adds value in multiple ways, linking to a large, diverse and expanding ecosystem of public biomedical knowledge.  Additional assay annotations can add further value, whereby the knowledge model developed can represent and derive high value from the unique knowledge of domain specialists and facilitate the links which power and advance data intensive research.</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0" w:type="default"/>
      <w:pgSz w:h="16838" w:w="11906"/>
      <w:pgMar w:bottom="1137.6000000000001" w:top="1411.2" w:left="1411.2" w:right="141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8"/>
        <w:szCs w:val="18"/>
        <w:rtl w:val="0"/>
      </w:rPr>
      <w:t xml:space="preserve">Oct 18</w:t>
    </w:r>
    <w:r w:rsidDel="00000000" w:rsidR="00000000" w:rsidRPr="00000000">
      <w:rPr>
        <w:sz w:val="18"/>
        <w:szCs w:val="18"/>
        <w:rtl w:val="0"/>
      </w:rPr>
      <w:t xml:space="preserve">, 2015</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https://pubchem.ncbi.nlm.nih.gov/rdf/</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http://bioassayontology.org/</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http://www.obofoundry.org/</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http://semanticscience.org/</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https://www.ebi.ac.uk/rdf/</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https://ncats.nih.gov/expertise/preclinical/pd2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01.png"/><Relationship Id="rId5" Type="http://schemas.openxmlformats.org/officeDocument/2006/relationships/styles" Target="styles.xml"/><Relationship Id="rId6" Type="http://schemas.openxmlformats.org/officeDocument/2006/relationships/hyperlink" Target="http://journals.plos.org/plosone/article?id=10.1371/journal.pone.0130796" TargetMode="External"/><Relationship Id="rId7" Type="http://schemas.openxmlformats.org/officeDocument/2006/relationships/hyperlink" Target="http://www.bioassayontology.org/bao/bao_vocabulary_assay.owl" TargetMode="External"/><Relationship Id="rId8" Type="http://schemas.openxmlformats.org/officeDocument/2006/relationships/hyperlink" Target="http://rdf.ncbi.nlm.nih.gov/pubchem/measuregroup/AID12345" TargetMode="External"/></Relationships>
</file>