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&lt;INSERT ORGANISATION NAME&gt; MENTAL HEALTH DISCUSSION OPENERS CHECKLIST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5"/>
        <w:gridCol w:w="941"/>
        <w:tblGridChange w:id="0">
          <w:tblGrid>
            <w:gridCol w:w="8075"/>
            <w:gridCol w:w="94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MENTAL HEALTH DISCUSSION OPENERS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the steps below to ensure you approach the subject in a sensitive and appropriate manner. Tick of each point after completion.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Avoid interruptions – switch off phones and ensure colleagues can’t walk in and interrupt.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you’ve allowed enough time to talk.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 simple, open questions (e.g. How are you feeling? I noticed that you seem a bit upset – is everything OK? Do you know where to get support to help you?)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 the employee how you can help.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Avoid judgemental or patronising responses.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Speak calmly.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 good eye contact.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Listen actively and carefully.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empathy and understanding.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the person share as much or little as they want – be prepared for some silences and be patient.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Avoid making assumptions or being prescriptive.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plan, put this in writing and follow up regularly.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Adapted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People manager’s guide to mental health (CIPD and Mind) and Listen up – let’s talk about mental health</w:t>
      </w:r>
      <w:r w:rsidDel="00000000" w:rsidR="00000000" w:rsidRPr="00000000">
        <w:rPr>
          <w:sz w:val="24"/>
          <w:szCs w:val="24"/>
          <w:rtl w:val="0"/>
        </w:rPr>
        <w:t xml:space="preserve"> (Business in the Community).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lineRule="auto"/>
      <w:rPr>
        <w:b w:val="1"/>
        <w:i w:val="1"/>
        <w:sz w:val="12"/>
        <w:szCs w:val="12"/>
      </w:rPr>
    </w:pPr>
    <w:bookmarkStart w:colFirst="0" w:colLast="0" w:name="_heading=h.gjdgxs" w:id="0"/>
    <w:bookmarkEnd w:id="0"/>
    <w:r w:rsidDel="00000000" w:rsidR="00000000" w:rsidRPr="00000000">
      <w:rPr>
        <w:b w:val="1"/>
        <w:i w:val="1"/>
        <w:sz w:val="12"/>
        <w:szCs w:val="12"/>
      </w:rPr>
      <w:drawing>
        <wp:inline distB="114300" distT="114300" distL="114300" distR="114300">
          <wp:extent cx="581230" cy="58123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230" cy="581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2vfbfej7l2m5" w:id="1"/>
    <w:bookmarkEnd w:id="1"/>
    <w:r w:rsidDel="00000000" w:rsidR="00000000" w:rsidRPr="00000000">
      <w:rPr>
        <w:b w:val="1"/>
        <w:i w:val="1"/>
        <w:sz w:val="12"/>
        <w:szCs w:val="12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sz w:val="12"/>
        <w:szCs w:val="12"/>
        <w:rtl w:val="0"/>
      </w:rPr>
      <w:t xml:space="preserve">Tongle Group Holding Sdn Bhd</w:t>
    </w:r>
  </w:p>
  <w:p w:rsidR="00000000" w:rsidDel="00000000" w:rsidP="00000000" w:rsidRDefault="00000000" w:rsidRPr="00000000" w14:paraId="00000027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d1nepqhot7uk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45D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0C2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0C27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F79D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79D8"/>
  </w:style>
  <w:style w:type="paragraph" w:styleId="Footer">
    <w:name w:val="footer"/>
    <w:basedOn w:val="Normal"/>
    <w:link w:val="FooterChar"/>
    <w:uiPriority w:val="99"/>
    <w:unhideWhenUsed w:val="1"/>
    <w:rsid w:val="003F79D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79D8"/>
  </w:style>
  <w:style w:type="paragraph" w:styleId="ListParagraph">
    <w:name w:val="List Paragraph"/>
    <w:basedOn w:val="Normal"/>
    <w:uiPriority w:val="34"/>
    <w:qFormat w:val="1"/>
    <w:rsid w:val="0030731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82A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pnE6EqkE64dMfC+t5tPoVeyKw==">CgMxLjAyCGguZ2pkZ3hzMg5oLjJ2ZmJmZWo3bDJtNTIOaC5kMW5lcHFob3Q3dWs4AHIhMXI1ak5weDE5NE42NmVLV0FsVGF2VXd5SExmWnlIdnZm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2019-10-17T11:10:00Z</dcterms:created>
  <dc:creator>Daniels, Kathy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0x010100A40E691B02C17A459195BAE1F7500F75</vt:lpwstr>
  </property>
</Properties>
</file>