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3.jpg" ContentType="image/jpeg"/>
  <Override PartName="/word/media/rId69.jpg" ContentType="image/jpeg"/>
  <Override PartName="/word/media/rId80.jpg" ContentType="image/jpeg"/>
  <Override PartName="/word/media/rId88.jpg" ContentType="image/jpeg"/>
  <Override PartName="/word/media/rId92.jpg" ContentType="image/jpeg"/>
  <Override PartName="/word/media/rId112.jpg" ContentType="image/jpeg"/>
  <Override PartName="/word/media/rId117.jpg" ContentType="image/jpeg"/>
  <Override PartName="/word/media/rId122.jpg" ContentType="image/jpeg"/>
  <Override PartName="/word/media/rId126.jpg" ContentType="image/jpeg"/>
  <Override PartName="/word/media/rId134.jpg" ContentType="image/jpeg"/>
  <Override PartName="/word/media/rId148.jpg" ContentType="image/jpeg"/>
  <Override PartName="/word/media/rId157.jpg" ContentType="image/jpeg"/>
  <Override PartName="/word/media/rId164.jpg" ContentType="image/jpeg"/>
  <Override PartName="/word/media/rId169.jpg" ContentType="image/jpeg"/>
  <Override PartName="/word/media/rId17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r>
        <w:t xml:space="preserve"> </w:t>
      </w: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27</w:t>
      </w:r>
      <w:r>
        <w:t xml:space="preserve"> </w:t>
      </w:r>
      <w:r>
        <w:t xml:space="preserve">November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C.M. (2023).</w:t>
      </w:r>
      <w:r>
        <w:t xml:space="preserve"> </w:t>
      </w:r>
      <w:hyperlink r:id="rId26">
        <w:r>
          <w:rPr>
            <w:rStyle w:val="Hyperlink"/>
            <w:iCs/>
            <w:i/>
          </w:rPr>
          <w:t xml:space="preserve">Through the Looking Glass: I. Why Cross-Fertilize?</w:t>
        </w:r>
      </w:hyperlink>
      <w:r>
        <w:t xml:space="preserve"> </w:t>
      </w:r>
      <w:r>
        <w:t xml:space="preserve">Indiana University Libraries Publishing, Bloomington.</w:t>
      </w:r>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fig1-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w:t>
      </w:r>
      <w:r>
        <w:t xml:space="preserve"> </w:t>
      </w:r>
      <w:r>
        <w:rPr>
          <w:iCs/>
          <w:i/>
        </w:rPr>
        <w:t xml:space="preserve">et al.</w:t>
      </w:r>
      <w:r>
        <w:t xml:space="preserve"> </w:t>
      </w:r>
      <w:r>
        <w:t xml:space="preserve">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 id="36" name="Picture"/>
                  <a:graphic>
                    <a:graphicData uri="http://schemas.openxmlformats.org/drawingml/2006/picture">
                      <pic:pic>
                        <pic:nvPicPr>
                          <pic:cNvPr descr="images/fig1-2.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w:t>
            </w:r>
            <w:r>
              <w:t xml:space="preserve"> </w:t>
            </w:r>
            <w:r>
              <w:rPr>
                <w:iCs/>
                <w:i/>
              </w:rPr>
              <w:t xml:space="preserve">et al.</w:t>
            </w:r>
            <w:r>
              <w:t xml:space="preserve"> </w:t>
            </w:r>
            <w:r>
              <w:t xml:space="preserve">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&amp;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3.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2"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w:t>
            </w:r>
            <w:r>
              <w:t xml:space="preserve">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bookmarkEnd w:id="52"/>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(Dagg 2016; reviews in Meirmans 2009)</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tbl>
      <w:tblPr>
        <w:tblStyle w:val="Table"/>
        <w:tblW w:type="pct" w:w="5000"/>
        <w:tblLook w:firstRow="0" w:lastRow="0" w:firstColumn="0" w:lastColumn="0" w:noHBand="0" w:noVBand="0" w:val="0000"/>
        <w:jc w:val="start"/>
      </w:tblPr>
      <w:tblGrid>
        <w:gridCol w:w="7920"/>
      </w:tblGrid>
      <w:tr>
        <w:tc>
          <w:tcPr/>
          <w:bookmarkStart w:id="56" w:name="fig-1.3"/>
          <w:p>
            <w:pPr>
              <w:jc w:val="center"/>
            </w:pPr>
            <w:r>
              <w:drawing>
                <wp:inline>
                  <wp:extent cx="5943600" cy="2650146"/>
                  <wp:effectExtent b="0" l="0" r="0" t="0"/>
                  <wp:docPr descr="" title="" id="54" name="Picture"/>
                  <a:graphic>
                    <a:graphicData uri="http://schemas.openxmlformats.org/drawingml/2006/picture">
                      <pic:pic>
                        <pic:nvPicPr>
                          <pic:cNvPr descr="images/fig1-4.jpg" id="55" name="Picture"/>
                          <pic:cNvPicPr>
                            <a:picLocks noChangeArrowheads="1" noChangeAspect="1"/>
                          </pic:cNvPicPr>
                        </pic:nvPicPr>
                        <pic:blipFill>
                          <a:blip r:embed="rId53"/>
                          <a:stretch>
                            <a:fillRect/>
                          </a:stretch>
                        </pic:blipFill>
                        <pic:spPr bwMode="auto">
                          <a:xfrm>
                            <a:off x="0" y="0"/>
                            <a:ext cx="5943600" cy="26501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6"/>
        </w:tc>
      </w:tr>
    </w:tbl>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one,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bookmarkStart w:id="66" w:name="tbl-t1t2"/>
          <w:p>
            <w:pPr>
              <w:pStyle w:val="TableCaption"/>
            </w:pPr>
            <w:r>
              <w:t xml:space="preserve">Table 1.1: Maynard Smith’s Model</w:t>
            </w:r>
          </w:p>
          <w:tbl>
            <w:tblPr>
              <w:tblStyle w:val="Table"/>
              <w:tblW w:type="pct" w:w="5000"/>
              <w:tblLook w:firstRow="1" w:lastRow="0" w:firstColumn="0" w:lastColumn="0" w:noHBand="0" w:noVBand="0" w:val="0020"/>
              <w:jc w:val="start"/>
              <w:tblCaption w:val="Table 1.1: Maynard Smith’s Model"/>
            </w:tblPr>
            <w:tblGrid>
              <w:gridCol w:w="1160"/>
              <w:gridCol w:w="2068"/>
              <w:gridCol w:w="4691"/>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bookmarkEnd w:id="66"/>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6"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7"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Bell 1982)</w:t>
      </w:r>
      <w:r>
        <w:t xml:space="preserve">,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 hedging in evolutionary theory is that selection can act to reduce the variance in reproductive success over time, even if it also reduces the arithmetic mean across years</w:t>
      </w:r>
      <w:r>
        <w:t xml:space="preserve"> </w:t>
      </w:r>
      <w:r>
        <w:t xml:space="preserve">(review in Philippi &amp;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bookmarkStart w:id="75" w:name="tbl-bh"/>
    <w:p>
      <w:pPr>
        <w:pStyle w:val="TableCaption"/>
      </w:pPr>
      <w:r>
        <w:t xml:space="preserve">Table 2.1: Bet Hedging</w:t>
      </w:r>
    </w:p>
    <w:tbl>
      <w:tblPr>
        <w:tblStyle w:val="Table"/>
        <w:tblW w:type="auto" w:w="0"/>
        <w:tblLook w:firstRow="1" w:lastRow="0" w:firstColumn="0" w:lastColumn="0" w:noHBand="0" w:noVBand="0" w:val="0020"/>
        <w:jc w:val="start"/>
        <w:tblCaption w:val="Table 2.1: Bet Hedging"/>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bookmarkEnd w:id="75"/>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6"/>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7"/>
    <w:bookmarkStart w:id="86"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8"/>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w:t>
      </w:r>
      <w:r>
        <w:t xml:space="preserve"> </w:t>
      </w:r>
      <w:r>
        <w:t xml:space="preserve">(1953)</w:t>
      </w:r>
      <w:r>
        <w:t xml:space="preserve"> </w:t>
      </w:r>
      <w:r>
        <w:t xml:space="preserve">pioneering model, which showed that polymorphism could be maintained in a spatially heterogeneous environment provided that different genotypes specialize on different resources.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9"/>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2-2"/>
          <w:p>
            <w:pPr>
              <w:jc w:val="center"/>
            </w:pPr>
            <w:r>
              <w:drawing>
                <wp:inline>
                  <wp:extent cx="3980688" cy="4069079"/>
                  <wp:effectExtent b="0" l="0" r="0" t="0"/>
                  <wp:docPr descr="" title="" id="81" name="Picture"/>
                  <a:graphic>
                    <a:graphicData uri="http://schemas.openxmlformats.org/drawingml/2006/picture">
                      <pic:pic>
                        <pic:nvPicPr>
                          <pic:cNvPr descr="images/fig2-2.jpeg" id="82" name="Picture"/>
                          <pic:cNvPicPr>
                            <a:picLocks noChangeArrowheads="1" noChangeAspect="1"/>
                          </pic:cNvPicPr>
                        </pic:nvPicPr>
                        <pic:blipFill>
                          <a:blip r:embed="rId80"/>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3"/>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4"/>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(Lively 1986a; Maynard Smith &amp; Hoekstra 1980)</w:t>
      </w:r>
      <w:r>
        <w:t xml:space="preserve"> </w:t>
      </w:r>
      <w:r>
        <w:t xml:space="preserve">(see also</w:t>
      </w:r>
      <w:r>
        <w:t xml:space="preserve"> </w:t>
      </w:r>
      <w:hyperlink r:id="rId85">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(Bell 1982; Vrijenhoek &amp;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&amp; Parker 2009)</w:t>
      </w:r>
      <w:r>
        <w:t xml:space="preserve">. Coexistence, however, is also compatible with the Red Queen hypothesis, which we will now consider.</w:t>
      </w:r>
    </w:p>
    <w:bookmarkEnd w:id="86"/>
    <w:bookmarkStart w:id="106"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7"/>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1" w:name="fig-2-3"/>
          <w:p>
            <w:pPr>
              <w:jc w:val="center"/>
            </w:pPr>
            <w:r>
              <w:drawing>
                <wp:inline>
                  <wp:extent cx="5943600" cy="7768311"/>
                  <wp:effectExtent b="0" l="0" r="0" t="0"/>
                  <wp:docPr descr="" title="" id="89" name="Picture"/>
                  <a:graphic>
                    <a:graphicData uri="http://schemas.openxmlformats.org/drawingml/2006/picture">
                      <pic:pic>
                        <pic:nvPicPr>
                          <pic:cNvPr descr="images/fig2-3.jpg" id="90" name="Picture"/>
                          <pic:cNvPicPr>
                            <a:picLocks noChangeArrowheads="1" noChangeAspect="1"/>
                          </pic:cNvPicPr>
                        </pic:nvPicPr>
                        <pic:blipFill>
                          <a:blip r:embed="rId88"/>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models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91"/>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&amp; Lively 1999, 2007; Salathe</w:t>
      </w:r>
      <w:r>
        <w:t xml:space="preserve"> </w:t>
      </w:r>
      <w:r>
        <w:rPr>
          <w:iCs/>
          <w:i/>
        </w:rPr>
        <w:t xml:space="preserve">et al.</w:t>
      </w:r>
      <w:r>
        <w:t xml:space="preserve"> </w:t>
      </w:r>
      <w:r>
        <w:t xml:space="preserve">2008; Schmid-Hempel &amp; Jokela 2002)</w:t>
      </w:r>
      <w:r>
        <w:t xml:space="preserve">. These related ideas are now called the Red Queen Hypothesis</w:t>
      </w:r>
      <w:r>
        <w:t xml:space="preserve"> </w:t>
      </w:r>
      <w:r>
        <w:t xml:space="preserve">(following Bell 1982)</w:t>
      </w:r>
      <w:r>
        <w:t xml:space="preserve">.</w:t>
      </w:r>
    </w:p>
    <w:tbl>
      <w:tblPr>
        <w:tblStyle w:val="Table"/>
        <w:tblW w:type="pct" w:w="5000"/>
        <w:tblLook w:firstRow="0" w:lastRow="0" w:firstColumn="0" w:lastColumn="0" w:noHBand="0" w:noVBand="0" w:val="0000"/>
        <w:jc w:val="start"/>
      </w:tblPr>
      <w:tblGrid>
        <w:gridCol w:w="7920"/>
      </w:tblGrid>
      <w:tr>
        <w:tc>
          <w:tcPr/>
          <w:bookmarkStart w:id="95" w:name="fig-2-4"/>
          <w:p>
            <w:pPr>
              <w:jc w:val="center"/>
            </w:pPr>
            <w:r>
              <w:drawing>
                <wp:inline>
                  <wp:extent cx="5943600" cy="4065198"/>
                  <wp:effectExtent b="0" l="0" r="0" t="0"/>
                  <wp:docPr descr="" title="" id="93" name="Picture"/>
                  <a:graphic>
                    <a:graphicData uri="http://schemas.openxmlformats.org/drawingml/2006/picture">
                      <pic:pic>
                        <pic:nvPicPr>
                          <pic:cNvPr descr="images/fig2-4.jpeg" id="94" name="Picture"/>
                          <pic:cNvPicPr>
                            <a:picLocks noChangeArrowheads="1" noChangeAspect="1"/>
                          </pic:cNvPicPr>
                        </pic:nvPicPr>
                        <pic:blipFill>
                          <a:blip r:embed="rId92"/>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5"/>
        </w:tc>
      </w:tr>
    </w:tbl>
    <w:bookmarkStart w:id="99"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6"/>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2009, 2010)</w:t>
      </w:r>
      <w:r>
        <w:t xml:space="preserve">. Along these lines, mathematician Sanderson M. Smith has suggested that</w:t>
      </w:r>
      <w:r>
        <w:t xml:space="preserve"> </w:t>
      </w:r>
      <w:hyperlink r:id="rId97">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8"/>
      </w:r>
    </w:p>
    <w:bookmarkEnd w:id="99"/>
    <w:bookmarkStart w:id="105"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w:t>
      </w:r>
      <w:r>
        <w:t xml:space="preserve"> </w:t>
      </w:r>
      <w:r>
        <w:t xml:space="preserve">(2001)</w:t>
      </w:r>
      <w:r>
        <w:t xml:space="preserve"> </w:t>
      </w:r>
      <w:r>
        <w:t xml:space="preserve">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100"/>
      </w:r>
      <w:r>
        <w:t xml:space="preserve"> </w:t>
      </w:r>
      <w:r>
        <w:t xml:space="preserve">(1978)</w:t>
      </w:r>
      <w:r>
        <w:t xml:space="preserve">, Jaenike</w:t>
      </w:r>
      <w:r>
        <w:rPr>
          <w:rStyle w:val="FootnoteReference"/>
        </w:rPr>
        <w:footnoteReference w:id="101"/>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r>
        <w:t xml:space="preserve"> </w:t>
      </w: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2"/>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3"/>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5</w:t>
        </w:r>
      </w:hyperlink>
      <w:r>
        <w:t xml:space="preserve">.</w:t>
      </w:r>
      <w:r>
        <w:rPr>
          <w:rStyle w:val="FootnoteReference"/>
        </w:rPr>
        <w:footnoteReference w:id="104"/>
      </w:r>
    </w:p>
    <w:bookmarkEnd w:id="105"/>
    <w:bookmarkEnd w:id="106"/>
    <w:bookmarkStart w:id="115"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amazel\AppData\Local\Programs\Quarto\share\formats\docx\note.png" id="10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bookmarkStart w:id="109" w:name="tbl-lev"/>
          <w:p>
            <w:pPr>
              <w:pStyle w:val="TableCaption"/>
            </w:pPr>
            <w:r>
              <w:t xml:space="preserve">Table 2.2: Levene’s Example</w:t>
            </w:r>
          </w:p>
          <w:tbl>
            <w:tblPr>
              <w:tblStyle w:val="Table"/>
              <w:tblW w:type="pct" w:w="5000"/>
              <w:tblLook w:firstRow="1" w:lastRow="0" w:firstColumn="0" w:lastColumn="0" w:noHBand="0" w:noVBand="0" w:val="0020"/>
              <w:jc w:val="start"/>
              <w:tblCaption w:val="Table 2.2: Levene’s Example"/>
            </w:tblPr>
            <w:tblGrid>
              <w:gridCol w:w="950"/>
              <w:gridCol w:w="2111"/>
              <w:gridCol w:w="2217"/>
              <w:gridCol w:w="1161"/>
              <w:gridCol w:w="1478"/>
            </w:tblGrid>
            <w:tr>
              <w:trPr>
                <w:tblHeader w:val="true"/>
              </w:trPr>
              <w:tc>
                <w:tcPr/>
                <w:p>
                  <w:pPr>
                    <w:pStyle w:val="Compact"/>
                    <w:jc w:val="left"/>
                  </w:pPr>
                  <w:r>
                    <w:rPr>
                      <w:bCs/>
                      <w:b/>
                    </w:rP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bookmarkEnd w:id="109"/>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bookmarkStart w:id="110" w:name="tbl-pro"/>
          <w:p>
            <w:pPr>
              <w:pStyle w:val="TableCaption"/>
            </w:pPr>
            <w:r>
              <w:t xml:space="preserve">Table 2.3: Prout’s Example</w:t>
            </w:r>
          </w:p>
          <w:tbl>
            <w:tblPr>
              <w:tblStyle w:val="Table"/>
              <w:tblW w:type="pct" w:w="5000"/>
              <w:tblLook w:firstRow="1" w:lastRow="0" w:firstColumn="0" w:lastColumn="0" w:noHBand="0" w:noVBand="0" w:val="0020"/>
              <w:jc w:val="start"/>
              <w:tblCaption w:val="Table 2.3: Prout’s Example"/>
            </w:tblPr>
            <w:tblGrid>
              <w:gridCol w:w="950"/>
              <w:gridCol w:w="2111"/>
              <w:gridCol w:w="2217"/>
              <w:gridCol w:w="1161"/>
              <w:gridCol w:w="1478"/>
            </w:tblGrid>
            <w:tr>
              <w:trPr>
                <w:tblHeader w:val="true"/>
              </w:trPr>
              <w:tc>
                <w:tcPr/>
                <w:p>
                  <w:pPr>
                    <w:pStyle w:val="Compact"/>
                    <w:jc w:val="left"/>
                  </w:pPr>
                  <w:r>
                    <w:rPr>
                      <w:bCs/>
                      <w:b/>
                    </w:rP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bookmarkEnd w:id="110"/>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11"/>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3" name="Picture"/>
                        <a:graphic>
                          <a:graphicData uri="http://schemas.openxmlformats.org/drawingml/2006/picture">
                            <pic:pic>
                              <pic:nvPicPr>
                                <pic:cNvPr descr="images/fig2-5.jpg" id="114" name="Picture"/>
                                <pic:cNvPicPr>
                                  <a:picLocks noChangeArrowheads="1" noChangeAspect="1"/>
                                </pic:cNvPicPr>
                              </pic:nvPicPr>
                              <pic:blipFill>
                                <a:blip r:embed="rId112"/>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5"/>
    <w:bookmarkEnd w:id="116"/>
    <w:bookmarkStart w:id="168"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8" name="Picture"/>
                  <a:graphic>
                    <a:graphicData uri="http://schemas.openxmlformats.org/drawingml/2006/picture">
                      <pic:pic>
                        <pic:nvPicPr>
                          <pic:cNvPr descr="images/fig3-1.jpeg" id="119" name="Picture"/>
                          <pic:cNvPicPr>
                            <a:picLocks noChangeArrowheads="1" noChangeAspect="1"/>
                          </pic:cNvPicPr>
                        </pic:nvPicPr>
                        <pic:blipFill>
                          <a:blip r:embed="rId117"/>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20"/>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21"/>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5" w:name="fig-3-2"/>
          <w:p>
            <w:pPr>
              <w:jc w:val="center"/>
            </w:pPr>
            <w:r>
              <w:drawing>
                <wp:inline>
                  <wp:extent cx="2377440" cy="3076687"/>
                  <wp:effectExtent b="0" l="0" r="0" t="0"/>
                  <wp:docPr descr="" title="" id="123" name="Picture"/>
                  <a:graphic>
                    <a:graphicData uri="http://schemas.openxmlformats.org/drawingml/2006/picture">
                      <pic:pic>
                        <pic:nvPicPr>
                          <pic:cNvPr descr="images/fig3-2.jpeg" id="124" name="Picture"/>
                          <pic:cNvPicPr>
                            <a:picLocks noChangeArrowheads="1" noChangeAspect="1"/>
                          </pic:cNvPicPr>
                        </pic:nvPicPr>
                        <pic:blipFill>
                          <a:blip r:embed="rId122"/>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9" w:name="fig-3-3"/>
          <w:p>
            <w:pPr>
              <w:jc w:val="center"/>
            </w:pPr>
            <w:r>
              <w:drawing>
                <wp:inline>
                  <wp:extent cx="2377440" cy="2657717"/>
                  <wp:effectExtent b="0" l="0" r="0" t="0"/>
                  <wp:docPr descr="" title="" id="127" name="Picture"/>
                  <a:graphic>
                    <a:graphicData uri="http://schemas.openxmlformats.org/drawingml/2006/picture">
                      <pic:pic>
                        <pic:nvPicPr>
                          <pic:cNvPr descr="images/fig3-3.jpeg" id="128" name="Picture"/>
                          <pic:cNvPicPr>
                            <a:picLocks noChangeArrowheads="1" noChangeAspect="1"/>
                          </pic:cNvPicPr>
                        </pic:nvPicPr>
                        <pic:blipFill>
                          <a:blip r:embed="rId126"/>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9"/>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30"/>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31"/>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32"/>
      </w:r>
    </w:p>
    <w:bookmarkStart w:id="141"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(Chamberlin 1890; Platt 1964)</w:t>
      </w:r>
      <w:r>
        <w:t xml:space="preserve">.</w:t>
      </w:r>
      <w:r>
        <w:rPr>
          <w:rStyle w:val="FootnoteReference"/>
        </w:rPr>
        <w:footnoteReference w:id="133"/>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8" w:name="fig-3-4"/>
          <w:p>
            <w:pPr>
              <w:jc w:val="center"/>
            </w:pPr>
            <w:r>
              <w:drawing>
                <wp:inline>
                  <wp:extent cx="5943600" cy="3965495"/>
                  <wp:effectExtent b="0" l="0" r="0" t="0"/>
                  <wp:docPr descr="" title="" id="135" name="Picture"/>
                  <a:graphic>
                    <a:graphicData uri="http://schemas.openxmlformats.org/drawingml/2006/picture">
                      <pic:pic>
                        <pic:nvPicPr>
                          <pic:cNvPr descr="images/fig3-4.jpeg" id="136" name="Picture"/>
                          <pic:cNvPicPr>
                            <a:picLocks noChangeArrowheads="1" noChangeAspect="1"/>
                          </pic:cNvPicPr>
                        </pic:nvPicPr>
                        <pic:blipFill>
                          <a:blip r:embed="rId134"/>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&amp;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(Lively &amp;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7">
              <w:r>
                <w:rPr>
                  <w:rStyle w:val="Hyperlink"/>
                </w:rPr>
                <w:t xml:space="preserve">Bart Zijlstra</w:t>
              </w:r>
            </w:hyperlink>
            <w:r>
              <w:t xml:space="preserve">.</w:t>
            </w:r>
          </w:p>
          <w:bookmarkEnd w:id="138"/>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w:t>
      </w:r>
      <w:r>
        <w:t xml:space="preserve"> </w:t>
      </w:r>
      <w:r>
        <w:rPr>
          <w:iCs/>
          <w:i/>
        </w:rPr>
        <w:t xml:space="preserve">et al.</w:t>
      </w:r>
      <w:r>
        <w:t xml:space="preserve"> </w:t>
      </w:r>
      <w:r>
        <w:t xml:space="preserve">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&amp;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40"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9"/>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40"/>
    <w:bookmarkEnd w:id="141"/>
    <w:bookmarkStart w:id="156"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 </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42"/>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43"/>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4"/>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(Bell 1982; e.g., Glesener &amp; Tilman 1978)</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w:t>
      </w:r>
      <w:r>
        <w:t xml:space="preserve"> </w:t>
      </w:r>
      <w:r>
        <w:t xml:space="preserve">(1966)</w:t>
      </w:r>
      <w:r>
        <w:t xml:space="preserve"> </w:t>
      </w:r>
      <w:r>
        <w:t xml:space="preserve">was correct when he wrote,</w:t>
      </w:r>
      <w:r>
        <w:t xml:space="preserve"> </w:t>
      </w:r>
      <w:r>
        <w:t xml:space="preserve">“</w:t>
      </w:r>
      <w:r>
        <w:t xml:space="preserve">Hence our truth is the intersection of independent lies.</w:t>
      </w:r>
      <w:r>
        <w:t xml:space="preserve">”</w:t>
      </w:r>
      <w:r>
        <w:rPr>
          <w:rStyle w:val="FootnoteReference"/>
        </w:rPr>
        <w:footnoteReference w:id="145"/>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6"/>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&amp; May 1979; May &amp;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(Gerritsen 1980; Lloyd 1980; Tomlinson 1966)</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7"/>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51" w:name="fig-3-5"/>
          <w:p>
            <w:pPr>
              <w:jc w:val="center"/>
            </w:pPr>
            <w:r>
              <w:drawing>
                <wp:inline>
                  <wp:extent cx="5772150" cy="6019800"/>
                  <wp:effectExtent b="0" l="0" r="0" t="0"/>
                  <wp:docPr descr="" title="" id="149" name="Picture"/>
                  <a:graphic>
                    <a:graphicData uri="http://schemas.openxmlformats.org/drawingml/2006/picture">
                      <pic:pic>
                        <pic:nvPicPr>
                          <pic:cNvPr descr="images/fig3-5.JPG" id="150" name="Picture"/>
                          <pic:cNvPicPr>
                            <a:picLocks noChangeArrowheads="1" noChangeAspect="1"/>
                          </pic:cNvPicPr>
                        </pic:nvPicPr>
                        <pic:blipFill>
                          <a:blip r:embed="rId148"/>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(Lively 1987)</w:t>
            </w:r>
            <w:r>
              <w:t xml:space="preserve"> </w:t>
            </w:r>
            <w:r>
              <w:t xml:space="preserve">plus two river samples. Gray triangles represent lake populations</w:t>
            </w:r>
            <w:r>
              <w:t xml:space="preserve"> </w:t>
            </w:r>
            <w:r>
              <w:t xml:space="preserve">(Lively 1987)</w:t>
            </w:r>
            <w:r>
              <w:t xml:space="preserve">. Black triangles represent lake and tarn populations</w:t>
            </w:r>
            <w:r>
              <w:t xml:space="preserve"> </w:t>
            </w:r>
            <w:r>
              <w:t xml:space="preserve">(Lively 1992)</w:t>
            </w:r>
            <w:r>
              <w:t xml:space="preserve">. The correlation is positive and statistically significant.</w:t>
            </w:r>
          </w:p>
          <w:bookmarkEnd w:id="151"/>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&amp; Fisher 2000; Levri &amp; Lively 1996)</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w:t>
      </w:r>
      <w:r>
        <w:t xml:space="preserve"> </w:t>
      </w:r>
      <w:r>
        <w:rPr>
          <w:iCs/>
          <w:i/>
        </w:rPr>
        <w:t xml:space="preserve">et al.</w:t>
      </w:r>
      <w:r>
        <w:t xml:space="preserve"> </w:t>
      </w:r>
      <w:r>
        <w:t xml:space="preserve">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52"/>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3"/>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(Lively &amp;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4"/>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5"/>
      </w:r>
      <w:r>
        <w:t xml:space="preserve"> </w:t>
      </w:r>
      <w:r>
        <w:t xml:space="preserve">But the results do imply that the Red Queen Hypothesis was (and still is) worthy of further study.</w:t>
      </w:r>
    </w:p>
    <w:bookmarkEnd w:id="156"/>
    <w:bookmarkStart w:id="167"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60" w:name="fig-3-6"/>
          <w:p>
            <w:pPr>
              <w:jc w:val="center"/>
            </w:pPr>
            <w:r>
              <w:drawing>
                <wp:inline>
                  <wp:extent cx="4895850" cy="5819775"/>
                  <wp:effectExtent b="0" l="0" r="0" t="0"/>
                  <wp:docPr descr="" title="" id="158" name="Picture"/>
                  <a:graphic>
                    <a:graphicData uri="http://schemas.openxmlformats.org/drawingml/2006/picture">
                      <pic:pic>
                        <pic:nvPicPr>
                          <pic:cNvPr descr="images/fig3-6.JPG" id="159" name="Picture"/>
                          <pic:cNvPicPr>
                            <a:picLocks noChangeArrowheads="1" noChangeAspect="1"/>
                          </pic:cNvPicPr>
                        </pic:nvPicPr>
                        <pic:blipFill>
                          <a:blip r:embed="rId157"/>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Lively 1992.)</w:t>
            </w:r>
          </w:p>
          <w:bookmarkEnd w:id="160"/>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amazel\AppData\Local\Programs\Quarto\share\formats\docx\note.png" id="162"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63"/>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 Lively</w:t>
            </w:r>
            <w:r>
              <w:t xml:space="preserve"> </w:t>
            </w:r>
            <w:r>
              <w:t xml:space="preserve">(1999a)</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5" name="Picture"/>
                        <a:graphic>
                          <a:graphicData uri="http://schemas.openxmlformats.org/drawingml/2006/picture">
                            <pic:pic>
                              <pic:nvPicPr>
                                <pic:cNvPr descr="images/fig3-7.JPG" id="166" name="Picture"/>
                                <pic:cNvPicPr>
                                  <a:picLocks noChangeArrowheads="1" noChangeAspect="1"/>
                                </pic:cNvPicPr>
                              </pic:nvPicPr>
                              <pic:blipFill>
                                <a:blip r:embed="rId164"/>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7"/>
    <w:bookmarkEnd w:id="168"/>
    <w:bookmarkStart w:id="178" w:name="X7d8b5ca500a926b8694ff64d4332c34d3f72050"/>
    <w:p>
      <w:pPr>
        <w:pStyle w:val="Heading1"/>
      </w:pPr>
      <w:r>
        <w:t xml:space="preserve">4. Self/Non-Self Recognition and Local Adaptation</w:t>
      </w:r>
    </w:p>
    <w:tbl>
      <w:tblPr>
        <w:tblStyle w:val="Table"/>
        <w:tblW w:type="pct" w:w="5000"/>
        <w:tblLook w:firstRow="0" w:lastRow="0" w:firstColumn="0" w:lastColumn="0" w:noHBand="0" w:noVBand="0" w:val="0000"/>
        <w:jc w:val="start"/>
      </w:tblPr>
      <w:tblGrid>
        <w:gridCol w:w="7920"/>
      </w:tblGrid>
      <w:tr>
        <w:tc>
          <w:tcPr/>
          <w:p>
            <w:pPr>
              <w:jc w:val="center"/>
            </w:pPr>
            <w:r>
              <w:drawing>
                <wp:inline>
                  <wp:extent cx="1670304" cy="1563624"/>
                  <wp:effectExtent b="0" l="0" r="0" t="0"/>
                  <wp:docPr descr="" title="" id="170" name="Picture"/>
                  <a:graphic>
                    <a:graphicData uri="http://schemas.openxmlformats.org/drawingml/2006/picture">
                      <pic:pic>
                        <pic:nvPicPr>
                          <pic:cNvPr descr="images/fig4-1.jpeg" id="171" name="Picture"/>
                          <pic:cNvPicPr>
                            <a:picLocks noChangeArrowheads="1" noChangeAspect="1"/>
                          </pic:cNvPicPr>
                        </pic:nvPicPr>
                        <pic:blipFill>
                          <a:blip r:embed="rId169"/>
                          <a:stretch>
                            <a:fillRect/>
                          </a:stretch>
                        </pic:blipFill>
                        <pic:spPr bwMode="auto">
                          <a:xfrm>
                            <a:off x="0" y="0"/>
                            <a:ext cx="1670304" cy="156362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One way to falsify the Red Queen is to experimentally show that the expectations of the hypothesis are not met. One expectation is that parasites would quickly become adapted to infecting their local host populations. Here is the logic. If parasites are closely tracking common host genotypes in their local (sympatric) populations, then they should be better, on average, at infecting sympatric hosts than foreign (allopatric) hosts. If this is not the case, then parasites would seem unlikely (at least to me) to be a factor selecting for sexual reproduction.</w:t>
      </w:r>
    </w:p>
    <w:p>
      <w:pPr>
        <w:pStyle w:val="BodyText"/>
      </w:pPr>
      <w:r>
        <w:t xml:space="preserve">I am often asked why we would expect the parasites to be better at infecting their local hosts instead of the opposite. Why shouldn’t hosts evolve to be more resistant to their local parasites than to allopatric parasites? It is a fair question. One common answer is that parasites are locally adapted to host populations because they have faster generation times. But that cannot be the whole answer. Theory has shown that parasites can be locally adapted even when there is no generation-time asymmetry</w:t>
      </w:r>
      <w:r>
        <w:t xml:space="preserve"> </w:t>
      </w:r>
      <w:r>
        <w:t xml:space="preserve">(Gandon &amp; Michalakis 2002; Lively 1999b)</w:t>
      </w:r>
      <w:r>
        <w:t xml:space="preserve">. Instead, I think the answer has more to do with the underlying genetic basis for infection.</w:t>
      </w:r>
    </w:p>
    <w:p>
      <w:pPr>
        <w:pStyle w:val="BodyText"/>
      </w:pPr>
      <w:r>
        <w:t xml:space="preserve">What, then, is the genetic basis for infection? This was unknown, but I was assuming that all animal hosts have a self/non-self recognition system, such that they can detect foreign tissues (e.g., parasites or tissue grafts) that do not match their own. Sponges, for example, accept tissue grafts from self, but reject grafts from unrelated individuals of the same species</w:t>
      </w:r>
      <w:r>
        <w:t xml:space="preserve"> </w:t>
      </w:r>
      <w:r>
        <w:t xml:space="preserve">(review in Elda Gaino &amp; Magnino 1999)</w:t>
      </w:r>
      <w:r>
        <w:t xml:space="preserve">. This ability to reject foreign tissues seems widely conserved</w:t>
      </w:r>
      <w:r>
        <w:t xml:space="preserve"> </w:t>
      </w:r>
      <w:r>
        <w:t xml:space="preserve">(Buss 1990)</w:t>
      </w:r>
      <w:r>
        <w:t xml:space="preserve">. I was also assuming that the self-/non-self-recognition system is genetically variable and that different host genotypes would dominate in different populations. Parasite genotypes that match the most common local host genotypes would be favored by natural selection, and these parasite genotypes should increase in frequency. This should lead to local adaptation by the parasites. Fortunately, one can test for local adaptation using reciprocal cross-inoculation experiments.</w:t>
      </w:r>
    </w:p>
    <w:bookmarkStart w:id="177" w:name="experimental-studies-of-local-adaption"/>
    <w:p>
      <w:pPr>
        <w:pStyle w:val="Heading2"/>
      </w:pPr>
      <w:r>
        <w:t xml:space="preserve">4.1 Experimental Studies of Local Adaption</w:t>
      </w:r>
    </w:p>
    <w:p>
      <w:pPr>
        <w:pStyle w:val="FirstParagraph"/>
      </w:pPr>
      <w:r>
        <w:t xml:space="preserve">While I was still a post-doc in New Zealand, I set up two reciprocal cross-inoculation experiments to test for local adaptation by the parasites. I knew from my field surveys that one species of sterilizing trematode was especially common in lake populations of the snail. This species was not formally described, but Jan McKenzie sent it to a trematode expert in France, who thought it belonged in the genus</w:t>
      </w:r>
      <w:r>
        <w:t xml:space="preserve"> </w:t>
      </w:r>
      <w:r>
        <w:rPr>
          <w:iCs/>
          <w:i/>
        </w:rPr>
        <w:t xml:space="preserve">Microphallus</w:t>
      </w:r>
      <w:r>
        <w:t xml:space="preserve">; hence I will refer to it as</w:t>
      </w:r>
      <w:r>
        <w:t xml:space="preserve"> </w:t>
      </w:r>
      <w:r>
        <w:rPr>
          <w:iCs/>
          <w:i/>
        </w:rPr>
        <w:t xml:space="preserve">Microphallus</w:t>
      </w:r>
      <w:r>
        <w:t xml:space="preserve"> </w:t>
      </w:r>
      <w:r>
        <w:t xml:space="preserve">sp.</w:t>
      </w:r>
      <w:r>
        <w:rPr>
          <w:rStyle w:val="FootnoteReference"/>
        </w:rPr>
        <w:footnoteReference w:id="172"/>
      </w:r>
      <w:r>
        <w:t xml:space="preserve"> </w:t>
      </w:r>
      <w:r>
        <w:t xml:space="preserve">The life cycle of</w:t>
      </w:r>
      <w:r>
        <w:t xml:space="preserve"> </w:t>
      </w:r>
      <w:r>
        <w:rPr>
          <w:iCs/>
          <w:i/>
        </w:rPr>
        <w:t xml:space="preserve">Microphallus</w:t>
      </w:r>
      <w:r>
        <w:t xml:space="preserve"> </w:t>
      </w:r>
      <w:r>
        <w:t xml:space="preserve">turns out to be especially crucial to the story. The adult worms are tiny simultaneous hermaphrodites that live in the intestines of ducks. They cross-fertilize and produce eggs that are shed with the duck feces into the environment. In most trematodes, the eggs normally hatch in water, thereby releasing a swimming larval stage (miracidia), which actively swims to and penetrates the body of snails. This is the case for the trematodes that cause the human disease, Schistosomiasis. But, in this New Zealand species of</w:t>
      </w:r>
      <w:r>
        <w:t xml:space="preserve"> </w:t>
      </w:r>
      <w:r>
        <w:rPr>
          <w:iCs/>
          <w:i/>
        </w:rPr>
        <w:t xml:space="preserve">Microphallus</w:t>
      </w:r>
      <w:r>
        <w:t xml:space="preserve">, the eggs hatch not in the environment but rather after being ingested by snails. The larvae then penetrate the snail from the inside. If the snail’s immune system does not recognize the larvae as foreign tissue, the larvae reproduce asexually, producing several hundred cysts (metacercaria) in the snail. These cysts completely replace the reproductive tissue in both males and females. Infected snails are sterilized (</w:t>
      </w:r>
      <w:hyperlink w:anchor="fig-4.1">
        <w:r>
          <w:rPr>
            <w:rStyle w:val="Hyperlink"/>
          </w:rPr>
          <w:t xml:space="preserve">Figure 4.1</w:t>
        </w:r>
      </w:hyperlink>
      <w:r>
        <w:t xml:space="preserve">).</w:t>
      </w:r>
    </w:p>
    <w:tbl>
      <w:tblPr>
        <w:tblStyle w:val="Table"/>
        <w:tblW w:type="pct" w:w="5000"/>
        <w:tblLook w:firstRow="0" w:lastRow="0" w:firstColumn="0" w:lastColumn="0" w:noHBand="0" w:noVBand="0" w:val="0000"/>
        <w:jc w:val="start"/>
      </w:tblPr>
      <w:tblGrid>
        <w:gridCol w:w="7920"/>
      </w:tblGrid>
      <w:tr>
        <w:tc>
          <w:tcPr/>
          <w:bookmarkStart w:id="176" w:name="fig-4.1"/>
          <w:p>
            <w:pPr>
              <w:jc w:val="center"/>
            </w:pPr>
            <w:r>
              <w:drawing>
                <wp:inline>
                  <wp:extent cx="5943600" cy="4172174"/>
                  <wp:effectExtent b="0" l="0" r="0" t="0"/>
                  <wp:docPr descr="" title="" id="174" name="Picture"/>
                  <a:graphic>
                    <a:graphicData uri="http://schemas.openxmlformats.org/drawingml/2006/picture">
                      <pic:pic>
                        <pic:nvPicPr>
                          <pic:cNvPr descr="images/fig4-2.jpeg" id="175" name="Picture"/>
                          <pic:cNvPicPr>
                            <a:picLocks noChangeArrowheads="1" noChangeAspect="1"/>
                          </pic:cNvPicPr>
                        </pic:nvPicPr>
                        <pic:blipFill>
                          <a:blip r:embed="rId173"/>
                          <a:stretch>
                            <a:fillRect/>
                          </a:stretch>
                        </pic:blipFill>
                        <pic:spPr bwMode="auto">
                          <a:xfrm>
                            <a:off x="0" y="0"/>
                            <a:ext cx="5943600" cy="41721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Left panel: the life cycle of the trematode</w:t>
            </w:r>
            <w:r>
              <w:t xml:space="preserve"> </w:t>
            </w:r>
            <w:r>
              <w:rPr>
                <w:iCs/>
                <w:i/>
              </w:rPr>
              <w:t xml:space="preserve">Microphallus</w:t>
            </w:r>
            <w:r>
              <w:t xml:space="preserve">. The adult worms live in the intestines of waterfowl and wading birds (black stilts). They produce cross-fertilized eggs, which are released into lakes and streams with the bird’s feces. The eggs hatch following ingestion by snails. Infection results in the asexual production of hundreds of cysts (called metacercaria). These cysts</w:t>
            </w:r>
            <w:r>
              <w:t xml:space="preserve"> </w:t>
            </w:r>
            <w:r>
              <w:t xml:space="preserve">“</w:t>
            </w:r>
            <w:r>
              <w:t xml:space="preserve">hatch</w:t>
            </w:r>
            <w:r>
              <w:t xml:space="preserve">”</w:t>
            </w:r>
            <w:r>
              <w:t xml:space="preserve"> </w:t>
            </w:r>
            <w:r>
              <w:t xml:space="preserve">and mature following ingestion by ducks, thus completing the life cycle. Drawing by Zoe M Dinges.</w:t>
            </w:r>
          </w:p>
          <w:bookmarkEnd w:id="176"/>
        </w:tc>
      </w:tr>
    </w:tbl>
    <w:bookmarkEnd w:id="177"/>
    <w:bookmarkEnd w:id="178"/>
    <w:bookmarkStart w:id="180" w:name="sec-chap6"/>
    <w:p>
      <w:pPr>
        <w:pStyle w:val="Heading1"/>
      </w:pPr>
      <w:r>
        <w:t xml:space="preserve">5.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79" w:name="the-problem-1"/>
    <w:p>
      <w:pPr>
        <w:pStyle w:val="Heading2"/>
      </w:pPr>
      <w:r>
        <w:t xml:space="preserve">5.1 The Problem</w:t>
      </w:r>
    </w:p>
    <w:bookmarkEnd w:id="179"/>
    <w:bookmarkEnd w:id="180"/>
    <w:bookmarkStart w:id="296" w:name="references"/>
    <w:p>
      <w:pPr>
        <w:pStyle w:val="Heading1"/>
      </w:pPr>
      <w:r>
        <w:t xml:space="preserve">References</w:t>
      </w:r>
    </w:p>
    <w:bookmarkStart w:id="295" w:name="refs"/>
    <w:bookmarkStart w:id="181" w:name="ref-anderson1979a"/>
    <w:p>
      <w:pPr>
        <w:pStyle w:val="Bibliography"/>
      </w:pPr>
      <w:r>
        <w:t xml:space="preserve">Anderson, R.M. &amp; May, R.M. (1979). Population biology of infectious diseases: Part 1.</w:t>
      </w:r>
      <w:r>
        <w:t xml:space="preserve"> </w:t>
      </w:r>
      <w:r>
        <w:rPr>
          <w:iCs/>
          <w:i/>
        </w:rPr>
        <w:t xml:space="preserve">Nature</w:t>
      </w:r>
      <w:r>
        <w:t xml:space="preserve">, 280, 361–367.</w:t>
      </w:r>
    </w:p>
    <w:bookmarkEnd w:id="181"/>
    <w:bookmarkStart w:id="182" w:name="ref-antonovics1984a"/>
    <w:p>
      <w:pPr>
        <w:pStyle w:val="Bibliography"/>
      </w:pPr>
      <w:r>
        <w:t xml:space="preserve">Antonovics, J. &amp; Ellstrand, N.C. (1984). Experimental studies of the evolutionary significance of sexual reproduction. I. A test of the frequency-dependent selection hypothesis.</w:t>
      </w:r>
      <w:r>
        <w:t xml:space="preserve"> </w:t>
      </w:r>
      <w:r>
        <w:rPr>
          <w:iCs/>
          <w:i/>
        </w:rPr>
        <w:t xml:space="preserve">Evolution</w:t>
      </w:r>
      <w:r>
        <w:t xml:space="preserve">, 38, 103–115.</w:t>
      </w:r>
    </w:p>
    <w:bookmarkEnd w:id="182"/>
    <w:bookmarkStart w:id="183" w:name="ref-bayley2009a"/>
    <w:p>
      <w:pPr>
        <w:pStyle w:val="Bibliography"/>
      </w:pPr>
      <w:r>
        <w:t xml:space="preserve">Bayley, M. (2009). Alice’s adventures in algebra: Wonderland solved.</w:t>
      </w:r>
      <w:r>
        <w:t xml:space="preserve"> </w:t>
      </w:r>
      <w:r>
        <w:rPr>
          <w:iCs/>
          <w:i/>
        </w:rPr>
        <w:t xml:space="preserve">New Scientist</w:t>
      </w:r>
      <w:r>
        <w:t xml:space="preserve">.</w:t>
      </w:r>
    </w:p>
    <w:bookmarkEnd w:id="183"/>
    <w:bookmarkStart w:id="184" w:name="ref-bayley2010a"/>
    <w:p>
      <w:pPr>
        <w:pStyle w:val="Bibliography"/>
      </w:pPr>
      <w:r>
        <w:t xml:space="preserve">Bayley, M. (2010). Algebra in wonderland.</w:t>
      </w:r>
      <w:r>
        <w:t xml:space="preserve"> </w:t>
      </w:r>
      <w:r>
        <w:rPr>
          <w:iCs/>
          <w:i/>
        </w:rPr>
        <w:t xml:space="preserve">New York Times</w:t>
      </w:r>
      <w:r>
        <w:t xml:space="preserve">.</w:t>
      </w:r>
    </w:p>
    <w:bookmarkEnd w:id="184"/>
    <w:bookmarkStart w:id="185" w:name="ref-bell1982a"/>
    <w:p>
      <w:pPr>
        <w:pStyle w:val="Bibliography"/>
      </w:pPr>
      <w:r>
        <w:t xml:space="preserve">Bell, G. (1982).</w:t>
      </w:r>
      <w:r>
        <w:t xml:space="preserve"> </w:t>
      </w:r>
      <w:r>
        <w:rPr>
          <w:iCs/>
          <w:i/>
        </w:rPr>
        <w:t xml:space="preserve">The masterpiece of nature: The evolution and genetics of sexuality</w:t>
      </w:r>
      <w:r>
        <w:t xml:space="preserve">. University of California Press, Berkeley.</w:t>
      </w:r>
    </w:p>
    <w:bookmarkEnd w:id="185"/>
    <w:bookmarkStart w:id="187" w:name="ref-bell2006a"/>
    <w:p>
      <w:pPr>
        <w:pStyle w:val="Bibliography"/>
      </w:pPr>
      <w:r>
        <w:t xml:space="preserve">Bell, T., Freckleton, R.P. &amp; Lewis, O.T. (2006).</w:t>
      </w:r>
      <w:r>
        <w:t xml:space="preserve"> </w:t>
      </w:r>
      <w:hyperlink r:id="rId186">
        <w:r>
          <w:rPr>
            <w:rStyle w:val="Hyperlink"/>
          </w:rPr>
          <w:t xml:space="preserve">Plant pathogens drive density-dependent seedling mortality in a tropical tree</w:t>
        </w:r>
      </w:hyperlink>
      <w:r>
        <w:t xml:space="preserve">.</w:t>
      </w:r>
      <w:r>
        <w:t xml:space="preserve"> </w:t>
      </w:r>
      <w:r>
        <w:rPr>
          <w:iCs/>
          <w:i/>
        </w:rPr>
        <w:t xml:space="preserve">Ecology Letters</w:t>
      </w:r>
      <w:r>
        <w:t xml:space="preserve">, 9, 569–574.</w:t>
      </w:r>
    </w:p>
    <w:bookmarkEnd w:id="187"/>
    <w:bookmarkStart w:id="189" w:name="ref-blasco-costa2019a"/>
    <w:p>
      <w:pPr>
        <w:pStyle w:val="Bibliography"/>
      </w:pPr>
      <w:r>
        <w:t xml:space="preserve">Blasco-Costa, I., Seppälä, K., Feijen, F., Zajac, N., Klappert, K. &amp; Jokela, J. (2019).</w:t>
      </w:r>
      <w:r>
        <w:t xml:space="preserve"> </w:t>
      </w:r>
      <w:hyperlink r:id="rId188">
        <w:r>
          <w:rPr>
            <w:rStyle w:val="Hyperlink"/>
          </w:rPr>
          <w:t xml:space="preserve">A new species of</w:t>
        </w:r>
        <w:r>
          <w:rPr>
            <w:rStyle w:val="Hyperlink"/>
          </w:rPr>
          <w:t xml:space="preserve"> </w:t>
        </w:r>
        <w:r>
          <w:rPr>
            <w:rStyle w:val="Hyperlink"/>
            <w:iCs/>
            <w:i/>
          </w:rPr>
          <w:t xml:space="preserve">atriophallophorus</w:t>
        </w:r>
        <w:r>
          <w:rPr>
            <w:rStyle w:val="Hyperlink"/>
          </w:rPr>
          <w:t xml:space="preserve"> </w:t>
        </w:r>
        <w:r>
          <w:rPr>
            <w:rStyle w:val="Hyperlink"/>
          </w:rPr>
          <w:t xml:space="preserve">deblock &amp; rosé, 1964 (trematoda: Microphallidae) described from</w:t>
        </w:r>
        <w:r>
          <w:rPr>
            <w:rStyle w:val="Hyperlink"/>
          </w:rPr>
          <w:t xml:space="preserve"> </w:t>
        </w:r>
        <w:r>
          <w:rPr>
            <w:rStyle w:val="Hyperlink"/>
            <w:iCs/>
            <w:i/>
          </w:rPr>
          <w:t xml:space="preserve">in vitro</w:t>
        </w:r>
        <w:r>
          <w:rPr>
            <w:rStyle w:val="Hyperlink"/>
          </w:rPr>
          <w:t xml:space="preserve">-grown adults and metacercariae from</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(gray, 1843) (mollusca: tateidae)</w:t>
        </w:r>
      </w:hyperlink>
      <w:r>
        <w:t xml:space="preserve">.</w:t>
      </w:r>
      <w:r>
        <w:t xml:space="preserve"> </w:t>
      </w:r>
      <w:r>
        <w:rPr>
          <w:iCs/>
          <w:i/>
        </w:rPr>
        <w:t xml:space="preserve">Journal of Helminthology</w:t>
      </w:r>
      <w:r>
        <w:t xml:space="preserve">, 94, 1–15.</w:t>
      </w:r>
    </w:p>
    <w:bookmarkEnd w:id="189"/>
    <w:bookmarkStart w:id="190" w:name="ref-burt1987a"/>
    <w:p>
      <w:pPr>
        <w:pStyle w:val="Bibliography"/>
      </w:pPr>
      <w:r>
        <w:t xml:space="preserve">Burt, A. &amp; Bell, G. (1987). Mammalian chiasma frequencies as a test of two theories of recombination.</w:t>
      </w:r>
      <w:r>
        <w:t xml:space="preserve"> </w:t>
      </w:r>
      <w:r>
        <w:rPr>
          <w:iCs/>
          <w:i/>
        </w:rPr>
        <w:t xml:space="preserve">Nature</w:t>
      </w:r>
      <w:r>
        <w:t xml:space="preserve">, 326, 803–805.</w:t>
      </w:r>
    </w:p>
    <w:bookmarkEnd w:id="190"/>
    <w:bookmarkStart w:id="191" w:name="ref-buss1990a"/>
    <w:p>
      <w:pPr>
        <w:pStyle w:val="Bibliography"/>
      </w:pPr>
      <w:r>
        <w:t xml:space="preserve">Buss, L. (1990). Competition within and between encrusting clonal invertebrates.</w:t>
      </w:r>
      <w:r>
        <w:t xml:space="preserve"> </w:t>
      </w:r>
      <w:r>
        <w:rPr>
          <w:iCs/>
          <w:i/>
        </w:rPr>
        <w:t xml:space="preserve">Trends in Ecology and Evolution</w:t>
      </w:r>
      <w:r>
        <w:t xml:space="preserve">, 5, 352–356.</w:t>
      </w:r>
    </w:p>
    <w:bookmarkEnd w:id="191"/>
    <w:bookmarkStart w:id="192" w:name="ref-chamberlin1890a"/>
    <w:p>
      <w:pPr>
        <w:pStyle w:val="Bibliography"/>
      </w:pPr>
      <w:r>
        <w:t xml:space="preserve">Chamberlin, T.C. (1890). The method of multiple working hypotheses.</w:t>
      </w:r>
      <w:r>
        <w:t xml:space="preserve"> </w:t>
      </w:r>
      <w:r>
        <w:rPr>
          <w:iCs/>
          <w:i/>
        </w:rPr>
        <w:t xml:space="preserve">Science</w:t>
      </w:r>
      <w:r>
        <w:t xml:space="preserve">, 15, 92–96.</w:t>
      </w:r>
    </w:p>
    <w:bookmarkEnd w:id="192"/>
    <w:bookmarkStart w:id="193" w:name="ref-churchill1979a"/>
    <w:p>
      <w:pPr>
        <w:pStyle w:val="Bibliography"/>
      </w:pPr>
      <w:r>
        <w:t xml:space="preserve">Churchill, F.B. (1979). Sex and the single organism:</w:t>
      </w:r>
      <w:r>
        <w:t xml:space="preserve"> </w:t>
      </w:r>
      <w:r>
        <w:t xml:space="preserve">b</w:t>
      </w:r>
      <w:r>
        <w:t xml:space="preserve">iological theories of sex in mid nineteenth century.</w:t>
      </w:r>
      <w:r>
        <w:t xml:space="preserve"> </w:t>
      </w:r>
      <w:r>
        <w:rPr>
          <w:iCs/>
          <w:i/>
        </w:rPr>
        <w:t xml:space="preserve">Studies in the History of Biology</w:t>
      </w:r>
      <w:r>
        <w:t xml:space="preserve">, 3, 139–177.</w:t>
      </w:r>
    </w:p>
    <w:bookmarkEnd w:id="193"/>
    <w:bookmarkStart w:id="194" w:name="ref-churchill1997a"/>
    <w:p>
      <w:pPr>
        <w:pStyle w:val="Bibliography"/>
      </w:pPr>
      <w:r>
        <w:t xml:space="preserve">Churchill, F.B. (1997). Life before model systems: General zoology at</w:t>
      </w:r>
      <w:r>
        <w:t xml:space="preserve"> </w:t>
      </w:r>
      <w:r>
        <w:t xml:space="preserve">August Weismann’s</w:t>
      </w:r>
      <w:r>
        <w:t xml:space="preserve"> </w:t>
      </w:r>
      <w:r>
        <w:t xml:space="preserve">institute.</w:t>
      </w:r>
      <w:r>
        <w:t xml:space="preserve"> </w:t>
      </w:r>
      <w:r>
        <w:rPr>
          <w:iCs/>
          <w:i/>
        </w:rPr>
        <w:t xml:space="preserve">American Zoologist</w:t>
      </w:r>
      <w:r>
        <w:t xml:space="preserve">, 37, 260–268.</w:t>
      </w:r>
    </w:p>
    <w:bookmarkEnd w:id="194"/>
    <w:bookmarkStart w:id="195" w:name="ref-clark1976a"/>
    <w:p>
      <w:pPr>
        <w:pStyle w:val="Bibliography"/>
      </w:pPr>
      <w:r>
        <w:t xml:space="preserve">Clark, W.C. (1976). The environment and the genotype in polymorphism.</w:t>
      </w:r>
      <w:r>
        <w:t xml:space="preserve"> </w:t>
      </w:r>
      <w:r>
        <w:rPr>
          <w:iCs/>
          <w:i/>
        </w:rPr>
        <w:t xml:space="preserve">Zoological Journal of the Linnean Society</w:t>
      </w:r>
      <w:r>
        <w:t xml:space="preserve">, 58, 255–262.</w:t>
      </w:r>
    </w:p>
    <w:bookmarkEnd w:id="195"/>
    <w:bookmarkStart w:id="197" w:name="ref-dagg2016a"/>
    <w:p>
      <w:pPr>
        <w:pStyle w:val="Bibliography"/>
      </w:pPr>
      <w:r>
        <w:t xml:space="preserve">Dagg, J. (2016).</w:t>
      </w:r>
      <w:r>
        <w:t xml:space="preserve"> </w:t>
      </w:r>
      <w:hyperlink r:id="rId196">
        <w:r>
          <w:rPr>
            <w:rStyle w:val="Hyperlink"/>
          </w:rPr>
          <w:t xml:space="preserve">On recognising the paradox of sex</w:t>
        </w:r>
      </w:hyperlink>
      <w:r>
        <w:t xml:space="preserve">.</w:t>
      </w:r>
      <w:r>
        <w:t xml:space="preserve"> </w:t>
      </w:r>
      <w:r>
        <w:rPr>
          <w:iCs/>
          <w:i/>
        </w:rPr>
        <w:t xml:space="preserve">Philosophy, Theory, and Practice in Biology</w:t>
      </w:r>
      <w:r>
        <w:t xml:space="preserve">, 8.</w:t>
      </w:r>
    </w:p>
    <w:bookmarkEnd w:id="197"/>
    <w:bookmarkStart w:id="199" w:name="ref-darwin1862a"/>
    <w:p>
      <w:pPr>
        <w:pStyle w:val="Bibliography"/>
      </w:pPr>
      <w:r>
        <w:t xml:space="preserve">Darwin, C. (1862).</w:t>
      </w:r>
      <w:r>
        <w:t xml:space="preserve"> </w:t>
      </w:r>
      <w:hyperlink r:id="rId198">
        <w:r>
          <w:rPr>
            <w:rStyle w:val="Hyperlink"/>
          </w:rPr>
          <w:t xml:space="preserve">On the two forms, or dimorphic condition, in the species of</w:t>
        </w:r>
        <w:r>
          <w:rPr>
            <w:rStyle w:val="Hyperlink"/>
          </w:rPr>
          <w:t xml:space="preserve"> </w:t>
        </w:r>
        <w:r>
          <w:rPr>
            <w:rStyle w:val="Hyperlink"/>
            <w:iCs/>
            <w:i/>
          </w:rPr>
          <w:t xml:space="preserve">P</w:t>
        </w:r>
        <w:r>
          <w:rPr>
            <w:rStyle w:val="Hyperlink"/>
            <w:iCs/>
            <w:i/>
          </w:rPr>
          <w:t xml:space="preserve">rimula</w:t>
        </w:r>
        <w:r>
          <w:rPr>
            <w:rStyle w:val="Hyperlink"/>
          </w:rPr>
          <w:t xml:space="preserve">, and on their remarkable sexual relations.</w:t>
        </w:r>
      </w:hyperlink>
      <w:r>
        <w:t xml:space="preserve"> </w:t>
      </w:r>
      <w:r>
        <w:rPr>
          <w:iCs/>
          <w:i/>
        </w:rPr>
        <w:t xml:space="preserve">Journal of the Proceedings of the Linnean Society of London (Botany)</w:t>
      </w:r>
      <w:r>
        <w:t xml:space="preserve">, 6, 77–96.</w:t>
      </w:r>
    </w:p>
    <w:bookmarkEnd w:id="199"/>
    <w:bookmarkStart w:id="200" w:name="ref-darwin1868a"/>
    <w:p>
      <w:pPr>
        <w:pStyle w:val="Bibliography"/>
      </w:pPr>
      <w:r>
        <w:t xml:space="preserve">Darwin, C. (1868).</w:t>
      </w:r>
      <w:r>
        <w:t xml:space="preserve"> </w:t>
      </w:r>
      <w:r>
        <w:rPr>
          <w:iCs/>
          <w:i/>
        </w:rPr>
        <w:t xml:space="preserve">The variation of plants and animals under domestication</w:t>
      </w:r>
      <w:r>
        <w:t xml:space="preserve">. 1st edn. John Murray, London.</w:t>
      </w:r>
    </w:p>
    <w:bookmarkEnd w:id="200"/>
    <w:bookmarkStart w:id="202" w:name="ref-darwin1860a"/>
    <w:p>
      <w:pPr>
        <w:pStyle w:val="Bibliography"/>
      </w:pPr>
      <w:r>
        <w:t xml:space="preserve">Darwin, C. (n.d.).</w:t>
      </w:r>
      <w:r>
        <w:t xml:space="preserve"> </w:t>
      </w:r>
      <w:hyperlink r:id="rId201">
        <w:r>
          <w:rPr>
            <w:rStyle w:val="Hyperlink"/>
          </w:rPr>
          <w:t xml:space="preserve">Letter no. 2869</w:t>
        </w:r>
      </w:hyperlink>
      <w:r>
        <w:t xml:space="preserve">. Darwin Correspondence Project.</w:t>
      </w:r>
    </w:p>
    <w:bookmarkEnd w:id="202"/>
    <w:bookmarkStart w:id="204" w:name="ref-gaino1999a"/>
    <w:p>
      <w:pPr>
        <w:pStyle w:val="Bibliography"/>
      </w:pPr>
      <w:r>
        <w:t xml:space="preserve">Elda Gaino, G.B. &amp; Magnino, G. (1999).</w:t>
      </w:r>
      <w:r>
        <w:t xml:space="preserve"> </w:t>
      </w:r>
      <w:hyperlink r:id="rId203">
        <w:r>
          <w:rPr>
            <w:rStyle w:val="Hyperlink"/>
          </w:rPr>
          <w:t xml:space="preserve">Self/non‐self recognition in sponges</w:t>
        </w:r>
      </w:hyperlink>
      <w:r>
        <w:t xml:space="preserve">.</w:t>
      </w:r>
      <w:r>
        <w:t xml:space="preserve"> </w:t>
      </w:r>
      <w:r>
        <w:rPr>
          <w:iCs/>
          <w:i/>
        </w:rPr>
        <w:t xml:space="preserve">Italian Journal of Zoology</w:t>
      </w:r>
      <w:r>
        <w:t xml:space="preserve">, 66, 299–315.</w:t>
      </w:r>
    </w:p>
    <w:bookmarkEnd w:id="204"/>
    <w:bookmarkStart w:id="205" w:name="ref-elliott2007a"/>
    <w:p>
      <w:pPr>
        <w:pStyle w:val="Bibliography"/>
      </w:pPr>
      <w:r>
        <w:t xml:space="preserve">Elliott, L.P. &amp; Brook, B.W. (2007). Revisiting</w:t>
      </w:r>
      <w:r>
        <w:t xml:space="preserve"> </w:t>
      </w:r>
      <w:r>
        <w:t xml:space="preserve">C</w:t>
      </w:r>
      <w:r>
        <w:t xml:space="preserve">hamberlin: Multiple working hypotheses for the 21st century.</w:t>
      </w:r>
      <w:r>
        <w:t xml:space="preserve"> </w:t>
      </w:r>
      <w:r>
        <w:rPr>
          <w:iCs/>
          <w:i/>
        </w:rPr>
        <w:t xml:space="preserve">Bioscience</w:t>
      </w:r>
      <w:r>
        <w:t xml:space="preserve">, 57, 608–614.</w:t>
      </w:r>
    </w:p>
    <w:bookmarkEnd w:id="205"/>
    <w:bookmarkStart w:id="206" w:name="ref-ellstrand1985a"/>
    <w:p>
      <w:pPr>
        <w:pStyle w:val="Bibliography"/>
      </w:pPr>
      <w:r>
        <w:t xml:space="preserve">Ellstrand, N.C. &amp; Antonovics, J. (1985). Experimental studies of the evolutionary significance of sexual reproduction II. A test of the density-dependent selection hypothesis.</w:t>
      </w:r>
      <w:r>
        <w:t xml:space="preserve"> </w:t>
      </w:r>
      <w:r>
        <w:rPr>
          <w:iCs/>
          <w:i/>
        </w:rPr>
        <w:t xml:space="preserve">Evolution</w:t>
      </w:r>
      <w:r>
        <w:t xml:space="preserve">, 39, 657–666.</w:t>
      </w:r>
    </w:p>
    <w:bookmarkEnd w:id="206"/>
    <w:bookmarkStart w:id="207" w:name="ref-fisher1941a"/>
    <w:p>
      <w:pPr>
        <w:pStyle w:val="Bibliography"/>
      </w:pPr>
      <w:r>
        <w:t xml:space="preserve">Fisher, R.A. (1941). Average excess and average effect of a gene substitution.</w:t>
      </w:r>
      <w:r>
        <w:t xml:space="preserve"> </w:t>
      </w:r>
      <w:r>
        <w:rPr>
          <w:iCs/>
          <w:i/>
        </w:rPr>
        <w:t xml:space="preserve">Annals of Eugenics</w:t>
      </w:r>
      <w:r>
        <w:t xml:space="preserve">, 11, 53–63.</w:t>
      </w:r>
    </w:p>
    <w:bookmarkEnd w:id="207"/>
    <w:bookmarkStart w:id="208" w:name="ref-gandon2002a"/>
    <w:p>
      <w:pPr>
        <w:pStyle w:val="Bibliography"/>
      </w:pPr>
      <w:r>
        <w:t xml:space="preserve">Gandon, S. &amp; Michalakis, Y. (2002). Local adaptation, evolutionary potential and host-parasite coevolution: Interactions between migration, mutation, population size and generation time.</w:t>
      </w:r>
      <w:r>
        <w:t xml:space="preserve"> </w:t>
      </w:r>
      <w:r>
        <w:rPr>
          <w:iCs/>
          <w:i/>
        </w:rPr>
        <w:t xml:space="preserve">Journal of Evolutionary Biology</w:t>
      </w:r>
      <w:r>
        <w:t xml:space="preserve">, 15, 451–462.</w:t>
      </w:r>
    </w:p>
    <w:bookmarkEnd w:id="208"/>
    <w:bookmarkStart w:id="209" w:name="ref-gerritsen1980a"/>
    <w:p>
      <w:pPr>
        <w:pStyle w:val="Bibliography"/>
      </w:pPr>
      <w:r>
        <w:t xml:space="preserve">Gerritsen, J. (1980). Sex and parthenogenesis in sparse populations.</w:t>
      </w:r>
      <w:r>
        <w:t xml:space="preserve"> </w:t>
      </w:r>
      <w:r>
        <w:rPr>
          <w:iCs/>
          <w:i/>
        </w:rPr>
        <w:t xml:space="preserve">American Naturalist</w:t>
      </w:r>
      <w:r>
        <w:t xml:space="preserve">, 115, 718–742.</w:t>
      </w:r>
    </w:p>
    <w:bookmarkEnd w:id="209"/>
    <w:bookmarkStart w:id="210" w:name="ref-ghiselin1974a"/>
    <w:p>
      <w:pPr>
        <w:pStyle w:val="Bibliography"/>
      </w:pPr>
      <w:r>
        <w:t xml:space="preserve">Ghiselin, M.T. (1974).</w:t>
      </w:r>
      <w:r>
        <w:t xml:space="preserve"> </w:t>
      </w:r>
      <w:r>
        <w:rPr>
          <w:iCs/>
          <w:i/>
        </w:rPr>
        <w:t xml:space="preserve">The economy of nature and the evolution of sex</w:t>
      </w:r>
      <w:r>
        <w:t xml:space="preserve">. University of California Press, Berkeley.</w:t>
      </w:r>
    </w:p>
    <w:bookmarkEnd w:id="210"/>
    <w:bookmarkStart w:id="211" w:name="ref-gibson2016a"/>
    <w:p>
      <w:pPr>
        <w:pStyle w:val="Bibliography"/>
      </w:pPr>
      <w:r>
        <w:t xml:space="preserve">Gibson, A.K., Jokela, J. &amp; Lively, C.M. (2016). Fine-scale spatial covariation between infection prevalence and susceptibility in a natural population.</w:t>
      </w:r>
      <w:r>
        <w:t xml:space="preserve"> </w:t>
      </w:r>
      <w:r>
        <w:rPr>
          <w:iCs/>
          <w:i/>
        </w:rPr>
        <w:t xml:space="preserve">American Naturalist</w:t>
      </w:r>
      <w:r>
        <w:t xml:space="preserve">, 188, 1–14.</w:t>
      </w:r>
    </w:p>
    <w:bookmarkEnd w:id="211"/>
    <w:bookmarkStart w:id="212" w:name="ref-glesener1978a"/>
    <w:p>
      <w:pPr>
        <w:pStyle w:val="Bibliography"/>
      </w:pPr>
      <w:r>
        <w:t xml:space="preserve">Glesener, R.R. &amp; Tilman, D. (1978). Sexuality and the components of environmental uncertainty: Clues from geographical parthenogenesis in terrestrial animals.</w:t>
      </w:r>
      <w:r>
        <w:t xml:space="preserve"> </w:t>
      </w:r>
      <w:r>
        <w:rPr>
          <w:iCs/>
          <w:i/>
        </w:rPr>
        <w:t xml:space="preserve">American Naturalist</w:t>
      </w:r>
      <w:r>
        <w:t xml:space="preserve">, 112, 659–673.</w:t>
      </w:r>
    </w:p>
    <w:bookmarkEnd w:id="212"/>
    <w:bookmarkStart w:id="213" w:name="ref-gould1991a"/>
    <w:p>
      <w:pPr>
        <w:pStyle w:val="Bibliography"/>
      </w:pPr>
      <w:r>
        <w:t xml:space="preserve">Gould, S.J. (1991). The smoking gun of eugenics.</w:t>
      </w:r>
      <w:r>
        <w:t xml:space="preserve"> </w:t>
      </w:r>
      <w:r>
        <w:rPr>
          <w:iCs/>
          <w:i/>
        </w:rPr>
        <w:t xml:space="preserve">Natural History</w:t>
      </w:r>
      <w:r>
        <w:t xml:space="preserve">, 100, 8–17.</w:t>
      </w:r>
    </w:p>
    <w:bookmarkEnd w:id="213"/>
    <w:bookmarkStart w:id="214" w:name="ref-hamilton1975a"/>
    <w:p>
      <w:pPr>
        <w:pStyle w:val="Bibliography"/>
      </w:pPr>
      <w:r>
        <w:t xml:space="preserve">Hamilton, W.D. (1975). Innate social aptitudes of man: An approach from evolutionary genetics. In:</w:t>
      </w:r>
      <w:r>
        <w:t xml:space="preserve"> </w:t>
      </w:r>
      <w:r>
        <w:rPr>
          <w:iCs/>
          <w:i/>
        </w:rPr>
        <w:t xml:space="preserve">Biosocial anthropology</w:t>
      </w:r>
      <w:r>
        <w:t xml:space="preserve"> </w:t>
      </w:r>
      <w:r>
        <w:t xml:space="preserve">(ed. Fox, R.). Malaby Press, London, pp. 133–153.</w:t>
      </w:r>
    </w:p>
    <w:bookmarkEnd w:id="214"/>
    <w:bookmarkStart w:id="215" w:name="ref-hamilton2001a"/>
    <w:p>
      <w:pPr>
        <w:pStyle w:val="Bibliography"/>
      </w:pPr>
      <w:r>
        <w:t xml:space="preserve">Hamilton, W.D. (2001).</w:t>
      </w:r>
      <w:r>
        <w:t xml:space="preserve"> </w:t>
      </w:r>
      <w:r>
        <w:rPr>
          <w:iCs/>
          <w:i/>
        </w:rPr>
        <w:t xml:space="preserve">Narrow roads of gene land: Volume 2: Evolution of sex</w:t>
      </w:r>
      <w:r>
        <w:t xml:space="preserve">. Oxford University Press.</w:t>
      </w:r>
    </w:p>
    <w:bookmarkEnd w:id="215"/>
    <w:bookmarkStart w:id="216" w:name="ref-hazel2004a"/>
    <w:p>
      <w:pPr>
        <w:pStyle w:val="Bibliography"/>
      </w:pPr>
      <w:r>
        <w:t xml:space="preserve">Hazel, W., Smock, R. &amp; Lively, C.M. (2004). The ecological genetics of conditional strategies.</w:t>
      </w:r>
      <w:r>
        <w:t xml:space="preserve"> </w:t>
      </w:r>
      <w:r>
        <w:rPr>
          <w:iCs/>
          <w:i/>
        </w:rPr>
        <w:t xml:space="preserve">American Naturalist</w:t>
      </w:r>
      <w:r>
        <w:t xml:space="preserve">, 163, 888–900.</w:t>
      </w:r>
    </w:p>
    <w:bookmarkEnd w:id="216"/>
    <w:bookmarkStart w:id="217" w:name="ref-jaenike1978a"/>
    <w:p>
      <w:pPr>
        <w:pStyle w:val="Bibliography"/>
      </w:pPr>
      <w:r>
        <w:t xml:space="preserve">Jaenike, J. (1978). A hypothesis to account for the maintenance of sex within populations.</w:t>
      </w:r>
      <w:r>
        <w:t xml:space="preserve"> </w:t>
      </w:r>
      <w:r>
        <w:rPr>
          <w:iCs/>
          <w:i/>
        </w:rPr>
        <w:t xml:space="preserve">Evolutionary Theory</w:t>
      </w:r>
      <w:r>
        <w:t xml:space="preserve">, 3, 191–194.</w:t>
      </w:r>
    </w:p>
    <w:bookmarkEnd w:id="217"/>
    <w:bookmarkStart w:id="219" w:name="ref-kelley1993a"/>
    <w:p>
      <w:pPr>
        <w:pStyle w:val="Bibliography"/>
      </w:pPr>
      <w:r>
        <w:t xml:space="preserve">Kelley, S.E. (1993).</w:t>
      </w:r>
      <w:r>
        <w:t xml:space="preserve"> </w:t>
      </w:r>
      <w:hyperlink r:id="rId218">
        <w:r>
          <w:rPr>
            <w:rStyle w:val="Hyperlink"/>
          </w:rPr>
          <w:t xml:space="preserve">Viruses and the advantage of sex in</w:t>
        </w:r>
        <w:r>
          <w:rPr>
            <w:rStyle w:val="Hyperlink"/>
          </w:rPr>
          <w:t xml:space="preserve"> </w:t>
        </w:r>
        <w:r>
          <w:rPr>
            <w:rStyle w:val="Hyperlink"/>
            <w:iCs/>
            <w:i/>
          </w:rPr>
          <w:t xml:space="preserve">A</w:t>
        </w:r>
        <w:r>
          <w:rPr>
            <w:rStyle w:val="Hyperlink"/>
            <w:iCs/>
            <w:i/>
          </w:rPr>
          <w:t xml:space="preserve">nthoxanthum odoratum</w:t>
        </w:r>
        <w:r>
          <w:rPr>
            <w:rStyle w:val="Hyperlink"/>
          </w:rPr>
          <w:t xml:space="preserve">: A review</w:t>
        </w:r>
      </w:hyperlink>
      <w:r>
        <w:t xml:space="preserve">.</w:t>
      </w:r>
      <w:r>
        <w:t xml:space="preserve"> </w:t>
      </w:r>
      <w:r>
        <w:rPr>
          <w:iCs/>
          <w:i/>
        </w:rPr>
        <w:t xml:space="preserve">Plant Species Biology</w:t>
      </w:r>
      <w:r>
        <w:t xml:space="preserve">, 8, 217–223.</w:t>
      </w:r>
    </w:p>
    <w:bookmarkEnd w:id="219"/>
    <w:bookmarkStart w:id="221" w:name="ref-kelley1994a"/>
    <w:p>
      <w:pPr>
        <w:pStyle w:val="Bibliography"/>
      </w:pPr>
      <w:r>
        <w:t xml:space="preserve">Kelley, S.E. (1994).</w:t>
      </w:r>
      <w:r>
        <w:t xml:space="preserve"> </w:t>
      </w:r>
      <w:hyperlink r:id="rId220">
        <w:r>
          <w:rPr>
            <w:rStyle w:val="Hyperlink"/>
          </w:rPr>
          <w:t xml:space="preserve">Viral pathogens and the advantage of sex in the perennial grass</w:t>
        </w:r>
        <w:r>
          <w:rPr>
            <w:rStyle w:val="Hyperlink"/>
          </w:rPr>
          <w:t xml:space="preserve"> </w:t>
        </w:r>
        <w:r>
          <w:rPr>
            <w:rStyle w:val="Hyperlink"/>
            <w:iCs/>
            <w:i/>
          </w:rPr>
          <w:t xml:space="preserve">A</w:t>
        </w:r>
        <w:r>
          <w:rPr>
            <w:rStyle w:val="Hyperlink"/>
            <w:iCs/>
            <w:i/>
          </w:rPr>
          <w:t xml:space="preserve">nthoxanthum odoratum</w:t>
        </w:r>
      </w:hyperlink>
      <w:r>
        <w:t xml:space="preserve">.</w:t>
      </w:r>
      <w:r>
        <w:t xml:space="preserve"> </w:t>
      </w:r>
      <w:r>
        <w:rPr>
          <w:iCs/>
          <w:i/>
        </w:rPr>
        <w:t xml:space="preserve">Philosophical Transactions of the Royal Society of London B, Biological Sciences</w:t>
      </w:r>
      <w:r>
        <w:t xml:space="preserve">, 346, 295–302.</w:t>
      </w:r>
    </w:p>
    <w:bookmarkEnd w:id="221"/>
    <w:bookmarkStart w:id="222" w:name="ref-kelley1988a"/>
    <w:p>
      <w:pPr>
        <w:pStyle w:val="Bibliography"/>
      </w:pPr>
      <w:r>
        <w:t xml:space="preserve">Kelley, S.E., Antonovics, J. &amp; Schmitt, J. (1988). A test of the short-term advantage of sexual reproduction.</w:t>
      </w:r>
      <w:r>
        <w:t xml:space="preserve"> </w:t>
      </w:r>
      <w:r>
        <w:rPr>
          <w:iCs/>
          <w:i/>
        </w:rPr>
        <w:t xml:space="preserve">Nature</w:t>
      </w:r>
      <w:r>
        <w:t xml:space="preserve">, 331, 714–716.</w:t>
      </w:r>
    </w:p>
    <w:bookmarkEnd w:id="222"/>
    <w:bookmarkStart w:id="223" w:name="ref-kondrashov1993a"/>
    <w:p>
      <w:pPr>
        <w:pStyle w:val="Bibliography"/>
      </w:pPr>
      <w:r>
        <w:t xml:space="preserve">Kondrashov, A.S. (1993). Classification of hypotheses on the advantage of amphimixis.</w:t>
      </w:r>
      <w:r>
        <w:t xml:space="preserve"> </w:t>
      </w:r>
      <w:r>
        <w:rPr>
          <w:iCs/>
          <w:i/>
        </w:rPr>
        <w:t xml:space="preserve">Journal of Heredity</w:t>
      </w:r>
      <w:r>
        <w:t xml:space="preserve">, 84, 372–387.</w:t>
      </w:r>
    </w:p>
    <w:bookmarkEnd w:id="223"/>
    <w:bookmarkStart w:id="224" w:name="ref-kuhn1970a"/>
    <w:p>
      <w:pPr>
        <w:pStyle w:val="Bibliography"/>
      </w:pPr>
      <w:r>
        <w:t xml:space="preserve">Kuhn, T.S. (1970).</w:t>
      </w:r>
      <w:r>
        <w:t xml:space="preserve"> </w:t>
      </w:r>
      <w:r>
        <w:rPr>
          <w:iCs/>
          <w:i/>
        </w:rPr>
        <w:t xml:space="preserve">The structure of scientific revolutions</w:t>
      </w:r>
      <w:r>
        <w:t xml:space="preserve">. 2nd edn. University of Chicago Press.</w:t>
      </w:r>
    </w:p>
    <w:bookmarkEnd w:id="224"/>
    <w:bookmarkStart w:id="225" w:name="ref-lehtonen2012a"/>
    <w:p>
      <w:pPr>
        <w:pStyle w:val="Bibliography"/>
      </w:pPr>
      <w:r>
        <w:t xml:space="preserve">Lehtonen, J., Jennions, M.D. &amp; Kokko, H. (2012). The many costs of sex.</w:t>
      </w:r>
      <w:r>
        <w:t xml:space="preserve"> </w:t>
      </w:r>
      <w:r>
        <w:rPr>
          <w:iCs/>
          <w:i/>
        </w:rPr>
        <w:t xml:space="preserve">Trends in Ecology &amp; Evolution</w:t>
      </w:r>
      <w:r>
        <w:t xml:space="preserve">, 27, 172–178.</w:t>
      </w:r>
    </w:p>
    <w:bookmarkEnd w:id="225"/>
    <w:bookmarkStart w:id="226" w:name="ref-levene1953a"/>
    <w:p>
      <w:pPr>
        <w:pStyle w:val="Bibliography"/>
      </w:pPr>
      <w:r>
        <w:t xml:space="preserve">Levene, H. (1953). Genetic equilibrium when more than one ecological niche is available.</w:t>
      </w:r>
      <w:r>
        <w:t xml:space="preserve"> </w:t>
      </w:r>
      <w:r>
        <w:rPr>
          <w:iCs/>
          <w:i/>
        </w:rPr>
        <w:t xml:space="preserve">American Naturalist</w:t>
      </w:r>
      <w:r>
        <w:t xml:space="preserve">, 87, 331–333.</w:t>
      </w:r>
    </w:p>
    <w:bookmarkEnd w:id="226"/>
    <w:bookmarkStart w:id="227" w:name="ref-levin1975a"/>
    <w:p>
      <w:pPr>
        <w:pStyle w:val="Bibliography"/>
      </w:pPr>
      <w:r>
        <w:t xml:space="preserve">Levin, D.A. (1975). Pest pressure and recombination systems in plants.</w:t>
      </w:r>
      <w:r>
        <w:t xml:space="preserve"> </w:t>
      </w:r>
      <w:r>
        <w:rPr>
          <w:iCs/>
          <w:i/>
        </w:rPr>
        <w:t xml:space="preserve">American Naturalist</w:t>
      </w:r>
      <w:r>
        <w:t xml:space="preserve">, 109, 437–451.</w:t>
      </w:r>
    </w:p>
    <w:bookmarkEnd w:id="227"/>
    <w:bookmarkStart w:id="228" w:name="ref-levins1966a"/>
    <w:p>
      <w:pPr>
        <w:pStyle w:val="Bibliography"/>
      </w:pPr>
      <w:r>
        <w:t xml:space="preserve">Levins, R. (1966). The strategy of model building in population biology.</w:t>
      </w:r>
      <w:r>
        <w:t xml:space="preserve"> </w:t>
      </w:r>
      <w:r>
        <w:rPr>
          <w:iCs/>
          <w:i/>
        </w:rPr>
        <w:t xml:space="preserve">American Scientist</w:t>
      </w:r>
      <w:r>
        <w:t xml:space="preserve">, 54, 421–431.</w:t>
      </w:r>
    </w:p>
    <w:bookmarkEnd w:id="228"/>
    <w:bookmarkStart w:id="229" w:name="ref-levinton1988a"/>
    <w:p>
      <w:pPr>
        <w:pStyle w:val="Bibliography"/>
      </w:pPr>
      <w:r>
        <w:t xml:space="preserve">Levinton, J. (1988).</w:t>
      </w:r>
      <w:r>
        <w:t xml:space="preserve"> </w:t>
      </w:r>
      <w:r>
        <w:rPr>
          <w:iCs/>
          <w:i/>
        </w:rPr>
        <w:t xml:space="preserve">Genetics, paleontology, and macroevolution</w:t>
      </w:r>
      <w:r>
        <w:t xml:space="preserve">. Cambridge University Press.</w:t>
      </w:r>
    </w:p>
    <w:bookmarkEnd w:id="229"/>
    <w:bookmarkStart w:id="231" w:name="ref-levri2000a"/>
    <w:p>
      <w:pPr>
        <w:pStyle w:val="Bibliography"/>
      </w:pPr>
      <w:r>
        <w:t xml:space="preserve">Levri, E.P. &amp; Fisher, L.M. (2000).</w:t>
      </w:r>
      <w:r>
        <w:t xml:space="preserve"> </w:t>
      </w:r>
      <w:hyperlink r:id="rId230">
        <w:r>
          <w:rPr>
            <w:rStyle w:val="Hyperlink"/>
          </w:rPr>
          <w:t xml:space="preserve">The effect of a trematode parasite (</w:t>
        </w:r>
        <w:r>
          <w:rPr>
            <w:rStyle w:val="Hyperlink"/>
            <w:iCs/>
            <w:i/>
          </w:rPr>
          <w:t xml:space="preserve">M</w:t>
        </w:r>
        <w:r>
          <w:rPr>
            <w:rStyle w:val="Hyperlink"/>
            <w:iCs/>
            <w:i/>
          </w:rPr>
          <w:t xml:space="preserve">icrophallus sp.</w:t>
        </w:r>
        <w:r>
          <w:rPr>
            <w:rStyle w:val="Hyperlink"/>
          </w:rPr>
          <w:t xml:space="preserve">)</w:t>
        </w:r>
        <w:r>
          <w:rPr>
            <w:rStyle w:val="Hyperlink"/>
          </w:rPr>
          <w:t xml:space="preserve"> </w:t>
        </w:r>
        <w:r>
          <w:rPr>
            <w:rStyle w:val="Hyperlink"/>
          </w:rPr>
          <w:t xml:space="preserve">o</w:t>
        </w:r>
        <w:r>
          <w:rPr>
            <w:rStyle w:val="Hyperlink"/>
          </w:rPr>
          <w:t xml:space="preserve">n the response of the freshwater snail</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to light and gravity</w:t>
        </w:r>
      </w:hyperlink>
      <w:r>
        <w:t xml:space="preserve">.</w:t>
      </w:r>
      <w:r>
        <w:t xml:space="preserve"> </w:t>
      </w:r>
      <w:r>
        <w:rPr>
          <w:iCs/>
          <w:i/>
        </w:rPr>
        <w:t xml:space="preserve">Behaviour</w:t>
      </w:r>
      <w:r>
        <w:t xml:space="preserve">, 137, 1141–1151.</w:t>
      </w:r>
    </w:p>
    <w:bookmarkEnd w:id="231"/>
    <w:bookmarkStart w:id="232" w:name="ref-levri1996a"/>
    <w:p>
      <w:pPr>
        <w:pStyle w:val="Bibliography"/>
      </w:pPr>
      <w:r>
        <w:t xml:space="preserve">Levri, E.P. &amp; Lively, C.M. (1996). The effects of size, reproductive condition, and parasitism on foraging behaviour in a freshwater snail,</w:t>
      </w:r>
      <w:r>
        <w:t xml:space="preserve"> </w:t>
      </w:r>
      <w:r>
        <w:rPr>
          <w:iCs/>
          <w:i/>
        </w:rPr>
        <w:t xml:space="preserve">P</w:t>
      </w:r>
      <w:r>
        <w:rPr>
          <w:iCs/>
          <w:i/>
        </w:rPr>
        <w:t xml:space="preserve">otamopyrgus antipodarum</w:t>
      </w:r>
      <w:r>
        <w:t xml:space="preserve">.</w:t>
      </w:r>
      <w:r>
        <w:t xml:space="preserve"> </w:t>
      </w:r>
      <w:r>
        <w:rPr>
          <w:iCs/>
          <w:i/>
        </w:rPr>
        <w:t xml:space="preserve">Animal Behaviour</w:t>
      </w:r>
      <w:r>
        <w:t xml:space="preserve">, 51, 891–901.</w:t>
      </w:r>
    </w:p>
    <w:bookmarkEnd w:id="232"/>
    <w:bookmarkStart w:id="234" w:name="ref-lewontin1971a"/>
    <w:p>
      <w:pPr>
        <w:pStyle w:val="Bibliography"/>
      </w:pPr>
      <w:r>
        <w:t xml:space="preserve">Lewontin, R.C. (1971).</w:t>
      </w:r>
      <w:r>
        <w:t xml:space="preserve"> </w:t>
      </w:r>
      <w:hyperlink r:id="rId233">
        <w:r>
          <w:rPr>
            <w:rStyle w:val="Hyperlink"/>
          </w:rPr>
          <w:t xml:space="preserve">The effect of genetic linkage on the mean fitness of a population</w:t>
        </w:r>
      </w:hyperlink>
      <w:r>
        <w:t xml:space="preserve">.</w:t>
      </w:r>
      <w:r>
        <w:t xml:space="preserve"> </w:t>
      </w:r>
      <w:r>
        <w:rPr>
          <w:iCs/>
          <w:i/>
        </w:rPr>
        <w:t xml:space="preserve">Proceedings of the National Academy of Sciences of the United States of America</w:t>
      </w:r>
      <w:r>
        <w:t xml:space="preserve">, 68, 984–986.</w:t>
      </w:r>
    </w:p>
    <w:bookmarkEnd w:id="234"/>
    <w:bookmarkStart w:id="235" w:name="ref-lively1986a"/>
    <w:p>
      <w:pPr>
        <w:pStyle w:val="Bibliography"/>
      </w:pPr>
      <w:r>
        <w:t xml:space="preserve">Lively, C.M. (1986a). Canalization versus developmental conversion in a spatially variable environment.</w:t>
      </w:r>
      <w:r>
        <w:t xml:space="preserve"> </w:t>
      </w:r>
      <w:r>
        <w:rPr>
          <w:iCs/>
          <w:i/>
        </w:rPr>
        <w:t xml:space="preserve">American Naturalist</w:t>
      </w:r>
      <w:r>
        <w:t xml:space="preserve">, 128, 561–572.</w:t>
      </w:r>
    </w:p>
    <w:bookmarkEnd w:id="235"/>
    <w:bookmarkStart w:id="236" w:name="ref-lively1986b"/>
    <w:p>
      <w:pPr>
        <w:pStyle w:val="Bibliography"/>
      </w:pPr>
      <w:r>
        <w:t xml:space="preserve">Lively, C.M. (1986b). Competition, comparative life histories, and maintenance of shell dimorphism in a barnacle.</w:t>
      </w:r>
      <w:r>
        <w:t xml:space="preserve"> </w:t>
      </w:r>
      <w:r>
        <w:rPr>
          <w:iCs/>
          <w:i/>
        </w:rPr>
        <w:t xml:space="preserve">Ecology</w:t>
      </w:r>
      <w:r>
        <w:t xml:space="preserve">, 67, 858–864.</w:t>
      </w:r>
    </w:p>
    <w:bookmarkEnd w:id="236"/>
    <w:bookmarkStart w:id="238" w:name="ref-lively1986c"/>
    <w:p>
      <w:pPr>
        <w:pStyle w:val="Bibliography"/>
      </w:pPr>
      <w:r>
        <w:t xml:space="preserve">Lively, C.M. (1986c).</w:t>
      </w:r>
      <w:r>
        <w:t xml:space="preserve"> </w:t>
      </w:r>
      <w:hyperlink r:id="rId237">
        <w:r>
          <w:rPr>
            <w:rStyle w:val="Hyperlink"/>
          </w:rPr>
          <w:t xml:space="preserve">Predator-induced shell dimorphism in the acorn barnacle</w:t>
        </w:r>
        <w:r>
          <w:rPr>
            <w:rStyle w:val="Hyperlink"/>
          </w:rPr>
          <w:t xml:space="preserve"> </w:t>
        </w:r>
        <w:r>
          <w:rPr>
            <w:rStyle w:val="Hyperlink"/>
            <w:iCs/>
            <w:i/>
          </w:rPr>
          <w:t xml:space="preserve">C</w:t>
        </w:r>
        <w:r>
          <w:rPr>
            <w:rStyle w:val="Hyperlink"/>
            <w:iCs/>
            <w:i/>
          </w:rPr>
          <w:t xml:space="preserve">hthamalus anisopoma</w:t>
        </w:r>
      </w:hyperlink>
      <w:r>
        <w:t xml:space="preserve">.</w:t>
      </w:r>
      <w:r>
        <w:t xml:space="preserve"> </w:t>
      </w:r>
      <w:r>
        <w:rPr>
          <w:iCs/>
          <w:i/>
        </w:rPr>
        <w:t xml:space="preserve">Evolution</w:t>
      </w:r>
      <w:r>
        <w:t xml:space="preserve">, 40, 232–242.</w:t>
      </w:r>
    </w:p>
    <w:bookmarkEnd w:id="238"/>
    <w:bookmarkStart w:id="239" w:name="ref-lively1987a"/>
    <w:p>
      <w:pPr>
        <w:pStyle w:val="Bibliography"/>
      </w:pPr>
      <w:r>
        <w:t xml:space="preserve">Lively, C.M. (1987). Evidence from a</w:t>
      </w:r>
      <w:r>
        <w:t xml:space="preserve"> </w:t>
      </w:r>
      <w:r>
        <w:t xml:space="preserve">New Zealand</w:t>
      </w:r>
      <w:r>
        <w:t xml:space="preserve"> </w:t>
      </w:r>
      <w:r>
        <w:t xml:space="preserve">snail for the maintenance of sex by parasitism.</w:t>
      </w:r>
      <w:r>
        <w:t xml:space="preserve"> </w:t>
      </w:r>
      <w:r>
        <w:rPr>
          <w:iCs/>
          <w:i/>
        </w:rPr>
        <w:t xml:space="preserve">Nature</w:t>
      </w:r>
      <w:r>
        <w:t xml:space="preserve">, 328, 519–521.</w:t>
      </w:r>
    </w:p>
    <w:bookmarkEnd w:id="239"/>
    <w:bookmarkStart w:id="240" w:name="ref-lively1992a"/>
    <w:p>
      <w:pPr>
        <w:pStyle w:val="Bibliography"/>
      </w:pPr>
      <w:r>
        <w:t xml:space="preserve">Lively, C.M. (1992). Parthenogenesis in a freshwater snail: Reproductive assurance versus parasitic release.</w:t>
      </w:r>
      <w:r>
        <w:t xml:space="preserve"> </w:t>
      </w:r>
      <w:r>
        <w:rPr>
          <w:iCs/>
          <w:i/>
        </w:rPr>
        <w:t xml:space="preserve">Evolution</w:t>
      </w:r>
      <w:r>
        <w:t xml:space="preserve">, 46, 907–913.</w:t>
      </w:r>
    </w:p>
    <w:bookmarkEnd w:id="240"/>
    <w:bookmarkStart w:id="241" w:name="ref-lively1996a"/>
    <w:p>
      <w:pPr>
        <w:pStyle w:val="Bibliography"/>
      </w:pPr>
      <w:r>
        <w:t xml:space="preserve">Lively, C.M. (1996). Host-parasite coevolution and sex.</w:t>
      </w:r>
      <w:r>
        <w:t xml:space="preserve"> </w:t>
      </w:r>
      <w:r>
        <w:rPr>
          <w:iCs/>
          <w:i/>
        </w:rPr>
        <w:t xml:space="preserve">Bioscience</w:t>
      </w:r>
      <w:r>
        <w:t xml:space="preserve">, 46, 107–109.</w:t>
      </w:r>
    </w:p>
    <w:bookmarkEnd w:id="241"/>
    <w:bookmarkStart w:id="242" w:name="ref-lively1999b"/>
    <w:p>
      <w:pPr>
        <w:pStyle w:val="Bibliography"/>
      </w:pPr>
      <w:r>
        <w:t xml:space="preserve">Lively, C.M. (1999a). Developmental strategies in spatially variable environments: Barnacle shell dimorphism and strategic models of selection. In:</w:t>
      </w:r>
      <w:r>
        <w:t xml:space="preserve"> </w:t>
      </w:r>
      <w:r>
        <w:rPr>
          <w:iCs/>
          <w:i/>
        </w:rPr>
        <w:t xml:space="preserve">The ecology and evolution of inducible defenses</w:t>
      </w:r>
      <w:r>
        <w:t xml:space="preserve"> </w:t>
      </w:r>
      <w:r>
        <w:t xml:space="preserve">(eds. Tollrian, R. &amp; Harvell, C.D.). Princeton University Press, pp. 245–258.</w:t>
      </w:r>
    </w:p>
    <w:bookmarkEnd w:id="242"/>
    <w:bookmarkStart w:id="244" w:name="ref-lively1999a"/>
    <w:p>
      <w:pPr>
        <w:pStyle w:val="Bibliography"/>
      </w:pPr>
      <w:r>
        <w:t xml:space="preserve">Lively, C.M. (1999b).</w:t>
      </w:r>
      <w:r>
        <w:t xml:space="preserve"> </w:t>
      </w:r>
      <w:hyperlink r:id="rId243">
        <w:r>
          <w:rPr>
            <w:rStyle w:val="Hyperlink"/>
          </w:rPr>
          <w:t xml:space="preserve">Migration, virulence, and the geographic mosaic of adaptation by parasites.</w:t>
        </w:r>
      </w:hyperlink>
      <w:r>
        <w:t xml:space="preserve"> </w:t>
      </w:r>
      <w:r>
        <w:rPr>
          <w:iCs/>
          <w:i/>
        </w:rPr>
        <w:t xml:space="preserve">The American Naturalist</w:t>
      </w:r>
      <w:r>
        <w:t xml:space="preserve">, 153, S34–S47.</w:t>
      </w:r>
    </w:p>
    <w:bookmarkEnd w:id="244"/>
    <w:bookmarkStart w:id="245" w:name="ref-lively2001a"/>
    <w:p>
      <w:pPr>
        <w:pStyle w:val="Bibliography"/>
      </w:pPr>
      <w:r>
        <w:t xml:space="preserve">Lively, C.M. (2001). Trematode infection and the distribution and dynamics of parthenogenetic snail populations.</w:t>
      </w:r>
      <w:r>
        <w:t xml:space="preserve"> </w:t>
      </w:r>
      <w:r>
        <w:rPr>
          <w:iCs/>
          <w:i/>
        </w:rPr>
        <w:t xml:space="preserve">Parasitology</w:t>
      </w:r>
      <w:r>
        <w:t xml:space="preserve">, 123, S19–S26.</w:t>
      </w:r>
    </w:p>
    <w:bookmarkEnd w:id="245"/>
    <w:bookmarkStart w:id="246" w:name="ref-lively2006a"/>
    <w:p>
      <w:pPr>
        <w:pStyle w:val="Bibliography"/>
      </w:pPr>
      <w:r>
        <w:t xml:space="preserve">Lively, C.M. (2006). The ecology of virulence.</w:t>
      </w:r>
      <w:r>
        <w:t xml:space="preserve"> </w:t>
      </w:r>
      <w:r>
        <w:rPr>
          <w:iCs/>
          <w:i/>
        </w:rPr>
        <w:t xml:space="preserve">Ecology Letters</w:t>
      </w:r>
      <w:r>
        <w:t xml:space="preserve">, 9, 1089–1095.</w:t>
      </w:r>
    </w:p>
    <w:bookmarkEnd w:id="246"/>
    <w:bookmarkStart w:id="247" w:name="ref-lively2009a"/>
    <w:p>
      <w:pPr>
        <w:pStyle w:val="Bibliography"/>
      </w:pPr>
      <w:r>
        <w:t xml:space="preserve">Lively, C.M. (2009). The maintenance of sex: Host-parasite coevolution with density-dependent virulence.</w:t>
      </w:r>
      <w:r>
        <w:t xml:space="preserve"> </w:t>
      </w:r>
      <w:r>
        <w:rPr>
          <w:iCs/>
          <w:i/>
        </w:rPr>
        <w:t xml:space="preserve">Journal of Evolutionary Biology</w:t>
      </w:r>
      <w:r>
        <w:t xml:space="preserve">, 22, 2086–2093.</w:t>
      </w:r>
    </w:p>
    <w:bookmarkEnd w:id="247"/>
    <w:bookmarkStart w:id="248" w:name="ref-lively2000a"/>
    <w:p>
      <w:pPr>
        <w:pStyle w:val="Bibliography"/>
      </w:pPr>
      <w:r>
        <w:t xml:space="preserve">Lively, C.M., Hazel, W.N., Schellenberger, M.J. &amp; Michelson, K.S. (2000). Predator-induced defense: Variation for inducibility in an intertidal barnacle.</w:t>
      </w:r>
      <w:r>
        <w:t xml:space="preserve"> </w:t>
      </w:r>
      <w:r>
        <w:rPr>
          <w:iCs/>
          <w:i/>
        </w:rPr>
        <w:t xml:space="preserve">Ecology</w:t>
      </w:r>
      <w:r>
        <w:t xml:space="preserve">, 81, 1240–1247.</w:t>
      </w:r>
    </w:p>
    <w:bookmarkEnd w:id="248"/>
    <w:bookmarkStart w:id="250" w:name="ref-lively1994b"/>
    <w:p>
      <w:pPr>
        <w:pStyle w:val="Bibliography"/>
      </w:pPr>
      <w:r>
        <w:t xml:space="preserve">Lively, C.M. &amp; Johnson, S.G. (1994).</w:t>
      </w:r>
      <w:r>
        <w:t xml:space="preserve"> </w:t>
      </w:r>
      <w:hyperlink r:id="rId249">
        <w:r>
          <w:rPr>
            <w:rStyle w:val="Hyperlink"/>
          </w:rPr>
          <w:t xml:space="preserve">Brooding and the evolution of parthenogenesis: Strategy models and evidence from aquatic invertebrates</w:t>
        </w:r>
      </w:hyperlink>
      <w:r>
        <w:t xml:space="preserve">.</w:t>
      </w:r>
      <w:r>
        <w:t xml:space="preserve"> </w:t>
      </w:r>
      <w:r>
        <w:rPr>
          <w:iCs/>
          <w:i/>
        </w:rPr>
        <w:t xml:space="preserve">Proceedings of the Royal Society of London. Series B: Biological Sciences</w:t>
      </w:r>
      <w:r>
        <w:t xml:space="preserve">, 256, 89–95.</w:t>
      </w:r>
    </w:p>
    <w:bookmarkEnd w:id="250"/>
    <w:bookmarkStart w:id="252" w:name="ref-lively1995a"/>
    <w:p>
      <w:pPr>
        <w:pStyle w:val="Bibliography"/>
      </w:pPr>
      <w:r>
        <w:t xml:space="preserve">Lively, C.M., Johnson, S.G., Delph, L.F. &amp; Clay, K. (1995).</w:t>
      </w:r>
      <w:r>
        <w:t xml:space="preserve"> </w:t>
      </w:r>
      <w:hyperlink r:id="rId251">
        <w:r>
          <w:rPr>
            <w:rStyle w:val="Hyperlink"/>
          </w:rPr>
          <w:t xml:space="preserve">Thinning reduces the effect of rust infection on jewelweed (</w:t>
        </w:r>
        <w:r>
          <w:rPr>
            <w:rStyle w:val="Hyperlink"/>
            <w:iCs/>
            <w:i/>
          </w:rPr>
          <w:t xml:space="preserve">I</w:t>
        </w:r>
        <w:r>
          <w:rPr>
            <w:rStyle w:val="Hyperlink"/>
            <w:iCs/>
            <w:i/>
          </w:rPr>
          <w:t xml:space="preserve">mpatiens capensis</w:t>
        </w:r>
        <w:r>
          <w:rPr>
            <w:rStyle w:val="Hyperlink"/>
          </w:rPr>
          <w:t xml:space="preserve">)</w:t>
        </w:r>
      </w:hyperlink>
      <w:r>
        <w:t xml:space="preserve">.</w:t>
      </w:r>
      <w:r>
        <w:t xml:space="preserve"> </w:t>
      </w:r>
      <w:r>
        <w:rPr>
          <w:iCs/>
          <w:i/>
        </w:rPr>
        <w:t xml:space="preserve">Ecology</w:t>
      </w:r>
      <w:r>
        <w:t xml:space="preserve">, 76, 1859–1862.</w:t>
      </w:r>
    </w:p>
    <w:bookmarkEnd w:id="252"/>
    <w:bookmarkStart w:id="253" w:name="ref-lively2002a"/>
    <w:p>
      <w:pPr>
        <w:pStyle w:val="Bibliography"/>
      </w:pPr>
      <w:r>
        <w:t xml:space="preserve">Lively, C.M. &amp; Jokela, J. (2002). Temporal and spatial distributions of parasites and sex in a freshwater snail.</w:t>
      </w:r>
      <w:r>
        <w:t xml:space="preserve"> </w:t>
      </w:r>
      <w:r>
        <w:rPr>
          <w:iCs/>
          <w:i/>
        </w:rPr>
        <w:t xml:space="preserve">Evolutionary Ecology Research</w:t>
      </w:r>
      <w:r>
        <w:t xml:space="preserve">, 4, 219–226.</w:t>
      </w:r>
    </w:p>
    <w:bookmarkEnd w:id="253"/>
    <w:bookmarkStart w:id="254" w:name="ref-lively1990b"/>
    <w:p>
      <w:pPr>
        <w:pStyle w:val="Bibliography"/>
      </w:pPr>
      <w:r>
        <w:t xml:space="preserve">Lively, C.M. &amp; Lloyd, D.G. (1990). The cost of biparental sex under individual selection.</w:t>
      </w:r>
      <w:r>
        <w:t xml:space="preserve"> </w:t>
      </w:r>
      <w:r>
        <w:rPr>
          <w:iCs/>
          <w:i/>
        </w:rPr>
        <w:t xml:space="preserve">American Naturalist</w:t>
      </w:r>
      <w:r>
        <w:t xml:space="preserve">, 135, 489–500.</w:t>
      </w:r>
    </w:p>
    <w:bookmarkEnd w:id="254"/>
    <w:bookmarkStart w:id="256" w:name="ref-lively2021a"/>
    <w:p>
      <w:pPr>
        <w:pStyle w:val="Bibliography"/>
      </w:pPr>
      <w:r>
        <w:t xml:space="preserve">Lively, C.M., Xu, J. &amp; Ben-Ami, F. (2021).</w:t>
      </w:r>
      <w:r>
        <w:t xml:space="preserve"> </w:t>
      </w:r>
      <w:hyperlink r:id="rId255">
        <w:r>
          <w:rPr>
            <w:rStyle w:val="Hyperlink"/>
          </w:rPr>
          <w:t xml:space="preserve">Causation without correlation: Parasite-mediated frequency-dependent selection and infection prevalence</w:t>
        </w:r>
      </w:hyperlink>
      <w:r>
        <w:t xml:space="preserve">.</w:t>
      </w:r>
      <w:r>
        <w:t xml:space="preserve"> </w:t>
      </w:r>
      <w:r>
        <w:rPr>
          <w:iCs/>
          <w:i/>
        </w:rPr>
        <w:t xml:space="preserve">Biology Letters</w:t>
      </w:r>
      <w:r>
        <w:t xml:space="preserve">, 17, 20210321.</w:t>
      </w:r>
    </w:p>
    <w:bookmarkEnd w:id="256"/>
    <w:bookmarkStart w:id="257" w:name="ref-lloyd1980a"/>
    <w:p>
      <w:pPr>
        <w:pStyle w:val="Bibliography"/>
      </w:pPr>
      <w:r>
        <w:t xml:space="preserve">Lloyd, D.G. (1980). Benefits and handicaps of sexual reproduction.</w:t>
      </w:r>
      <w:r>
        <w:t xml:space="preserve"> </w:t>
      </w:r>
      <w:r>
        <w:rPr>
          <w:iCs/>
          <w:i/>
        </w:rPr>
        <w:t xml:space="preserve">Evolutionary Biology</w:t>
      </w:r>
      <w:r>
        <w:t xml:space="preserve">, 13, 69–111.</w:t>
      </w:r>
    </w:p>
    <w:bookmarkEnd w:id="257"/>
    <w:bookmarkStart w:id="258" w:name="ref-lloyd1984a"/>
    <w:p>
      <w:pPr>
        <w:pStyle w:val="Bibliography"/>
      </w:pPr>
      <w:r>
        <w:t xml:space="preserve">Lloyd, D.G. (1984). Variation strategies of plants in heterogeneous environments.</w:t>
      </w:r>
      <w:r>
        <w:t xml:space="preserve"> </w:t>
      </w:r>
      <w:r>
        <w:rPr>
          <w:iCs/>
          <w:i/>
        </w:rPr>
        <w:t xml:space="preserve">Biological Journal of the Linnean Society</w:t>
      </w:r>
      <w:r>
        <w:t xml:space="preserve">, 21, 357–385.</w:t>
      </w:r>
    </w:p>
    <w:bookmarkEnd w:id="258"/>
    <w:bookmarkStart w:id="259" w:name="ref-may1979a"/>
    <w:p>
      <w:pPr>
        <w:pStyle w:val="Bibliography"/>
      </w:pPr>
      <w:r>
        <w:t xml:space="preserve">May, R.M. &amp; Anderson, R.M. (1979). Population biology of infectious diseases: Part II.</w:t>
      </w:r>
      <w:r>
        <w:t xml:space="preserve"> </w:t>
      </w:r>
      <w:r>
        <w:rPr>
          <w:iCs/>
          <w:i/>
        </w:rPr>
        <w:t xml:space="preserve">Nature</w:t>
      </w:r>
      <w:r>
        <w:t xml:space="preserve">, 280, 455–461.</w:t>
      </w:r>
    </w:p>
    <w:bookmarkEnd w:id="259"/>
    <w:bookmarkStart w:id="261" w:name="ref-may1983a"/>
    <w:p>
      <w:pPr>
        <w:pStyle w:val="Bibliography"/>
      </w:pPr>
      <w:r>
        <w:t xml:space="preserve">May, R.M. &amp; Anderson, R.M. (1983).</w:t>
      </w:r>
      <w:r>
        <w:t xml:space="preserve"> </w:t>
      </w:r>
      <w:hyperlink r:id="rId260">
        <w:r>
          <w:rPr>
            <w:rStyle w:val="Hyperlink"/>
          </w:rPr>
          <w:t xml:space="preserve">Epidemiology and genetics in the coevolution of parasites and hosts</w:t>
        </w:r>
      </w:hyperlink>
      <w:r>
        <w:t xml:space="preserve">.</w:t>
      </w:r>
      <w:r>
        <w:t xml:space="preserve"> </w:t>
      </w:r>
      <w:r>
        <w:rPr>
          <w:iCs/>
          <w:i/>
        </w:rPr>
        <w:t xml:space="preserve">Proceedings of the Royal Society of London. Series B. Biological Sciences</w:t>
      </w:r>
      <w:r>
        <w:t xml:space="preserve">, 219, 281–313.</w:t>
      </w:r>
    </w:p>
    <w:bookmarkEnd w:id="261"/>
    <w:bookmarkStart w:id="262" w:name="ref-maynard1971a"/>
    <w:p>
      <w:pPr>
        <w:pStyle w:val="Bibliography"/>
      </w:pPr>
      <w:r>
        <w:t xml:space="preserve">Maynard Smith, J. (1971). What use is sex?</w:t>
      </w:r>
      <w:r>
        <w:t xml:space="preserve"> </w:t>
      </w:r>
      <w:r>
        <w:rPr>
          <w:iCs/>
          <w:i/>
        </w:rPr>
        <w:t xml:space="preserve">Journal of Theoretical Biology</w:t>
      </w:r>
      <w:r>
        <w:t xml:space="preserve">, 30, 319–335.</w:t>
      </w:r>
    </w:p>
    <w:bookmarkEnd w:id="262"/>
    <w:bookmarkStart w:id="263" w:name="ref-maynard1976a"/>
    <w:p>
      <w:pPr>
        <w:pStyle w:val="Bibliography"/>
      </w:pPr>
      <w:r>
        <w:t xml:space="preserve">Maynard Smith, J. (1976). A short-term advantage for sex and recombination through sib-competition.</w:t>
      </w:r>
      <w:r>
        <w:t xml:space="preserve"> </w:t>
      </w:r>
      <w:r>
        <w:rPr>
          <w:iCs/>
          <w:i/>
        </w:rPr>
        <w:t xml:space="preserve">Journal of Theoretical Biology</w:t>
      </w:r>
      <w:r>
        <w:t xml:space="preserve">, 63, 245–258.</w:t>
      </w:r>
    </w:p>
    <w:bookmarkEnd w:id="263"/>
    <w:bookmarkStart w:id="264" w:name="ref-maynard1978a"/>
    <w:p>
      <w:pPr>
        <w:pStyle w:val="Bibliography"/>
      </w:pPr>
      <w:r>
        <w:t xml:space="preserve">Maynard Smith, J. (1978).</w:t>
      </w:r>
      <w:r>
        <w:t xml:space="preserve"> </w:t>
      </w:r>
      <w:r>
        <w:rPr>
          <w:iCs/>
          <w:i/>
        </w:rPr>
        <w:t xml:space="preserve">The evolution of sex</w:t>
      </w:r>
      <w:r>
        <w:t xml:space="preserve">. Cambridge University Press.</w:t>
      </w:r>
    </w:p>
    <w:bookmarkEnd w:id="264"/>
    <w:bookmarkStart w:id="266" w:name="ref-maynard1980a"/>
    <w:p>
      <w:pPr>
        <w:pStyle w:val="Bibliography"/>
      </w:pPr>
      <w:r>
        <w:t xml:space="preserve">Maynard Smith, J. &amp; Hoekstra, R. (1980).</w:t>
      </w:r>
      <w:r>
        <w:t xml:space="preserve"> </w:t>
      </w:r>
      <w:hyperlink r:id="rId265">
        <w:r>
          <w:rPr>
            <w:rStyle w:val="Hyperlink"/>
          </w:rPr>
          <w:t xml:space="preserve">Polymorphism in a varied environment: How robust are the models?</w:t>
        </w:r>
      </w:hyperlink>
      <w:r>
        <w:t xml:space="preserve"> </w:t>
      </w:r>
      <w:r>
        <w:rPr>
          <w:iCs/>
          <w:i/>
        </w:rPr>
        <w:t xml:space="preserve">Genetics Research</w:t>
      </w:r>
      <w:r>
        <w:t xml:space="preserve">, 35, 45–57.</w:t>
      </w:r>
    </w:p>
    <w:bookmarkEnd w:id="266"/>
    <w:bookmarkStart w:id="267" w:name="ref-meirmans2009a"/>
    <w:p>
      <w:pPr>
        <w:pStyle w:val="Bibliography"/>
      </w:pPr>
      <w:r>
        <w:t xml:space="preserve">Meirmans, S. (2009). The evolution of the problem of sex. In:</w:t>
      </w:r>
      <w:r>
        <w:t xml:space="preserve"> </w:t>
      </w:r>
      <w:r>
        <w:rPr>
          <w:iCs/>
          <w:i/>
        </w:rPr>
        <w:t xml:space="preserve">Lost sex: The evolutionary biology of parthenogenesis</w:t>
      </w:r>
      <w:r>
        <w:t xml:space="preserve"> </w:t>
      </w:r>
      <w:r>
        <w:t xml:space="preserve">(eds. Schön, I., Martens, K. &amp; Dijk, P. van). Springer, London, pp. 21–46.</w:t>
      </w:r>
    </w:p>
    <w:bookmarkEnd w:id="267"/>
    <w:bookmarkStart w:id="268" w:name="ref-negovetic2001a"/>
    <w:p>
      <w:pPr>
        <w:pStyle w:val="Bibliography"/>
      </w:pPr>
      <w:r>
        <w:t xml:space="preserve">Negovetic, S. &amp; Jokela, J. (2001). Life history variation, phenotypic plasticity and maintenance of subpopulation structure in a freshwater snail.</w:t>
      </w:r>
      <w:r>
        <w:t xml:space="preserve"> </w:t>
      </w:r>
      <w:r>
        <w:rPr>
          <w:iCs/>
          <w:i/>
        </w:rPr>
        <w:t xml:space="preserve">Ecology</w:t>
      </w:r>
      <w:r>
        <w:t xml:space="preserve">, 82, 2805–2815.</w:t>
      </w:r>
    </w:p>
    <w:bookmarkEnd w:id="268"/>
    <w:bookmarkStart w:id="269" w:name="ref-otto2021a"/>
    <w:p>
      <w:pPr>
        <w:pStyle w:val="Bibliography"/>
      </w:pPr>
      <w:r>
        <w:t xml:space="preserve">Otto, S.P. (2021). Selective interference and the evolution of sex.</w:t>
      </w:r>
      <w:r>
        <w:t xml:space="preserve"> </w:t>
      </w:r>
      <w:r>
        <w:rPr>
          <w:iCs/>
          <w:i/>
        </w:rPr>
        <w:t xml:space="preserve">Journal of Heredity</w:t>
      </w:r>
      <w:r>
        <w:t xml:space="preserve">, 112, 9–18.</w:t>
      </w:r>
    </w:p>
    <w:bookmarkEnd w:id="269"/>
    <w:bookmarkStart w:id="270" w:name="ref-peters1999a"/>
    <w:p>
      <w:pPr>
        <w:pStyle w:val="Bibliography"/>
      </w:pPr>
      <w:r>
        <w:t xml:space="preserve">Peters, A.D. &amp; Lively, C.M. (1999). The</w:t>
      </w:r>
      <w:r>
        <w:t xml:space="preserve"> </w:t>
      </w:r>
      <w:r>
        <w:t xml:space="preserve">Red Queen</w:t>
      </w:r>
      <w:r>
        <w:t xml:space="preserve"> </w:t>
      </w:r>
      <w:r>
        <w:t xml:space="preserve">and fluctuating epistasis: A population genetic analysis of antagonistic coevolution.</w:t>
      </w:r>
      <w:r>
        <w:t xml:space="preserve"> </w:t>
      </w:r>
      <w:r>
        <w:rPr>
          <w:iCs/>
          <w:i/>
        </w:rPr>
        <w:t xml:space="preserve">American Naturalist</w:t>
      </w:r>
      <w:r>
        <w:t xml:space="preserve">, 154, 393–405.</w:t>
      </w:r>
    </w:p>
    <w:bookmarkEnd w:id="270"/>
    <w:bookmarkStart w:id="271" w:name="ref-peters2007a"/>
    <w:p>
      <w:pPr>
        <w:pStyle w:val="Bibliography"/>
      </w:pPr>
      <w:r>
        <w:t xml:space="preserve">Peters, A.D. &amp; Lively, C.M. (2007). Short- and long-term benefits and detriments to recombination under antagonistic coevolution.</w:t>
      </w:r>
      <w:r>
        <w:t xml:space="preserve"> </w:t>
      </w:r>
      <w:r>
        <w:rPr>
          <w:iCs/>
          <w:i/>
        </w:rPr>
        <w:t xml:space="preserve">Journal of Evolutionary Biology</w:t>
      </w:r>
      <w:r>
        <w:t xml:space="preserve">, 20, 1206–1217.</w:t>
      </w:r>
    </w:p>
    <w:bookmarkEnd w:id="271"/>
    <w:bookmarkStart w:id="272" w:name="ref-philippi1989a"/>
    <w:p>
      <w:pPr>
        <w:pStyle w:val="Bibliography"/>
      </w:pPr>
      <w:r>
        <w:t xml:space="preserve">Philippi, T. &amp; Seger, J. (1989). Hedging one’s evolutionary bets, revisited.</w:t>
      </w:r>
      <w:r>
        <w:t xml:space="preserve"> </w:t>
      </w:r>
      <w:r>
        <w:rPr>
          <w:iCs/>
          <w:i/>
        </w:rPr>
        <w:t xml:space="preserve">Trends in Ecology &amp; Evolution</w:t>
      </w:r>
      <w:r>
        <w:t xml:space="preserve">, 4, 41–44.</w:t>
      </w:r>
    </w:p>
    <w:bookmarkEnd w:id="272"/>
    <w:bookmarkStart w:id="274" w:name="ref-phillips1990a"/>
    <w:p>
      <w:pPr>
        <w:pStyle w:val="Bibliography"/>
      </w:pPr>
      <w:r>
        <w:t xml:space="preserve">Phillips, N.R. &amp; Lambert, D.M. (1990).</w:t>
      </w:r>
      <w:r>
        <w:t xml:space="preserve"> </w:t>
      </w:r>
      <w:hyperlink r:id="rId273">
        <w:r>
          <w:rPr>
            <w:rStyle w:val="Hyperlink"/>
          </w:rPr>
          <w:t xml:space="preserve">A cladistic analysis of species of the molluscan genus</w:t>
        </w:r>
        <w:r>
          <w:rPr>
            <w:rStyle w:val="Hyperlink"/>
          </w:rPr>
          <w:t xml:space="preserve"> </w:t>
        </w:r>
        <w:r>
          <w:rPr>
            <w:rStyle w:val="Hyperlink"/>
            <w:iCs/>
            <w:i/>
          </w:rPr>
          <w:t xml:space="preserve">P</w:t>
        </w:r>
        <w:r>
          <w:rPr>
            <w:rStyle w:val="Hyperlink"/>
            <w:iCs/>
            <w:i/>
          </w:rPr>
          <w:t xml:space="preserve">otamopyrgus</w:t>
        </w:r>
        <w:r>
          <w:rPr>
            <w:rStyle w:val="Hyperlink"/>
          </w:rPr>
          <w:t xml:space="preserve"> </w:t>
        </w:r>
        <w:r>
          <w:rPr>
            <w:rStyle w:val="Hyperlink"/>
          </w:rPr>
          <w:t xml:space="preserve">based on allozyme data</w:t>
        </w:r>
      </w:hyperlink>
      <w:r>
        <w:t xml:space="preserve">.</w:t>
      </w:r>
      <w:r>
        <w:t xml:space="preserve"> </w:t>
      </w:r>
      <w:r>
        <w:rPr>
          <w:iCs/>
          <w:i/>
        </w:rPr>
        <w:t xml:space="preserve">New Zealand Journal of Zoology</w:t>
      </w:r>
      <w:r>
        <w:t xml:space="preserve">, 17, 257–263.</w:t>
      </w:r>
    </w:p>
    <w:bookmarkEnd w:id="274"/>
    <w:bookmarkStart w:id="275" w:name="ref-platt1964a"/>
    <w:p>
      <w:pPr>
        <w:pStyle w:val="Bibliography"/>
      </w:pPr>
      <w:r>
        <w:t xml:space="preserve">Platt, J.R. (1964). Strong inference.</w:t>
      </w:r>
      <w:r>
        <w:t xml:space="preserve"> </w:t>
      </w:r>
      <w:r>
        <w:rPr>
          <w:iCs/>
          <w:i/>
        </w:rPr>
        <w:t xml:space="preserve">Science</w:t>
      </w:r>
      <w:r>
        <w:t xml:space="preserve">, 146, 347–353.</w:t>
      </w:r>
    </w:p>
    <w:bookmarkEnd w:id="275"/>
    <w:bookmarkStart w:id="276" w:name="ref-popper1959a"/>
    <w:p>
      <w:pPr>
        <w:pStyle w:val="Bibliography"/>
      </w:pPr>
      <w:r>
        <w:t xml:space="preserve">Popper, K. (1959).</w:t>
      </w:r>
      <w:r>
        <w:t xml:space="preserve"> </w:t>
      </w:r>
      <w:r>
        <w:rPr>
          <w:iCs/>
          <w:i/>
        </w:rPr>
        <w:t xml:space="preserve">The logic of scientific discovery</w:t>
      </w:r>
      <w:r>
        <w:t xml:space="preserve">. Hutchinson &amp; Company, London.</w:t>
      </w:r>
    </w:p>
    <w:bookmarkEnd w:id="276"/>
    <w:bookmarkStart w:id="277" w:name="ref-prout1968a"/>
    <w:p>
      <w:pPr>
        <w:pStyle w:val="Bibliography"/>
      </w:pPr>
      <w:r>
        <w:t xml:space="preserve">Prout, T. (1968). Sufficient conditions for multiple niche polymorphism.</w:t>
      </w:r>
      <w:r>
        <w:t xml:space="preserve"> </w:t>
      </w:r>
      <w:r>
        <w:rPr>
          <w:iCs/>
          <w:i/>
        </w:rPr>
        <w:t xml:space="preserve">The American Naturalist</w:t>
      </w:r>
      <w:r>
        <w:t xml:space="preserve">, 102, 493–496.</w:t>
      </w:r>
    </w:p>
    <w:bookmarkEnd w:id="277"/>
    <w:bookmarkStart w:id="278" w:name="ref-salathe2008a"/>
    <w:p>
      <w:pPr>
        <w:pStyle w:val="Bibliography"/>
      </w:pPr>
      <w:r>
        <w:t xml:space="preserve">Salathe, M., Kouyos, R.D., Regoes, R.R. &amp; Bonhoeffer, S. (2008). Rapid parasite adaptation drives selection for high recombination rates.</w:t>
      </w:r>
      <w:r>
        <w:t xml:space="preserve"> </w:t>
      </w:r>
      <w:r>
        <w:rPr>
          <w:iCs/>
          <w:i/>
        </w:rPr>
        <w:t xml:space="preserve">Evolution</w:t>
      </w:r>
      <w:r>
        <w:t xml:space="preserve">, 62, 295–300.</w:t>
      </w:r>
    </w:p>
    <w:bookmarkEnd w:id="278"/>
    <w:bookmarkStart w:id="279" w:name="ref-schmid-hempel2002a"/>
    <w:p>
      <w:pPr>
        <w:pStyle w:val="Bibliography"/>
      </w:pPr>
      <w:r>
        <w:t xml:space="preserve">Schmid-Hempel, P. &amp; Jokela, J. (2002). Socially structured populations and evolution of recombination under antagonistic coevolution.</w:t>
      </w:r>
      <w:r>
        <w:t xml:space="preserve"> </w:t>
      </w:r>
      <w:r>
        <w:rPr>
          <w:iCs/>
          <w:i/>
        </w:rPr>
        <w:t xml:space="preserve">American Naturalist</w:t>
      </w:r>
      <w:r>
        <w:t xml:space="preserve">, 160, 403–408.</w:t>
      </w:r>
    </w:p>
    <w:bookmarkEnd w:id="279"/>
    <w:bookmarkStart w:id="280" w:name="ref-siebold1856a"/>
    <w:p>
      <w:pPr>
        <w:pStyle w:val="Bibliography"/>
      </w:pPr>
      <w:r>
        <w:t xml:space="preserve">Siebold, C.T.E. von. (1856).</w:t>
      </w:r>
      <w:r>
        <w:t xml:space="preserve"> </w:t>
      </w:r>
      <w:r>
        <w:rPr>
          <w:iCs/>
          <w:i/>
        </w:rPr>
        <w:t xml:space="preserve">Wahre parthenogenesis bei schmetterlingen und bienen. Ein beitrag zur fortpflanzungsgeschichte der thiere</w:t>
      </w:r>
      <w:r>
        <w:t xml:space="preserve">. William Engelmann, Leipzig.</w:t>
      </w:r>
    </w:p>
    <w:bookmarkEnd w:id="280"/>
    <w:bookmarkStart w:id="281" w:name="ref-soper2013a"/>
    <w:p>
      <w:pPr>
        <w:pStyle w:val="Bibliography"/>
      </w:pPr>
      <w:r>
        <w:t xml:space="preserve">Soper, D.M., Neiman, M., Savytskyy, O.P., Zolan, M.E. &amp; Lively, C.M. (2013). Spermatozoa production by triploid males in the</w:t>
      </w:r>
      <w:r>
        <w:t xml:space="preserve"> </w:t>
      </w:r>
      <w:r>
        <w:t xml:space="preserve">New Zealand</w:t>
      </w:r>
      <w:r>
        <w:t xml:space="preserve"> </w:t>
      </w:r>
      <w:r>
        <w:t xml:space="preserve">freshwater snail</w:t>
      </w:r>
      <w:r>
        <w:t xml:space="preserve"> </w:t>
      </w:r>
      <w:r>
        <w:rPr>
          <w:iCs/>
          <w:i/>
        </w:rPr>
        <w:t xml:space="preserve">P</w:t>
      </w:r>
      <w:r>
        <w:rPr>
          <w:iCs/>
          <w:i/>
        </w:rPr>
        <w:t xml:space="preserve">otamopyrgus antipodarum</w:t>
      </w:r>
      <w:r>
        <w:t xml:space="preserve">.</w:t>
      </w:r>
      <w:r>
        <w:t xml:space="preserve"> </w:t>
      </w:r>
      <w:r>
        <w:rPr>
          <w:iCs/>
          <w:i/>
        </w:rPr>
        <w:t xml:space="preserve">Biological Journal of the Linnean Society</w:t>
      </w:r>
      <w:r>
        <w:t xml:space="preserve">, 110, 227–234.</w:t>
      </w:r>
    </w:p>
    <w:bookmarkEnd w:id="281"/>
    <w:bookmarkStart w:id="282" w:name="ref-stearns2000a"/>
    <w:p>
      <w:pPr>
        <w:pStyle w:val="Bibliography"/>
      </w:pPr>
      <w:r>
        <w:t xml:space="preserve">Stearns, S.C. (2000).</w:t>
      </w:r>
      <w:r>
        <w:t xml:space="preserve"> </w:t>
      </w:r>
      <w:r>
        <w:t xml:space="preserve">Daniel Bernoulli</w:t>
      </w:r>
      <w:r>
        <w:t xml:space="preserve"> </w:t>
      </w:r>
      <w:r>
        <w:t xml:space="preserve">(1738): Evolution and economics under risk.</w:t>
      </w:r>
      <w:r>
        <w:t xml:space="preserve"> </w:t>
      </w:r>
      <w:r>
        <w:rPr>
          <w:iCs/>
          <w:i/>
        </w:rPr>
        <w:t xml:space="preserve">Journal of Biosciences</w:t>
      </w:r>
      <w:r>
        <w:t xml:space="preserve">, 25, 221–228.</w:t>
      </w:r>
    </w:p>
    <w:bookmarkEnd w:id="282"/>
    <w:bookmarkStart w:id="283" w:name="ref-stolley1991a"/>
    <w:p>
      <w:pPr>
        <w:pStyle w:val="Bibliography"/>
      </w:pPr>
      <w:r>
        <w:t xml:space="preserve">Stolley, P.D. (1991). When genius errs: R. A. Fisher and the lung cancer controversy.</w:t>
      </w:r>
      <w:r>
        <w:t xml:space="preserve"> </w:t>
      </w:r>
      <w:r>
        <w:rPr>
          <w:iCs/>
          <w:i/>
        </w:rPr>
        <w:t xml:space="preserve">American Journal of Epidemiology</w:t>
      </w:r>
      <w:r>
        <w:t xml:space="preserve">, 133, 416–425.</w:t>
      </w:r>
    </w:p>
    <w:bookmarkEnd w:id="283"/>
    <w:bookmarkStart w:id="284" w:name="ref-tomlinson1966a"/>
    <w:p>
      <w:pPr>
        <w:pStyle w:val="Bibliography"/>
      </w:pPr>
      <w:r>
        <w:t xml:space="preserve">Tomlinson, J. (1966). The advantages of hermaphroditism and parthenogenesis.</w:t>
      </w:r>
      <w:r>
        <w:t xml:space="preserve"> </w:t>
      </w:r>
      <w:r>
        <w:rPr>
          <w:iCs/>
          <w:i/>
        </w:rPr>
        <w:t xml:space="preserve">Journal of Theoretical Biology</w:t>
      </w:r>
      <w:r>
        <w:t xml:space="preserve">, 11, 54–58.</w:t>
      </w:r>
    </w:p>
    <w:bookmarkEnd w:id="284"/>
    <w:bookmarkStart w:id="285" w:name="ref-valen1973a"/>
    <w:p>
      <w:pPr>
        <w:pStyle w:val="Bibliography"/>
      </w:pPr>
      <w:r>
        <w:t xml:space="preserve">Valen, L. van. (1973). A new evolutionary law.</w:t>
      </w:r>
      <w:r>
        <w:t xml:space="preserve"> </w:t>
      </w:r>
      <w:r>
        <w:rPr>
          <w:iCs/>
          <w:i/>
        </w:rPr>
        <w:t xml:space="preserve">Evolutionary Theory</w:t>
      </w:r>
      <w:r>
        <w:t xml:space="preserve">, 1, 1–30.</w:t>
      </w:r>
    </w:p>
    <w:bookmarkEnd w:id="285"/>
    <w:bookmarkStart w:id="286" w:name="ref-vrijenhoek1979a"/>
    <w:p>
      <w:pPr>
        <w:pStyle w:val="Bibliography"/>
      </w:pPr>
      <w:r>
        <w:t xml:space="preserve">Vrijenhoek, R.C. (1979). Factors affecting clonal diversity and coexistence.</w:t>
      </w:r>
      <w:r>
        <w:t xml:space="preserve"> </w:t>
      </w:r>
      <w:r>
        <w:rPr>
          <w:iCs/>
          <w:i/>
        </w:rPr>
        <w:t xml:space="preserve">American Zoologist</w:t>
      </w:r>
      <w:r>
        <w:t xml:space="preserve">, 19, 787–797.</w:t>
      </w:r>
    </w:p>
    <w:bookmarkEnd w:id="286"/>
    <w:bookmarkStart w:id="287" w:name="ref-vrijenhoek1998a"/>
    <w:p>
      <w:pPr>
        <w:pStyle w:val="Bibliography"/>
      </w:pPr>
      <w:r>
        <w:t xml:space="preserve">Vrijenhoek, R.C. (1998). Animal clones and diversity.</w:t>
      </w:r>
      <w:r>
        <w:t xml:space="preserve"> </w:t>
      </w:r>
      <w:r>
        <w:rPr>
          <w:iCs/>
          <w:i/>
        </w:rPr>
        <w:t xml:space="preserve">Bioscience</w:t>
      </w:r>
      <w:r>
        <w:t xml:space="preserve">, 48, 617–628.</w:t>
      </w:r>
    </w:p>
    <w:bookmarkEnd w:id="287"/>
    <w:bookmarkStart w:id="288" w:name="ref-vrijenhoek2009a"/>
    <w:p>
      <w:pPr>
        <w:pStyle w:val="Bibliography"/>
      </w:pPr>
      <w:r>
        <w:t xml:space="preserve">Vrijenhoek, R.C. &amp; Parker, E.D. (2009). Geographical parthenogenesis: General purpose genotypes and frozen niche variation. In:</w:t>
      </w:r>
      <w:r>
        <w:t xml:space="preserve"> </w:t>
      </w:r>
      <w:r>
        <w:rPr>
          <w:iCs/>
          <w:i/>
        </w:rPr>
        <w:t xml:space="preserve">Lost sex: The evolutionary biology of parthenogenesis</w:t>
      </w:r>
      <w:r>
        <w:t xml:space="preserve"> </w:t>
      </w:r>
      <w:r>
        <w:t xml:space="preserve">(eds. Schön, I., Martens, K. &amp; Dijk, P.). Springer, London, pp. 99–131.</w:t>
      </w:r>
    </w:p>
    <w:bookmarkEnd w:id="288"/>
    <w:bookmarkStart w:id="289" w:name="ref-wallace1975a"/>
    <w:p>
      <w:pPr>
        <w:pStyle w:val="Bibliography"/>
      </w:pPr>
      <w:r>
        <w:t xml:space="preserve">Wallace, B. (1975). Hard and soft selection revisited.</w:t>
      </w:r>
      <w:r>
        <w:t xml:space="preserve"> </w:t>
      </w:r>
      <w:r>
        <w:rPr>
          <w:iCs/>
          <w:i/>
        </w:rPr>
        <w:t xml:space="preserve">Evolution</w:t>
      </w:r>
      <w:r>
        <w:t xml:space="preserve">, 29, 465–473.</w:t>
      </w:r>
    </w:p>
    <w:bookmarkEnd w:id="289"/>
    <w:bookmarkStart w:id="290" w:name="ref-whitton2008a"/>
    <w:p>
      <w:pPr>
        <w:pStyle w:val="Bibliography"/>
      </w:pPr>
      <w:r>
        <w:t xml:space="preserve">Whitton, J., Sears, C., Baack, E. &amp; Otto, S. (2008). The dynamic nature of apomixis in the angiosperms.</w:t>
      </w:r>
      <w:r>
        <w:t xml:space="preserve"> </w:t>
      </w:r>
      <w:r>
        <w:rPr>
          <w:iCs/>
          <w:i/>
        </w:rPr>
        <w:t xml:space="preserve">International Journal of Plant Sciences</w:t>
      </w:r>
      <w:r>
        <w:t xml:space="preserve">, 169, 169–182.</w:t>
      </w:r>
    </w:p>
    <w:bookmarkEnd w:id="290"/>
    <w:bookmarkStart w:id="291" w:name="ref-williams1975a"/>
    <w:p>
      <w:pPr>
        <w:pStyle w:val="Bibliography"/>
      </w:pPr>
      <w:r>
        <w:t xml:space="preserve">Williams, G.C. (1975).</w:t>
      </w:r>
      <w:r>
        <w:t xml:space="preserve"> </w:t>
      </w:r>
      <w:r>
        <w:rPr>
          <w:iCs/>
          <w:i/>
        </w:rPr>
        <w:t xml:space="preserve">Sex and evolution</w:t>
      </w:r>
      <w:r>
        <w:t xml:space="preserve">. Princeton University Press.</w:t>
      </w:r>
    </w:p>
    <w:bookmarkEnd w:id="291"/>
    <w:bookmarkStart w:id="292" w:name="ref-winterbourn1970a"/>
    <w:p>
      <w:pPr>
        <w:pStyle w:val="Bibliography"/>
      </w:pPr>
      <w:r>
        <w:t xml:space="preserve">Winterbourn, M.J. (1970).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Malacologia</w:t>
      </w:r>
      <w:r>
        <w:t xml:space="preserve">, 10, 283–321.</w:t>
      </w:r>
    </w:p>
    <w:bookmarkEnd w:id="292"/>
    <w:bookmarkStart w:id="293" w:name="ref-winterbourn1973a"/>
    <w:p>
      <w:pPr>
        <w:pStyle w:val="Bibliography"/>
      </w:pPr>
      <w:r>
        <w:t xml:space="preserve">Winterbourn, M.J. (1973). Larval trematoda parasitising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Mauri Ora</w:t>
      </w:r>
      <w:r>
        <w:t xml:space="preserve">, 2, 17–30.</w:t>
      </w:r>
    </w:p>
    <w:bookmarkEnd w:id="293"/>
    <w:bookmarkStart w:id="294" w:name="ref-winterbourn1981a"/>
    <w:p>
      <w:pPr>
        <w:pStyle w:val="Bibliography"/>
      </w:pPr>
      <w:r>
        <w:t xml:space="preserve">Winterbourn, M.J., Rounick, J.S. &amp; Cowie, B. (1981). Are</w:t>
      </w:r>
      <w:r>
        <w:t xml:space="preserve"> </w:t>
      </w:r>
      <w:r>
        <w:t xml:space="preserve">New Zealand</w:t>
      </w:r>
      <w:r>
        <w:t xml:space="preserve"> </w:t>
      </w:r>
      <w:r>
        <w:t xml:space="preserve">stream ecosystems really different?</w:t>
      </w:r>
      <w:r>
        <w:t xml:space="preserve"> </w:t>
      </w:r>
      <w:r>
        <w:rPr>
          <w:iCs/>
          <w:i/>
        </w:rPr>
        <w:t xml:space="preserve">New Zealand Journal of Marine and Freshwater Research</w:t>
      </w:r>
      <w:r>
        <w:t xml:space="preserve">, 15, 321–328.</w:t>
      </w:r>
    </w:p>
    <w:bookmarkEnd w:id="294"/>
    <w:bookmarkEnd w:id="295"/>
    <w:bookmarkEnd w:id="296"/>
    <w:sectPr w:rsidR="009E757F" w:rsidRPr="009E757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9">
    <w:p>
      <w:pPr>
        <w:pStyle w:val="FootnoteText"/>
      </w:pPr>
      <w:r>
        <w:rPr>
          <w:rStyle w:val="FootnoteReference"/>
        </w:rPr>
        <w:footnoteRef/>
      </w:r>
      <w:r>
        <w:t xml:space="preserve"> </w:t>
      </w:r>
      <w:r>
        <w:t xml:space="preserve">See also Elliott and Brook</w:t>
      </w:r>
      <w:r>
        <w:t xml:space="preserve"> </w:t>
      </w:r>
      <w:r>
        <w:t xml:space="preserve">(2007)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84">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7">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96">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8">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00">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01">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02">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3">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04">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1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20">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121">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130">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31">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32">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3">
    <w:p>
      <w:pPr>
        <w:pStyle w:val="FootnoteText"/>
      </w:pPr>
      <w:r>
        <w:rPr>
          <w:rStyle w:val="FootnoteReference"/>
        </w:rPr>
        <w:footnoteRef/>
      </w:r>
      <w:r>
        <w:t xml:space="preserve"> </w:t>
      </w:r>
      <w:r>
        <w:t xml:space="preserve">See also Elliott and Brook</w:t>
      </w:r>
      <w:r>
        <w:t xml:space="preserve"> </w:t>
      </w:r>
      <w:r>
        <w:t xml:space="preserve">(2007)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139">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42">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143">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4">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5">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6">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47">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5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5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4">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5">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&amp; May 1979; May &amp; Anderson 1979)</w:t>
      </w:r>
      <w:r>
        <w:t xml:space="preserve">. Virulence may also be density dependent</w:t>
      </w:r>
      <w:r>
        <w:t xml:space="preserve"> </w:t>
      </w:r>
      <w:r>
        <w:t xml:space="preserve">(Bell</w:t>
      </w:r>
      <w:r>
        <w:t xml:space="preserve"> </w:t>
      </w:r>
      <w:r>
        <w:rPr>
          <w:iCs/>
          <w:i/>
        </w:rPr>
        <w:t xml:space="preserve">et al.</w:t>
      </w:r>
      <w:r>
        <w:t xml:space="preserve"> </w:t>
      </w:r>
      <w:r>
        <w:t xml:space="preserve">2006; Lively</w:t>
      </w:r>
      <w:r>
        <w:t xml:space="preserve"> </w:t>
      </w:r>
      <w:r>
        <w:rPr>
          <w:iCs/>
          <w:i/>
        </w:rPr>
        <w:t xml:space="preserve">et al.</w:t>
      </w:r>
      <w:r>
        <w:t xml:space="preserve"> </w:t>
      </w:r>
      <w:r>
        <w:t xml:space="preserve">1995; Lively 2006)</w:t>
      </w:r>
      <w:r>
        <w:t xml:space="preserve">. Habitat partitioning may also play a role in the distribution of sexual females among depth-stratified habitats</w:t>
      </w:r>
      <w:r>
        <w:t xml:space="preserve"> </w:t>
      </w:r>
      <w:r>
        <w:t xml:space="preserve">(Negovetic &amp; Jokela 2001)</w:t>
      </w:r>
      <w:r>
        <w:t xml:space="preserve">.</w:t>
      </w:r>
    </w:p>
  </w:footnote>
  <w:footnote w:id="163">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 w:id="172">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CB8288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A16602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C9447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B283CC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2D8E204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A4AE4C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1C47D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D34AD7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3B430F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7DA54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autoRedefine/>
    <w:qFormat/>
    <w:rsid w:val="009E757F"/>
    <w:pPr>
      <w:ind w:hanging="720" w:left="720"/>
    </w:pPr>
    <w:rPr>
      <w:rFonts w:ascii="ETBembo" w:hAnsi="ETBembo"/>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3" Target="media/rId53.jpg" /><Relationship Type="http://schemas.openxmlformats.org/officeDocument/2006/relationships/image" Id="rId69" Target="media/rId69.jpg" /><Relationship Type="http://schemas.openxmlformats.org/officeDocument/2006/relationships/image" Id="rId80" Target="media/rId80.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12" Target="media/rId112.jpg" /><Relationship Type="http://schemas.openxmlformats.org/officeDocument/2006/relationships/image" Id="rId117" Target="media/rId117.jp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134" Target="media/rId134.jpg" /><Relationship Type="http://schemas.openxmlformats.org/officeDocument/2006/relationships/image" Id="rId148" Target="media/rId148.jpg" /><Relationship Type="http://schemas.openxmlformats.org/officeDocument/2006/relationships/image" Id="rId157" Target="media/rId157.jpg" /><Relationship Type="http://schemas.openxmlformats.org/officeDocument/2006/relationships/image" Id="rId164" Target="media/rId164.jpg" /><Relationship Type="http://schemas.openxmlformats.org/officeDocument/2006/relationships/image" Id="rId169" Target="media/rId169.jpg" /><Relationship Type="http://schemas.openxmlformats.org/officeDocument/2006/relationships/image" Id="rId173" Target="media/rId173.jpg"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5" Target="https://doi.org/10.1017/S0016672300013926" TargetMode="External" /><Relationship Type="http://schemas.openxmlformats.org/officeDocument/2006/relationships/hyperlink" Id="rId188" Target="https://doi.org/10.1017/S0022149X19000993" TargetMode="External" /><Relationship Type="http://schemas.openxmlformats.org/officeDocument/2006/relationships/hyperlink" Id="rId233" Target="https://doi.org/10.1073/pnas.68.5.984" TargetMode="External" /><Relationship Type="http://schemas.openxmlformats.org/officeDocument/2006/relationships/hyperlink" Id="rId273" Target="https://doi.org/10.1080/03014223.1990.10422600" TargetMode="External" /><Relationship Type="http://schemas.openxmlformats.org/officeDocument/2006/relationships/hyperlink" Id="rId203" Target="https://doi.org/10.1080/11250009909356270" TargetMode="External" /><Relationship Type="http://schemas.openxmlformats.org/officeDocument/2006/relationships/hyperlink" Id="rId243" Target="https://doi.org/10.1086/303210" TargetMode="External" /><Relationship Type="http://schemas.openxmlformats.org/officeDocument/2006/relationships/hyperlink" Id="rId255" Target="https://doi.org/10.1098/rsbl.2021.0321" TargetMode="External" /><Relationship Type="http://schemas.openxmlformats.org/officeDocument/2006/relationships/hyperlink" Id="rId260" Target="https://doi.org/10.1098/rspb.1983.0075" TargetMode="External" /><Relationship Type="http://schemas.openxmlformats.org/officeDocument/2006/relationships/hyperlink" Id="rId249" Target="https://doi.org/10.1098/rspb.1994.0054" TargetMode="External" /><Relationship Type="http://schemas.openxmlformats.org/officeDocument/2006/relationships/hyperlink" Id="rId220" Target="https://doi.org/10.1098/rstb.1994.0146" TargetMode="External" /><Relationship Type="http://schemas.openxmlformats.org/officeDocument/2006/relationships/hyperlink" Id="rId198" Target="https://doi.org/10.1111/j.1095-8312.1862.tb01218.x" TargetMode="External" /><Relationship Type="http://schemas.openxmlformats.org/officeDocument/2006/relationships/hyperlink" Id="rId218" Target="https://doi.org/10.1111/j.1442-1984.1993.tb00072.x" TargetMode="External" /><Relationship Type="http://schemas.openxmlformats.org/officeDocument/2006/relationships/hyperlink" Id="rId186" Target="https://doi.org/10.1111/j.1461-0248.2006.00905.x" TargetMode="External" /><Relationship Type="http://schemas.openxmlformats.org/officeDocument/2006/relationships/hyperlink" Id="rId237" Target="https://doi.org/10.1111/j.1558-5646.1986.tb00466.x" TargetMode="External" /><Relationship Type="http://schemas.openxmlformats.org/officeDocument/2006/relationships/hyperlink" Id="rId230" Target="https://doi.org/10.1163/156853900502565" TargetMode="External" /><Relationship Type="http://schemas.openxmlformats.org/officeDocument/2006/relationships/hyperlink" Id="rId251" Target="https://doi.org/10.2307/1940718" TargetMode="External" /><Relationship Type="http://schemas.openxmlformats.org/officeDocument/2006/relationships/hyperlink" Id="rId196"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201"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5" Target="https://doi.org/10.1017/S0016672300013926" TargetMode="External" /><Relationship Type="http://schemas.openxmlformats.org/officeDocument/2006/relationships/hyperlink" Id="rId188" Target="https://doi.org/10.1017/S0022149X19000993" TargetMode="External" /><Relationship Type="http://schemas.openxmlformats.org/officeDocument/2006/relationships/hyperlink" Id="rId233" Target="https://doi.org/10.1073/pnas.68.5.984" TargetMode="External" /><Relationship Type="http://schemas.openxmlformats.org/officeDocument/2006/relationships/hyperlink" Id="rId273" Target="https://doi.org/10.1080/03014223.1990.10422600" TargetMode="External" /><Relationship Type="http://schemas.openxmlformats.org/officeDocument/2006/relationships/hyperlink" Id="rId203" Target="https://doi.org/10.1080/11250009909356270" TargetMode="External" /><Relationship Type="http://schemas.openxmlformats.org/officeDocument/2006/relationships/hyperlink" Id="rId243" Target="https://doi.org/10.1086/303210" TargetMode="External" /><Relationship Type="http://schemas.openxmlformats.org/officeDocument/2006/relationships/hyperlink" Id="rId255" Target="https://doi.org/10.1098/rsbl.2021.0321" TargetMode="External" /><Relationship Type="http://schemas.openxmlformats.org/officeDocument/2006/relationships/hyperlink" Id="rId260" Target="https://doi.org/10.1098/rspb.1983.0075" TargetMode="External" /><Relationship Type="http://schemas.openxmlformats.org/officeDocument/2006/relationships/hyperlink" Id="rId249" Target="https://doi.org/10.1098/rspb.1994.0054" TargetMode="External" /><Relationship Type="http://schemas.openxmlformats.org/officeDocument/2006/relationships/hyperlink" Id="rId220" Target="https://doi.org/10.1098/rstb.1994.0146" TargetMode="External" /><Relationship Type="http://schemas.openxmlformats.org/officeDocument/2006/relationships/hyperlink" Id="rId198" Target="https://doi.org/10.1111/j.1095-8312.1862.tb01218.x" TargetMode="External" /><Relationship Type="http://schemas.openxmlformats.org/officeDocument/2006/relationships/hyperlink" Id="rId218" Target="https://doi.org/10.1111/j.1442-1984.1993.tb00072.x" TargetMode="External" /><Relationship Type="http://schemas.openxmlformats.org/officeDocument/2006/relationships/hyperlink" Id="rId186" Target="https://doi.org/10.1111/j.1461-0248.2006.00905.x" TargetMode="External" /><Relationship Type="http://schemas.openxmlformats.org/officeDocument/2006/relationships/hyperlink" Id="rId237" Target="https://doi.org/10.1111/j.1558-5646.1986.tb00466.x" TargetMode="External" /><Relationship Type="http://schemas.openxmlformats.org/officeDocument/2006/relationships/hyperlink" Id="rId230" Target="https://doi.org/10.1163/156853900502565" TargetMode="External" /><Relationship Type="http://schemas.openxmlformats.org/officeDocument/2006/relationships/hyperlink" Id="rId251" Target="https://doi.org/10.2307/1940718" TargetMode="External" /><Relationship Type="http://schemas.openxmlformats.org/officeDocument/2006/relationships/hyperlink" Id="rId196"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201"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 I. Why Cross-Fertilize?</dc:title>
  <dc:creator>Curtis M. Lively</dc:creator>
  <dc:language>en-US</dc:language>
  <cp:keywords/>
  <dcterms:created xsi:type="dcterms:W3CDTF">2023-11-27T21:19:48Z</dcterms:created>
  <dcterms:modified xsi:type="dcterms:W3CDTF">2023-11-27T21:19:48Z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ecology-letters.csl</vt:lpwstr>
  </property>
  <property fmtid="{D5CDD505-2E9C-101B-9397-08002B2CF9AE}" pid="12" name="date">
    <vt:lpwstr>27 November 2023</vt:lpwstr>
  </property>
  <property fmtid="{D5CDD505-2E9C-101B-9397-08002B2CF9AE}" pid="13" name="date-format">
    <vt:lpwstr>DD MMMM YYYY</vt:lpwstr>
  </property>
  <property fmtid="{D5CDD505-2E9C-101B-9397-08002B2CF9AE}" pid="14" name="doi">
    <vt:lpwstr>10.5967/gbd3-ka07</vt:lpwstr>
  </property>
  <property fmtid="{D5CDD505-2E9C-101B-9397-08002B2CF9AE}" pid="15" name="fig-cap-location">
    <vt:lpwstr>margin</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toc-title">
    <vt:lpwstr>Contents</vt:lpwstr>
  </property>
</Properties>
</file>