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2.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14</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 (2023).</w:t>
      </w:r>
      <w:r>
        <w:t xml:space="preserve"> </w:t>
      </w:r>
      <w:r>
        <w:rPr>
          <w:iCs/>
          <w:i/>
        </w:rPr>
        <w:t xml:space="preserve">Through the Looking Glass: I. Why Cross-Fertilize?</w:t>
      </w:r>
      <w:r>
        <w:t xml:space="preserve"> </w:t>
      </w:r>
      <w:r>
        <w:t xml:space="preserve">IU Libraries Publishing.</w:t>
      </w:r>
      <w:r>
        <w:t xml:space="preserve"> </w:t>
      </w:r>
      <w:hyperlink r:id="rId26">
        <w:r>
          <w:rPr>
            <w:rStyle w:val="Hyperlink"/>
          </w:rPr>
          <w:t xml:space="preserve">https://doi.org/10.5967/GBD3-KA07</w:t>
        </w:r>
      </w:hyperlink>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Picture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he Cost of Males" id="36" name="Picture"/>
                  <a:graphic>
                    <a:graphicData uri="http://schemas.openxmlformats.org/drawingml/2006/picture">
                      <pic:pic>
                        <pic:nvPicPr>
                          <pic:cNvPr descr="images/fig1-1.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2.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6"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tbl>
      <w:tblPr>
        <w:tblStyle w:val="Table"/>
        <w:tblW w:type="pct" w:w="5000"/>
        <w:tblLook w:firstRow="0" w:lastRow="0" w:firstColumn="0" w:lastColumn="0" w:noHBand="0" w:noVBand="0" w:val="0000"/>
        <w:jc w:val="start"/>
      </w:tblPr>
      <w:tblGrid>
        <w:gridCol w:w="7920"/>
      </w:tblGrid>
      <w:tr>
        <w:tc>
          <w:tcPr/>
          <w:bookmarkStart w:id="55" w:name="fig-1.3"/>
          <w:p>
            <w:pPr>
              <w:jc w:val="center"/>
            </w:pPr>
            <w:r>
              <w:drawing>
                <wp:inline>
                  <wp:extent cx="7429500" cy="3312682"/>
                  <wp:effectExtent b="0" l="0" r="0" t="0"/>
                  <wp:docPr descr="" title="" id="53" name="Picture"/>
                  <a:graphic>
                    <a:graphicData uri="http://schemas.openxmlformats.org/drawingml/2006/picture">
                      <pic:pic>
                        <pic:nvPicPr>
                          <pic:cNvPr descr="images/fig1-3.jpg" id="54" name="Picture"/>
                          <pic:cNvPicPr>
                            <a:picLocks noChangeArrowheads="1" noChangeAspect="1"/>
                          </pic:cNvPicPr>
                        </pic:nvPicPr>
                        <pic:blipFill>
                          <a:blip r:embed="rId52"/>
                          <a:stretch>
                            <a:fillRect/>
                          </a:stretch>
                        </pic:blipFill>
                        <pic:spPr bwMode="auto">
                          <a:xfrm>
                            <a:off x="0" y="0"/>
                            <a:ext cx="7429500" cy="33126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5"/>
        </w:tc>
      </w:tr>
    </w:tbl>
    <w:bookmarkEnd w:id="56"/>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4</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0" w:name="sec-chap6"/>
    <w:p>
      <w:pPr>
        <w:pStyle w:val="Heading1"/>
      </w:pPr>
      <w:r>
        <w:t xml:space="preserve">4.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69" w:name="the-problem-1"/>
    <w:p>
      <w:pPr>
        <w:pStyle w:val="Heading2"/>
      </w:pPr>
      <w:r>
        <w:t xml:space="preserve">4.1 The Problem</w:t>
      </w:r>
    </w:p>
    <w:bookmarkEnd w:id="169"/>
    <w:bookmarkEnd w:id="170"/>
    <w:bookmarkStart w:id="278" w:name="references"/>
    <w:p>
      <w:pPr>
        <w:pStyle w:val="Heading1"/>
      </w:pPr>
      <w:r>
        <w:t xml:space="preserve">References</w:t>
      </w:r>
    </w:p>
    <w:bookmarkStart w:id="277" w:name="refs"/>
    <w:bookmarkStart w:id="17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71"/>
    <w:bookmarkStart w:id="17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72"/>
    <w:bookmarkStart w:id="17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73"/>
    <w:bookmarkStart w:id="174" w:name="ref-bayley2010a"/>
    <w:p>
      <w:pPr>
        <w:pStyle w:val="Bibliography"/>
      </w:pPr>
      <w:r>
        <w:t xml:space="preserve">Bayley, M. (2010). Algebra in wonderland.</w:t>
      </w:r>
      <w:r>
        <w:t xml:space="preserve"> </w:t>
      </w:r>
      <w:r>
        <w:rPr>
          <w:iCs/>
          <w:i/>
        </w:rPr>
        <w:t xml:space="preserve">New York Times</w:t>
      </w:r>
      <w:r>
        <w:t xml:space="preserve">.</w:t>
      </w:r>
    </w:p>
    <w:bookmarkEnd w:id="174"/>
    <w:bookmarkStart w:id="17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75"/>
    <w:bookmarkStart w:id="177" w:name="ref-bell2006a"/>
    <w:p>
      <w:pPr>
        <w:pStyle w:val="Bibliography"/>
      </w:pPr>
      <w:r>
        <w:t xml:space="preserve">Bell, T., Freckleton, R.P. &amp; Lewis, O.T. (2006).</w:t>
      </w:r>
      <w:r>
        <w:t xml:space="preserve"> </w:t>
      </w:r>
      <w:hyperlink r:id="rId17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77"/>
    <w:bookmarkStart w:id="178"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78"/>
    <w:bookmarkStart w:id="179"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79"/>
    <w:bookmarkStart w:id="180"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80"/>
    <w:bookmarkStart w:id="181"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81"/>
    <w:bookmarkStart w:id="182"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82"/>
    <w:bookmarkStart w:id="184" w:name="ref-dagg2016a"/>
    <w:p>
      <w:pPr>
        <w:pStyle w:val="Bibliography"/>
      </w:pPr>
      <w:r>
        <w:t xml:space="preserve">Dagg, J. (2016).</w:t>
      </w:r>
      <w:r>
        <w:t xml:space="preserve"> </w:t>
      </w:r>
      <w:hyperlink r:id="rId183">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84"/>
    <w:bookmarkStart w:id="186" w:name="ref-darwin1862a"/>
    <w:p>
      <w:pPr>
        <w:pStyle w:val="Bibliography"/>
      </w:pPr>
      <w:r>
        <w:t xml:space="preserve">Darwin, C. (1862).</w:t>
      </w:r>
      <w:r>
        <w:t xml:space="preserve"> </w:t>
      </w:r>
      <w:hyperlink r:id="rId185">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86"/>
    <w:bookmarkStart w:id="187"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187"/>
    <w:bookmarkStart w:id="189" w:name="ref-darwin1860a"/>
    <w:p>
      <w:pPr>
        <w:pStyle w:val="Bibliography"/>
      </w:pPr>
      <w:r>
        <w:t xml:space="preserve">Darwin, C. (n.d.).</w:t>
      </w:r>
      <w:r>
        <w:t xml:space="preserve"> </w:t>
      </w:r>
      <w:hyperlink r:id="rId188">
        <w:r>
          <w:rPr>
            <w:rStyle w:val="Hyperlink"/>
          </w:rPr>
          <w:t xml:space="preserve">Letter no. 2869</w:t>
        </w:r>
      </w:hyperlink>
      <w:r>
        <w:t xml:space="preserve">. Darwin Correspondence Project.</w:t>
      </w:r>
    </w:p>
    <w:bookmarkEnd w:id="189"/>
    <w:bookmarkStart w:id="190"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190"/>
    <w:bookmarkStart w:id="191"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191"/>
    <w:bookmarkStart w:id="192"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192"/>
    <w:bookmarkStart w:id="193"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193"/>
    <w:bookmarkStart w:id="194"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194"/>
    <w:bookmarkStart w:id="195"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195"/>
    <w:bookmarkStart w:id="196"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196"/>
    <w:bookmarkStart w:id="197" w:name="ref-gould1991a"/>
    <w:p>
      <w:pPr>
        <w:pStyle w:val="Bibliography"/>
      </w:pPr>
      <w:r>
        <w:t xml:space="preserve">Gould, S.J. (1991). The smoking gun of eugenics.</w:t>
      </w:r>
      <w:r>
        <w:t xml:space="preserve"> </w:t>
      </w:r>
      <w:r>
        <w:rPr>
          <w:iCs/>
          <w:i/>
        </w:rPr>
        <w:t xml:space="preserve">Natural History</w:t>
      </w:r>
      <w:r>
        <w:t xml:space="preserve">, 100, 8–17.</w:t>
      </w:r>
    </w:p>
    <w:bookmarkEnd w:id="197"/>
    <w:bookmarkStart w:id="198"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198"/>
    <w:bookmarkStart w:id="199"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199"/>
    <w:bookmarkStart w:id="200"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00"/>
    <w:bookmarkStart w:id="201"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01"/>
    <w:bookmarkStart w:id="203" w:name="ref-kelley1993a"/>
    <w:p>
      <w:pPr>
        <w:pStyle w:val="Bibliography"/>
      </w:pPr>
      <w:r>
        <w:t xml:space="preserve">Kelley, S.E. (1993).</w:t>
      </w:r>
      <w:r>
        <w:t xml:space="preserve"> </w:t>
      </w:r>
      <w:hyperlink r:id="rId202">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03"/>
    <w:bookmarkStart w:id="205" w:name="ref-kelley1994a"/>
    <w:p>
      <w:pPr>
        <w:pStyle w:val="Bibliography"/>
      </w:pPr>
      <w:r>
        <w:t xml:space="preserve">Kelley, S.E. (1994).</w:t>
      </w:r>
      <w:r>
        <w:t xml:space="preserve"> </w:t>
      </w:r>
      <w:hyperlink r:id="rId204">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05"/>
    <w:bookmarkStart w:id="206"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06"/>
    <w:bookmarkStart w:id="207"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07"/>
    <w:bookmarkStart w:id="208"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08"/>
    <w:bookmarkStart w:id="209"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09"/>
    <w:bookmarkStart w:id="210"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10"/>
    <w:bookmarkStart w:id="211"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11"/>
    <w:bookmarkStart w:id="212"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12"/>
    <w:bookmarkStart w:id="213"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13"/>
    <w:bookmarkStart w:id="215" w:name="ref-levri2000a"/>
    <w:p>
      <w:pPr>
        <w:pStyle w:val="Bibliography"/>
      </w:pPr>
      <w:r>
        <w:t xml:space="preserve">Levri, E.P. &amp; Fisher, L.M. (2000).</w:t>
      </w:r>
      <w:r>
        <w:t xml:space="preserve"> </w:t>
      </w:r>
      <w:hyperlink r:id="rId214">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15"/>
    <w:bookmarkStart w:id="216"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16"/>
    <w:bookmarkStart w:id="218" w:name="ref-lewontin1971a"/>
    <w:p>
      <w:pPr>
        <w:pStyle w:val="Bibliography"/>
      </w:pPr>
      <w:r>
        <w:t xml:space="preserve">Lewontin, R.C. (1971).</w:t>
      </w:r>
      <w:r>
        <w:t xml:space="preserve"> </w:t>
      </w:r>
      <w:hyperlink r:id="rId217">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18"/>
    <w:bookmarkStart w:id="219"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19"/>
    <w:bookmarkStart w:id="220"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20"/>
    <w:bookmarkStart w:id="222" w:name="ref-lively1986c"/>
    <w:p>
      <w:pPr>
        <w:pStyle w:val="Bibliography"/>
      </w:pPr>
      <w:r>
        <w:t xml:space="preserve">Lively, C.M. (1986c).</w:t>
      </w:r>
      <w:r>
        <w:t xml:space="preserve"> </w:t>
      </w:r>
      <w:hyperlink r:id="rId221">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22"/>
    <w:bookmarkStart w:id="223"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23"/>
    <w:bookmarkStart w:id="224"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24"/>
    <w:bookmarkStart w:id="225" w:name="ref-lively1996a"/>
    <w:p>
      <w:pPr>
        <w:pStyle w:val="Bibliography"/>
      </w:pPr>
      <w:r>
        <w:t xml:space="preserve">Lively, C.M. (1996). Host-parasite coevolution and sex.</w:t>
      </w:r>
      <w:r>
        <w:t xml:space="preserve"> </w:t>
      </w:r>
      <w:r>
        <w:rPr>
          <w:iCs/>
          <w:i/>
        </w:rPr>
        <w:t xml:space="preserve">Bioscience</w:t>
      </w:r>
      <w:r>
        <w:t xml:space="preserve">, 46, 107–109.</w:t>
      </w:r>
    </w:p>
    <w:bookmarkEnd w:id="225"/>
    <w:bookmarkStart w:id="226" w:name="ref-lively1999b"/>
    <w:p>
      <w:pPr>
        <w:pStyle w:val="Bibliography"/>
      </w:pPr>
      <w:r>
        <w:t xml:space="preserve">Lively, C.M. (1999).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26"/>
    <w:bookmarkStart w:id="227"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27"/>
    <w:bookmarkStart w:id="228" w:name="ref-lively2006a"/>
    <w:p>
      <w:pPr>
        <w:pStyle w:val="Bibliography"/>
      </w:pPr>
      <w:r>
        <w:t xml:space="preserve">Lively, C.M. (2006). The ecology of virulence.</w:t>
      </w:r>
      <w:r>
        <w:t xml:space="preserve"> </w:t>
      </w:r>
      <w:r>
        <w:rPr>
          <w:iCs/>
          <w:i/>
        </w:rPr>
        <w:t xml:space="preserve">Ecology Letters</w:t>
      </w:r>
      <w:r>
        <w:t xml:space="preserve">, 9, 1089–1095.</w:t>
      </w:r>
    </w:p>
    <w:bookmarkEnd w:id="228"/>
    <w:bookmarkStart w:id="229"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29"/>
    <w:bookmarkStart w:id="230"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30"/>
    <w:bookmarkStart w:id="232" w:name="ref-lively1994b"/>
    <w:p>
      <w:pPr>
        <w:pStyle w:val="Bibliography"/>
      </w:pPr>
      <w:r>
        <w:t xml:space="preserve">Lively, C.M. &amp; Johnson, S.G. (1994).</w:t>
      </w:r>
      <w:r>
        <w:t xml:space="preserve"> </w:t>
      </w:r>
      <w:hyperlink r:id="rId231">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32"/>
    <w:bookmarkStart w:id="234" w:name="ref-lively1995a"/>
    <w:p>
      <w:pPr>
        <w:pStyle w:val="Bibliography"/>
      </w:pPr>
      <w:r>
        <w:t xml:space="preserve">Lively, C.M., Johnson, S.G., Delph, L.F. &amp; Clay, K. (1995).</w:t>
      </w:r>
      <w:r>
        <w:t xml:space="preserve"> </w:t>
      </w:r>
      <w:hyperlink r:id="rId233">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34"/>
    <w:bookmarkStart w:id="235"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35"/>
    <w:bookmarkStart w:id="236"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36"/>
    <w:bookmarkStart w:id="238" w:name="ref-lively2021a"/>
    <w:p>
      <w:pPr>
        <w:pStyle w:val="Bibliography"/>
      </w:pPr>
      <w:r>
        <w:t xml:space="preserve">Lively, C.M., Xu, J. &amp; Ben-Ami, F. (2021).</w:t>
      </w:r>
      <w:r>
        <w:t xml:space="preserve"> </w:t>
      </w:r>
      <w:hyperlink r:id="rId237">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38"/>
    <w:bookmarkStart w:id="239"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39"/>
    <w:bookmarkStart w:id="240"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40"/>
    <w:bookmarkStart w:id="241"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41"/>
    <w:bookmarkStart w:id="243" w:name="ref-may1983a"/>
    <w:p>
      <w:pPr>
        <w:pStyle w:val="Bibliography"/>
      </w:pPr>
      <w:r>
        <w:t xml:space="preserve">May, R.M. &amp; Anderson, R.M. (1983).</w:t>
      </w:r>
      <w:r>
        <w:t xml:space="preserve"> </w:t>
      </w:r>
      <w:hyperlink r:id="rId242">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43"/>
    <w:bookmarkStart w:id="244"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44"/>
    <w:bookmarkStart w:id="245"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45"/>
    <w:bookmarkStart w:id="246" w:name="ref-maynard1978a"/>
    <w:p>
      <w:pPr>
        <w:pStyle w:val="Bibliography"/>
      </w:pPr>
      <w:r>
        <w:t xml:space="preserve">Maynard Smith, J. (1978).</w:t>
      </w:r>
      <w:r>
        <w:t xml:space="preserve"> </w:t>
      </w:r>
      <w:r>
        <w:rPr>
          <w:iCs/>
          <w:i/>
        </w:rPr>
        <w:t xml:space="preserve">The evolution of sex</w:t>
      </w:r>
      <w:r>
        <w:t xml:space="preserve">. Cambridge University Press.</w:t>
      </w:r>
    </w:p>
    <w:bookmarkEnd w:id="246"/>
    <w:bookmarkStart w:id="248" w:name="ref-maynard1980a"/>
    <w:p>
      <w:pPr>
        <w:pStyle w:val="Bibliography"/>
      </w:pPr>
      <w:r>
        <w:t xml:space="preserve">Maynard Smith, J. &amp; Hoekstra, R. (1980).</w:t>
      </w:r>
      <w:r>
        <w:t xml:space="preserve"> </w:t>
      </w:r>
      <w:hyperlink r:id="rId247">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48"/>
    <w:bookmarkStart w:id="249"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49"/>
    <w:bookmarkStart w:id="250"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50"/>
    <w:bookmarkStart w:id="251"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51"/>
    <w:bookmarkStart w:id="252"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52"/>
    <w:bookmarkStart w:id="253"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53"/>
    <w:bookmarkStart w:id="254"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54"/>
    <w:bookmarkStart w:id="256" w:name="ref-phillips1990a"/>
    <w:p>
      <w:pPr>
        <w:pStyle w:val="Bibliography"/>
      </w:pPr>
      <w:r>
        <w:t xml:space="preserve">Phillips, N.R. &amp; Lambert, D.M. (1990).</w:t>
      </w:r>
      <w:r>
        <w:t xml:space="preserve"> </w:t>
      </w:r>
      <w:hyperlink r:id="rId255">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56"/>
    <w:bookmarkStart w:id="257" w:name="ref-platt1964a"/>
    <w:p>
      <w:pPr>
        <w:pStyle w:val="Bibliography"/>
      </w:pPr>
      <w:r>
        <w:t xml:space="preserve">Platt, J.R. (1964). Strong inference.</w:t>
      </w:r>
      <w:r>
        <w:t xml:space="preserve"> </w:t>
      </w:r>
      <w:r>
        <w:rPr>
          <w:iCs/>
          <w:i/>
        </w:rPr>
        <w:t xml:space="preserve">Science</w:t>
      </w:r>
      <w:r>
        <w:t xml:space="preserve">, 146, 347–353.</w:t>
      </w:r>
    </w:p>
    <w:bookmarkEnd w:id="257"/>
    <w:bookmarkStart w:id="258"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58"/>
    <w:bookmarkStart w:id="259"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59"/>
    <w:bookmarkStart w:id="260"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60"/>
    <w:bookmarkStart w:id="261"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61"/>
    <w:bookmarkStart w:id="262"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62"/>
    <w:bookmarkStart w:id="263"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63"/>
    <w:bookmarkStart w:id="264"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64"/>
    <w:bookmarkStart w:id="265"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65"/>
    <w:bookmarkStart w:id="266"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66"/>
    <w:bookmarkStart w:id="267" w:name="ref-valen1973a"/>
    <w:p>
      <w:pPr>
        <w:pStyle w:val="Bibliography"/>
      </w:pPr>
      <w:r>
        <w:t xml:space="preserve">Valen, L. van. (1973). A new evolutionary law.</w:t>
      </w:r>
      <w:r>
        <w:t xml:space="preserve"> </w:t>
      </w:r>
      <w:r>
        <w:rPr>
          <w:iCs/>
          <w:i/>
        </w:rPr>
        <w:t xml:space="preserve">Evolutionary Theory</w:t>
      </w:r>
      <w:r>
        <w:t xml:space="preserve">, 1, 1–30.</w:t>
      </w:r>
    </w:p>
    <w:bookmarkEnd w:id="267"/>
    <w:bookmarkStart w:id="268"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68"/>
    <w:bookmarkStart w:id="269"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69"/>
    <w:bookmarkStart w:id="270"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70"/>
    <w:bookmarkStart w:id="271" w:name="ref-wallace1975a"/>
    <w:p>
      <w:pPr>
        <w:pStyle w:val="Bibliography"/>
      </w:pPr>
      <w:r>
        <w:t xml:space="preserve">Wallace, B. (1975). Hard and soft selection revisited.</w:t>
      </w:r>
      <w:r>
        <w:t xml:space="preserve"> </w:t>
      </w:r>
      <w:r>
        <w:rPr>
          <w:iCs/>
          <w:i/>
        </w:rPr>
        <w:t xml:space="preserve">Evolution</w:t>
      </w:r>
      <w:r>
        <w:t xml:space="preserve">, 29, 465–473.</w:t>
      </w:r>
    </w:p>
    <w:bookmarkEnd w:id="271"/>
    <w:bookmarkStart w:id="272"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72"/>
    <w:bookmarkStart w:id="273" w:name="ref-williams1975a"/>
    <w:p>
      <w:pPr>
        <w:pStyle w:val="Bibliography"/>
      </w:pPr>
      <w:r>
        <w:t xml:space="preserve">Williams, G.C. (1975).</w:t>
      </w:r>
      <w:r>
        <w:t xml:space="preserve"> </w:t>
      </w:r>
      <w:r>
        <w:rPr>
          <w:iCs/>
          <w:i/>
        </w:rPr>
        <w:t xml:space="preserve">Sex and evolution</w:t>
      </w:r>
      <w:r>
        <w:t xml:space="preserve">. Princeton University Press.</w:t>
      </w:r>
    </w:p>
    <w:bookmarkEnd w:id="273"/>
    <w:bookmarkStart w:id="274"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74"/>
    <w:bookmarkStart w:id="275"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75"/>
    <w:bookmarkStart w:id="276"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76"/>
    <w:bookmarkEnd w:id="277"/>
    <w:bookmarkEnd w:id="278"/>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I ran two years of field experiments designed to test for random settlement by genetically determined morphs. I also ran experiments designed to test for habitat selection by genetically determined morphs. The results were always negative. I finally tested for predator-induced development of the bent morph by placing</w:t>
      </w:r>
      <w:r>
        <w:t xml:space="preserve"> </w:t>
      </w:r>
      <w:r>
        <w:rPr>
          <w:iCs/>
          <w:i/>
        </w:rPr>
        <w:t xml:space="preserve">Acanthina</w:t>
      </w:r>
      <w:r>
        <w:t xml:space="preserve"> </w:t>
      </w:r>
      <w:r>
        <w:t xml:space="preserve">snails in quadrats where juvenile barnacles had recently settled. I used herbivorous snails as a control. The results showed that the presence of</w:t>
      </w:r>
      <w:r>
        <w:t xml:space="preserve"> </w:t>
      </w:r>
      <w:r>
        <w:rPr>
          <w:iCs/>
          <w:i/>
        </w:rPr>
        <w:t xml:space="preserve">Acanthina</w:t>
      </w:r>
      <w:r>
        <w:t xml:space="preserve"> </w:t>
      </w:r>
      <w:r>
        <w:t xml:space="preserve">induced development of the bent form, but the herbivorous snails did not. It was a thrilling discovery.</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4</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2" Target="media/rId52.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47" Target="https://doi.org/10.1017/S0016672300013926" TargetMode="External" /><Relationship Type="http://schemas.openxmlformats.org/officeDocument/2006/relationships/hyperlink" Id="rId217" Target="https://doi.org/10.1073/pnas.68.5.984" TargetMode="External" /><Relationship Type="http://schemas.openxmlformats.org/officeDocument/2006/relationships/hyperlink" Id="rId255" Target="https://doi.org/10.1080/03014223.1990.10422600" TargetMode="External" /><Relationship Type="http://schemas.openxmlformats.org/officeDocument/2006/relationships/hyperlink" Id="rId237" Target="https://doi.org/10.1098/rsbl.2021.0321" TargetMode="External" /><Relationship Type="http://schemas.openxmlformats.org/officeDocument/2006/relationships/hyperlink" Id="rId242" Target="https://doi.org/10.1098/rspb.1983.0075" TargetMode="External" /><Relationship Type="http://schemas.openxmlformats.org/officeDocument/2006/relationships/hyperlink" Id="rId231" Target="https://doi.org/10.1098/rspb.1994.0054" TargetMode="External" /><Relationship Type="http://schemas.openxmlformats.org/officeDocument/2006/relationships/hyperlink" Id="rId204" Target="https://doi.org/10.1098/rstb.1994.0146" TargetMode="External" /><Relationship Type="http://schemas.openxmlformats.org/officeDocument/2006/relationships/hyperlink" Id="rId185" Target="https://doi.org/10.1111/j.1095-8312.1862.tb01218.x" TargetMode="External" /><Relationship Type="http://schemas.openxmlformats.org/officeDocument/2006/relationships/hyperlink" Id="rId202" Target="https://doi.org/10.1111/j.1442-1984.1993.tb00072.x" TargetMode="External" /><Relationship Type="http://schemas.openxmlformats.org/officeDocument/2006/relationships/hyperlink" Id="rId176" Target="https://doi.org/10.1111/j.1461-0248.2006.00905.x" TargetMode="External" /><Relationship Type="http://schemas.openxmlformats.org/officeDocument/2006/relationships/hyperlink" Id="rId221" Target="https://doi.org/10.1111/j.1558-5646.1986.tb00466.x" TargetMode="External" /><Relationship Type="http://schemas.openxmlformats.org/officeDocument/2006/relationships/hyperlink" Id="rId214" Target="https://doi.org/10.1163/156853900502565" TargetMode="External" /><Relationship Type="http://schemas.openxmlformats.org/officeDocument/2006/relationships/hyperlink" Id="rId233" Target="https://doi.org/10.2307/1940718" TargetMode="External" /><Relationship Type="http://schemas.openxmlformats.org/officeDocument/2006/relationships/hyperlink" Id="rId183"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188"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2023-11-14T18:46:46Z</dcterms:created>
  <dcterms:modified xsi:type="dcterms:W3CDTF">2023-11-14T18:46:46Z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14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