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3.jpg" ContentType="image/jpeg"/>
  <Override PartName="/word/media/rId69.jpg" ContentType="image/jpeg"/>
  <Override PartName="/word/media/rId80.jpg" ContentType="image/jpeg"/>
  <Override PartName="/word/media/rId88.jpg" ContentType="image/jpeg"/>
  <Override PartName="/word/media/rId92.jpg" ContentType="image/jpeg"/>
  <Override PartName="/word/media/rId112.jpg" ContentType="image/jpeg"/>
  <Override PartName="/word/media/rId117.jpg" ContentType="image/jpeg"/>
  <Override PartName="/word/media/rId122.jpg" ContentType="image/jpeg"/>
  <Override PartName="/word/media/rId126.jpg" ContentType="image/jpeg"/>
  <Override PartName="/word/media/rId134.jpg" ContentType="image/jpeg"/>
  <Override PartName="/word/media/rId148.jpg" ContentType="image/jpeg"/>
  <Override PartName="/word/media/rId157.jpg" ContentType="image/jpeg"/>
  <Override PartName="/word/media/rId16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r>
        <w:t xml:space="preserve"> </w:t>
      </w: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14</w:t>
      </w:r>
      <w:r>
        <w:t xml:space="preserve"> </w:t>
      </w:r>
      <w:r>
        <w:t xml:space="preserve">November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w:t>
      </w:r>
      <w:r>
        <w:t xml:space="preserve"> </w:t>
      </w:r>
      <w:hyperlink r:id="rId26">
        <w:r>
          <w:rPr>
            <w:rStyle w:val="Hyperlink"/>
          </w:rPr>
          <w:t xml:space="preserve">https://doi.org/10.5967/GBD3-KA07</w:t>
        </w:r>
      </w:hyperlink>
    </w:p>
    <w:bookmarkEnd w:id="27"/>
    <w:bookmarkEnd w:id="28"/>
    <w:bookmarkStart w:id="68"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Picture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w:t>
      </w:r>
      <w:r>
        <w:t xml:space="preserve"> </w:t>
      </w:r>
      <w:r>
        <w:rPr>
          <w:iCs/>
          <w:i/>
        </w:rPr>
        <w:t xml:space="preserve">et al.</w:t>
      </w:r>
      <w:r>
        <w:t xml:space="preserve"> </w:t>
      </w:r>
      <w:r>
        <w:t xml:space="preserve">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Title: The Cost of Males" id="36" name="Picture"/>
                  <a:graphic>
                    <a:graphicData uri="http://schemas.openxmlformats.org/drawingml/2006/picture">
                      <pic:pic>
                        <pic:nvPicPr>
                          <pic:cNvPr descr="images/fig1-1.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w:t>
            </w:r>
            <w:r>
              <w:t xml:space="preserve"> </w:t>
            </w:r>
            <w:r>
              <w:rPr>
                <w:iCs/>
                <w:i/>
              </w:rPr>
              <w:t xml:space="preserve">et al.</w:t>
            </w:r>
            <w:r>
              <w:t xml:space="preserve"> </w:t>
            </w:r>
            <w:r>
              <w:t xml:space="preserve">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(Lively &amp;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2.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2"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bookmarkEnd w:id="52"/>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(Dagg 2016; reviews in Meirmans 2009)</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tbl>
      <w:tblPr>
        <w:tblStyle w:val="Table"/>
        <w:tblW w:type="pct" w:w="5000"/>
        <w:tblLook w:firstRow="0" w:lastRow="0" w:firstColumn="0" w:lastColumn="0" w:noHBand="0" w:noVBand="0" w:val="0000"/>
        <w:jc w:val="start"/>
      </w:tblPr>
      <w:tblGrid>
        <w:gridCol w:w="7920"/>
      </w:tblGrid>
      <w:tr>
        <w:tc>
          <w:tcPr/>
          <w:bookmarkStart w:id="56" w:name="fig-1.3"/>
          <w:p>
            <w:pPr>
              <w:jc w:val="center"/>
            </w:pPr>
            <w:r>
              <w:drawing>
                <wp:inline>
                  <wp:extent cx="5943600" cy="2650146"/>
                  <wp:effectExtent b="0" l="0" r="0" t="0"/>
                  <wp:docPr descr="" title="" id="54" name="Picture"/>
                  <a:graphic>
                    <a:graphicData uri="http://schemas.openxmlformats.org/drawingml/2006/picture">
                      <pic:pic>
                        <pic:nvPicPr>
                          <pic:cNvPr descr="images/fig1-3.jpg" id="55" name="Picture"/>
                          <pic:cNvPicPr>
                            <a:picLocks noChangeArrowheads="1" noChangeAspect="1"/>
                          </pic:cNvPicPr>
                        </pic:nvPicPr>
                        <pic:blipFill>
                          <a:blip r:embed="rId53"/>
                          <a:stretch>
                            <a:fillRect/>
                          </a:stretch>
                        </pic:blipFill>
                        <pic:spPr bwMode="auto">
                          <a:xfrm>
                            <a:off x="0" y="0"/>
                            <a:ext cx="5943600" cy="26501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6"/>
        </w:tc>
      </w:tr>
    </w:tbl>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 n.d.)</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7"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one,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bookmarkStart w:id="66" w:name="tbl-t1t2"/>
          <w:p>
            <w:pPr>
              <w:pStyle w:val="TableCaption"/>
            </w:pPr>
            <w:r>
              <w:t xml:space="preserve">Table 1.1: Maynard Smith’s Model</w:t>
            </w:r>
          </w:p>
          <w:tbl>
            <w:tblPr>
              <w:tblStyle w:val="Table"/>
              <w:tblW w:type="pct" w:w="5000"/>
              <w:tblLook w:firstRow="1" w:lastRow="0" w:firstColumn="0" w:lastColumn="0" w:noHBand="0" w:noVBand="0" w:val="0020"/>
              <w:jc w:val="start"/>
              <w:tblCaption w:val="Table 1.1: Maynard Smith’s Model"/>
            </w:tblPr>
            <w:tblGrid>
              <w:gridCol w:w="1160"/>
              <w:gridCol w:w="2068"/>
              <w:gridCol w:w="4691"/>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bookmarkEnd w:id="66"/>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7"/>
    <w:bookmarkEnd w:id="68"/>
    <w:bookmarkStart w:id="116"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70" name="Picture"/>
                  <a:graphic>
                    <a:graphicData uri="http://schemas.openxmlformats.org/drawingml/2006/picture">
                      <pic:pic>
                        <pic:nvPicPr>
                          <pic:cNvPr descr="images/fig2-1.jpeg" id="71" name="Picture"/>
                          <pic:cNvPicPr>
                            <a:picLocks noChangeArrowheads="1" noChangeAspect="1"/>
                          </pic:cNvPicPr>
                        </pic:nvPicPr>
                        <pic:blipFill>
                          <a:blip r:embed="rId69"/>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w:t>
      </w:r>
      <w:r>
        <w:t xml:space="preserve"> </w:t>
      </w:r>
      <w:r>
        <w:t xml:space="preserve">(Kondrashov 1993)</w:t>
      </w:r>
      <w:r>
        <w:t xml:space="preserve">. In what follows, I first focus on the ecological hypotheses. The ideas underlying these hypotheses provide a handle for understanding some of the foundational concepts in evolutionary ecology.</w:t>
      </w:r>
    </w:p>
    <w:bookmarkStart w:id="77" w:name="the-lottery-model"/>
    <w:p>
      <w:pPr>
        <w:pStyle w:val="Heading2"/>
      </w:pPr>
      <w:r>
        <w:t xml:space="preserve">2.1 The Lottery Model</w:t>
      </w:r>
    </w:p>
    <w:p>
      <w:pPr>
        <w:pStyle w:val="FirstParagraph"/>
      </w:pPr>
      <w:r>
        <w:t xml:space="preserve">As part of his book on the evolution of sex, Williams</w:t>
      </w:r>
      <w:r>
        <w:t xml:space="preserve"> </w:t>
      </w:r>
      <w:r>
        <w:t xml:space="preserve">(1975)</w:t>
      </w:r>
      <w:r>
        <w:t xml:space="preserve"> </w:t>
      </w:r>
      <w:r>
        <w:t xml:space="preserve">suggests that sex could be favored in fluctuating abiotic environments. The idea is intuitive: cross-fertilization generates variation among offspring. Hence, in fluctuating environments, sex could increase the probability that some offspring might survive. Williams likens the idea to a unique kind of lottery. For example, he writes,</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refers to the idea as the aphid-rotifer model, but the idea has since come to be known as the Lottery Model</w:t>
      </w:r>
      <w:r>
        <w:t xml:space="preserve"> </w:t>
      </w:r>
      <w:r>
        <w:t xml:space="preserve">(following Bell 1982)</w:t>
      </w:r>
      <w:r>
        <w:t xml:space="preserve">, which is a more descriptive phrase.</w:t>
      </w:r>
      <w:r>
        <w:rPr>
          <w:rStyle w:val="FootnoteReference"/>
        </w:rPr>
        <w:footnoteReference w:id="72"/>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 hedging in evolutionary theory is that selection can act to reduce the variance in reproductive success over time, even if it also reduces the arithmetic mean across years</w:t>
      </w:r>
      <w:r>
        <w:t xml:space="preserve"> </w:t>
      </w:r>
      <w:r>
        <w:t xml:space="preserve">(review in Philippi &amp; Seger 1989)</w:t>
      </w:r>
      <w:r>
        <w:t xml:space="preserve">.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bookmarkStart w:id="75" w:name="tbl-bh"/>
    <w:p>
      <w:pPr>
        <w:pStyle w:val="TableCaption"/>
      </w:pPr>
      <w:r>
        <w:t xml:space="preserve">Table 2.1: Bet Hedging</w:t>
      </w:r>
    </w:p>
    <w:tbl>
      <w:tblPr>
        <w:tblStyle w:val="Table"/>
        <w:tblW w:type="auto" w:w="0"/>
        <w:tblLook w:firstRow="1" w:lastRow="0" w:firstColumn="0" w:lastColumn="0" w:noHBand="0" w:noVBand="0" w:val="0020"/>
        <w:jc w:val="start"/>
        <w:tblCaption w:val="Table 2.1: Bet Hedging"/>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3"/>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4"/>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bookmarkEnd w:id="75"/>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w:t>
      </w:r>
      <w:r>
        <w:t xml:space="preserve"> </w:t>
      </w:r>
      <w:r>
        <w:t xml:space="preserve">(Stearns 2000)</w:t>
      </w:r>
      <w:r>
        <w:t xml:space="preserve">:</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6"/>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under a two-fold cost of sex, asexuals can replace large populations of sexuals in tens of generations (see</w:t>
      </w:r>
      <w:r>
        <w:t xml:space="preserve"> </w:t>
      </w:r>
      <w:hyperlink w:anchor="sec-why-sex">
        <w:r>
          <w:rPr>
            <w:rStyle w:val="Hyperlink"/>
          </w:rPr>
          <w:t xml:space="preserve">Chapter 1</w:t>
        </w:r>
      </w:hyperlink>
      <w:r>
        <w:t xml:space="preserve">). So, if the Lottery Model is correct, significant environmental change must occur very rapidly. The many thousands of years between ice ages, for example, would be too long.</w:t>
      </w:r>
    </w:p>
    <w:bookmarkEnd w:id="77"/>
    <w:bookmarkStart w:id="86"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w:t>
      </w:r>
      <w:r>
        <w:t xml:space="preserve"> </w:t>
      </w:r>
      <w:r>
        <w:t xml:space="preserve">(Vrijenhoek 1979)</w:t>
      </w:r>
      <w:r>
        <w:t xml:space="preserve">. This kind of process could explain those situations in which sexual and asexual females coexist, which was a major advance.</w:t>
      </w:r>
      <w:r>
        <w:rPr>
          <w:rStyle w:val="FootnoteReference"/>
        </w:rPr>
        <w:footnoteReference w:id="78"/>
      </w:r>
    </w:p>
    <w:p>
      <w:pPr>
        <w:pStyle w:val="BodyText"/>
      </w:pPr>
      <w:r>
        <w:t xml:space="preserve">A conceptually similar model was independently developed by Graham Bell: the Tangled Bank Hypothesis</w:t>
      </w:r>
      <w:r>
        <w:t xml:space="preserve"> </w:t>
      </w:r>
      <w:r>
        <w:t xml:space="preserve">(1982)</w:t>
      </w:r>
      <w:r>
        <w:t xml:space="preserve">.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pioneering model, which showed that polymorphism could be maintained in a spatially heterogeneous environment provided that different genotypes specialize on different resources</w:t>
      </w:r>
      <w:r>
        <w:t xml:space="preserve"> </w:t>
      </w:r>
      <w:r>
        <w:t xml:space="preserve">(1953)</w:t>
      </w:r>
      <w:r>
        <w:t xml:space="preserve">.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t xml:space="preserve">“</w:t>
      </w:r>
      <w:r>
        <w:t xml:space="preserve">frequency-dependent selection</w:t>
      </w:r>
      <w:r>
        <w:t xml:space="preserve">”</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w:t>
      </w:r>
      <w:r>
        <w:t xml:space="preserve"> </w:t>
      </w:r>
      <w:r>
        <w:t xml:space="preserve">(Wallace 1975)</w:t>
      </w:r>
      <w:r>
        <w:t xml:space="preserve">.</w:t>
      </w:r>
      <w:r>
        <w:rPr>
          <w:rStyle w:val="FootnoteReference"/>
        </w:rPr>
        <w:footnoteReference w:id="79"/>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3" w:name="fig-2-2"/>
          <w:p>
            <w:pPr>
              <w:jc w:val="center"/>
            </w:pPr>
            <w:r>
              <w:drawing>
                <wp:inline>
                  <wp:extent cx="3980688" cy="4069079"/>
                  <wp:effectExtent b="0" l="0" r="0" t="0"/>
                  <wp:docPr descr="" title="" id="81" name="Picture"/>
                  <a:graphic>
                    <a:graphicData uri="http://schemas.openxmlformats.org/drawingml/2006/picture">
                      <pic:pic>
                        <pic:nvPicPr>
                          <pic:cNvPr descr="images/fig2-2.jpeg" id="82" name="Picture"/>
                          <pic:cNvPicPr>
                            <a:picLocks noChangeArrowheads="1" noChangeAspect="1"/>
                          </pic:cNvPicPr>
                        </pic:nvPicPr>
                        <pic:blipFill>
                          <a:blip r:embed="rId80"/>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w:t>
            </w:r>
            <w:r>
              <w:t xml:space="preserve"> </w:t>
            </w:r>
            <w:r>
              <w:t xml:space="preserve">(1975)</w:t>
            </w:r>
            <w:r>
              <w:t xml:space="preserve">.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3"/>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4"/>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w:t>
      </w:r>
      <w:r>
        <w:t xml:space="preserve"> </w:t>
      </w:r>
      <w:r>
        <w:t xml:space="preserve">(Lively 1986a; Maynard Smith &amp; Hoekstra 1980)</w:t>
      </w:r>
      <w:r>
        <w:t xml:space="preserve"> </w:t>
      </w:r>
      <w:r>
        <w:t xml:space="preserve">(see also</w:t>
      </w:r>
      <w:r>
        <w:t xml:space="preserve"> </w:t>
      </w:r>
      <w:hyperlink r:id="rId85">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w:t>
      </w:r>
      <w:r>
        <w:t xml:space="preserve"> </w:t>
      </w:r>
      <w:r>
        <w:t xml:space="preserve">(Bell 1982; Vrijenhoek &amp; Parker 2009)</w:t>
      </w:r>
      <w:r>
        <w:t xml:space="preserve">.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w:t>
      </w:r>
      <w:r>
        <w:t xml:space="preserve"> </w:t>
      </w:r>
      <w:r>
        <w:t xml:space="preserve">(Vrijenhoek &amp; Parker 2009)</w:t>
      </w:r>
      <w:r>
        <w:t xml:space="preserve">. Coexistence, however, is also compatible with the Red Queen hypothesis, which we will now consider.</w:t>
      </w:r>
    </w:p>
    <w:bookmarkEnd w:id="86"/>
    <w:bookmarkStart w:id="106"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7"/>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is a single genotype, while the sexual population is composed of multiple recombining genotypes, only one of which is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91" w:name="fig-2-3"/>
          <w:p>
            <w:pPr>
              <w:jc w:val="center"/>
            </w:pPr>
            <w:r>
              <w:drawing>
                <wp:inline>
                  <wp:extent cx="5943600" cy="7768311"/>
                  <wp:effectExtent b="0" l="0" r="0" t="0"/>
                  <wp:docPr descr="" title="" id="89" name="Picture"/>
                  <a:graphic>
                    <a:graphicData uri="http://schemas.openxmlformats.org/drawingml/2006/picture">
                      <pic:pic>
                        <pic:nvPicPr>
                          <pic:cNvPr descr="images/fig2-3.jpg" id="90" name="Picture"/>
                          <pic:cNvPicPr>
                            <a:picLocks noChangeArrowheads="1" noChangeAspect="1"/>
                          </pic:cNvPicPr>
                        </pic:nvPicPr>
                        <pic:blipFill>
                          <a:blip r:embed="rId88"/>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w:t>
            </w:r>
            <w:r>
              <w:t xml:space="preserve"> </w:t>
            </w:r>
            <w:r>
              <w:t xml:space="preserve">(2009)</w:t>
            </w:r>
            <w:r>
              <w:t xml:space="preserve">, which treats parasite virulence as a positive function of host density.</w:t>
            </w:r>
          </w:p>
          <w:bookmarkEnd w:id="91"/>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w:t>
      </w:r>
      <w:r>
        <w:t xml:space="preserve"> </w:t>
      </w:r>
      <w:r>
        <w:t xml:space="preserve">(Peters &amp; Lively 1999, 2007; Salathe</w:t>
      </w:r>
      <w:r>
        <w:t xml:space="preserve"> </w:t>
      </w:r>
      <w:r>
        <w:rPr>
          <w:iCs/>
          <w:i/>
        </w:rPr>
        <w:t xml:space="preserve">et al.</w:t>
      </w:r>
      <w:r>
        <w:t xml:space="preserve"> </w:t>
      </w:r>
      <w:r>
        <w:t xml:space="preserve">2008; Schmid-Hempel &amp; Jokela 2002)</w:t>
      </w:r>
      <w:r>
        <w:t xml:space="preserve">. These related ideas are now called the Red Queen Hypothesis</w:t>
      </w:r>
      <w:r>
        <w:t xml:space="preserve"> </w:t>
      </w:r>
      <w:r>
        <w:t xml:space="preserve">(following Bell 1982)</w:t>
      </w:r>
      <w:r>
        <w:t xml:space="preserve">.</w:t>
      </w:r>
    </w:p>
    <w:tbl>
      <w:tblPr>
        <w:tblStyle w:val="Table"/>
        <w:tblW w:type="pct" w:w="5000"/>
        <w:tblLook w:firstRow="0" w:lastRow="0" w:firstColumn="0" w:lastColumn="0" w:noHBand="0" w:noVBand="0" w:val="0000"/>
        <w:jc w:val="start"/>
      </w:tblPr>
      <w:tblGrid>
        <w:gridCol w:w="7920"/>
      </w:tblGrid>
      <w:tr>
        <w:tc>
          <w:tcPr/>
          <w:bookmarkStart w:id="95" w:name="fig-2-4"/>
          <w:p>
            <w:pPr>
              <w:jc w:val="center"/>
            </w:pPr>
            <w:r>
              <w:drawing>
                <wp:inline>
                  <wp:extent cx="5943600" cy="4065198"/>
                  <wp:effectExtent b="0" l="0" r="0" t="0"/>
                  <wp:docPr descr="" title="" id="93" name="Picture"/>
                  <a:graphic>
                    <a:graphicData uri="http://schemas.openxmlformats.org/drawingml/2006/picture">
                      <pic:pic>
                        <pic:nvPicPr>
                          <pic:cNvPr descr="images/fig2-4.jpeg" id="94" name="Picture"/>
                          <pic:cNvPicPr>
                            <a:picLocks noChangeArrowheads="1" noChangeAspect="1"/>
                          </pic:cNvPicPr>
                        </pic:nvPicPr>
                        <pic:blipFill>
                          <a:blip r:embed="rId92"/>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w:t>
            </w:r>
            <w:r>
              <w:t xml:space="preserve"> </w:t>
            </w:r>
            <w:r>
              <w:t xml:space="preserve">(Lively 2009)</w:t>
            </w:r>
            <w:r>
              <w:t xml:space="preserve">. The dashed line shows the average genotype frequency for hosts and parasites.</w:t>
            </w:r>
          </w:p>
          <w:bookmarkEnd w:id="95"/>
        </w:tc>
      </w:tr>
    </w:tbl>
    <w:bookmarkStart w:id="99"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t xml:space="preserve">“</w:t>
      </w:r>
      <w:r>
        <w:t xml:space="preserve">Are there any more people in the garden besides me?</w:t>
      </w:r>
      <w:r>
        <w:t xml:space="preserve">”</w:t>
      </w:r>
      <w:r>
        <w:t xml:space="preserve"> </w:t>
      </w:r>
      <w:r>
        <w:t xml:space="preserve">The rose answers</w:t>
      </w:r>
      <w:r>
        <w:t xml:space="preserve"> </w:t>
      </w:r>
      <w:r>
        <w:t xml:space="preserve">“</w:t>
      </w:r>
      <w:r>
        <w:t xml:space="preserve">Yes, there is someone like you.</w:t>
      </w:r>
      <w:r>
        <w:t xml:space="preserve">”</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rPr>
          <w:iCs/>
          <w:i/>
        </w:rPr>
        <w:t xml:space="preserve">I</w:t>
      </w:r>
      <w:r>
        <w:t xml:space="preserve"> </w:t>
      </w:r>
      <w:r>
        <w:t xml:space="preserve">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that hill.</w:t>
      </w:r>
      <w:r>
        <w:t xml:space="preserve">”</w:t>
      </w:r>
      <w:r>
        <w:t xml:space="preserve"> </w:t>
      </w:r>
      <w:r>
        <w:t xml:space="preserve">The Red Queen replies,</w:t>
      </w:r>
      <w:r>
        <w:t xml:space="preserve"> </w:t>
      </w:r>
      <w:r>
        <w:t xml:space="preserve">“</w:t>
      </w:r>
      <w:r>
        <w:rPr>
          <w:iCs/>
          <w:i/>
        </w:rPr>
        <w:t xml:space="preserve">I</w:t>
      </w:r>
      <w:r>
        <w:t xml:space="preserve"> </w:t>
      </w:r>
      <w:r>
        <w:t xml:space="preserve">could show you hills, in comparison with which you’d call that a valley.</w:t>
      </w:r>
      <w:r>
        <w:t xml:space="preserve">”</w:t>
      </w:r>
      <w:r>
        <w:t xml:space="preserve"> </w:t>
      </w:r>
      <w:r>
        <w:t xml:space="preserve">Alice protests:</w:t>
      </w:r>
      <w:r>
        <w:t xml:space="preserve"> </w:t>
      </w:r>
      <w:r>
        <w:t xml:space="preserve">“</w:t>
      </w:r>
      <w:r>
        <w:t xml:space="preserve">a hill</w:t>
      </w:r>
      <w:r>
        <w:t xml:space="preserve"> </w:t>
      </w:r>
      <w:r>
        <w:rPr>
          <w:iCs/>
          <w:i/>
        </w:rPr>
        <w:t xml:space="preserve">ca’n’t</w:t>
      </w:r>
      <w:r>
        <w:t xml:space="preserve"> </w:t>
      </w:r>
      <w:r>
        <w:t xml:space="preserve">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it over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we’ve been under this tree the whole time! Everything’s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6"/>
      </w:r>
      <w:r>
        <w:t xml:space="preserve"> </w:t>
      </w:r>
      <w:r>
        <w:t xml:space="preserve">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w:t>
      </w:r>
      <w:r>
        <w:t xml:space="preserve"> </w:t>
      </w:r>
      <w:r>
        <w:t xml:space="preserve">(Bayley 2009, 2010)</w:t>
      </w:r>
      <w:r>
        <w:t xml:space="preserve">. Along these lines, mathematician Sanderson M. Smith has suggested that</w:t>
      </w:r>
      <w:r>
        <w:t xml:space="preserve"> </w:t>
      </w:r>
      <w:hyperlink r:id="rId97">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w:t>
      </w:r>
      <w:r>
        <w:t xml:space="preserve"> </w:t>
      </w:r>
      <w:r>
        <w:t xml:space="preserve">(1973)</w:t>
      </w:r>
      <w:r>
        <w:t xml:space="preserve">. It thus seems reasonable to suggest that both antagonists must run (coevolve) as fast as they can to prevent extinction. Graham Bell repurposed the phrase to mean within-population oscillations in host and parasite genotypes</w:t>
      </w:r>
      <w:r>
        <w:t xml:space="preserve"> </w:t>
      </w:r>
      <w:r>
        <w:t xml:space="preserve">(1982)</w:t>
      </w:r>
      <w:r>
        <w:t xml:space="preserve">.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8"/>
      </w:r>
    </w:p>
    <w:bookmarkEnd w:id="99"/>
    <w:bookmarkStart w:id="105"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w:t>
      </w:r>
      <w:r>
        <w:t xml:space="preserve"> </w:t>
      </w:r>
      <w:r>
        <w:t xml:space="preserve">(1975)</w:t>
      </w:r>
      <w:r>
        <w:t xml:space="preserve">. Hamilton was reviewing the books by Williams</w:t>
      </w:r>
      <w:r>
        <w:t xml:space="preserve"> </w:t>
      </w:r>
      <w:r>
        <w:t xml:space="preserve">(1975)</w:t>
      </w:r>
      <w:r>
        <w:t xml:space="preserve"> </w:t>
      </w:r>
      <w:r>
        <w:t xml:space="preserve">and Ghiselin</w:t>
      </w:r>
      <w:r>
        <w:t xml:space="preserve"> </w:t>
      </w:r>
      <w:r>
        <w:t xml:space="preserve">(1974)</w:t>
      </w:r>
      <w:r>
        <w:t xml:space="preserve"> </w:t>
      </w:r>
      <w:r>
        <w:t xml:space="preserve">for the</w:t>
      </w:r>
      <w:r>
        <w:t xml:space="preserve"> </w:t>
      </w:r>
      <w:r>
        <w:rPr>
          <w:iCs/>
          <w:i/>
        </w:rPr>
        <w:t xml:space="preserve">Quarterly Review of Biology</w:t>
      </w:r>
      <w:r>
        <w:t xml:space="preserve">. Throughout the review, the reader can feel Hamilton’s frustration with their arguments. Towards the end, he makes these very abstract suggestions:</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w:t>
      </w:r>
      <w:r>
        <w:t xml:space="preserve">”</w:t>
      </w:r>
      <w:r>
        <w:t xml:space="preserve"> </w:t>
      </w:r>
      <w:r>
        <w:t xml:space="preserve">(2001)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r>
        <w:t xml:space="preserve"> </w:t>
      </w:r>
      <w:r>
        <w:t xml:space="preserve">(Levin 1975)</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w:t>
      </w:r>
      <w:r>
        <w:rPr>
          <w:rStyle w:val="FootnoteReference"/>
        </w:rPr>
        <w:footnoteReference w:id="100"/>
      </w:r>
      <w:r>
        <w:t xml:space="preserve"> </w:t>
      </w:r>
      <w:r>
        <w:t xml:space="preserve">(1978)</w:t>
      </w:r>
      <w:r>
        <w:t xml:space="preserve">, Jaenike</w:t>
      </w:r>
      <w:r>
        <w:rPr>
          <w:rStyle w:val="FootnoteReference"/>
        </w:rPr>
        <w:footnoteReference w:id="101"/>
      </w:r>
      <w:r>
        <w:t xml:space="preserve"> </w:t>
      </w:r>
      <w:r>
        <w:t xml:space="preserve">(1978)</w:t>
      </w:r>
      <w:r>
        <w:t xml:space="preserve">, and Lloyd</w:t>
      </w:r>
      <w:r>
        <w:t xml:space="preserve"> </w:t>
      </w:r>
      <w:r>
        <w:t xml:space="preserve">(1980)</w:t>
      </w:r>
      <w:r>
        <w:t xml:space="preserve">. In particular, Lloyd writes,</w:t>
      </w:r>
      <w:r>
        <w:t xml:space="preserve"> </w:t>
      </w:r>
      <w:r>
        <w:t xml:space="preserve">“</w:t>
      </w:r>
      <w:r>
        <w:t xml:space="preserve">[B]iological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2"/>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3"/>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w:t>
      </w:r>
      <w:r>
        <w:t xml:space="preserve"> </w:t>
      </w:r>
      <w:r>
        <w:t xml:space="preserve">(review in Otto 2021)</w:t>
      </w:r>
      <w:r>
        <w:t xml:space="preserve">. I will cover some special cases of this latter idea in</w:t>
      </w:r>
      <w:r>
        <w:t xml:space="preserve"> </w:t>
      </w:r>
      <w:hyperlink w:anchor="sec-chap6">
        <w:r>
          <w:rPr>
            <w:rStyle w:val="Hyperlink"/>
          </w:rPr>
          <w:t xml:space="preserve">Chapter 4</w:t>
        </w:r>
      </w:hyperlink>
      <w:r>
        <w:t xml:space="preserve">.</w:t>
      </w:r>
      <w:r>
        <w:rPr>
          <w:rStyle w:val="FootnoteReference"/>
        </w:rPr>
        <w:footnoteReference w:id="104"/>
      </w:r>
    </w:p>
    <w:bookmarkEnd w:id="105"/>
    <w:bookmarkEnd w:id="106"/>
    <w:bookmarkStart w:id="115"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w:t>
      </w:r>
      <w:r>
        <w:t xml:space="preserve"> </w:t>
      </w:r>
      <w:r>
        <w:t xml:space="preserve">(following Bell 1982)</w:t>
      </w:r>
      <w:r>
        <w:t xml:space="preserve">.</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Users\amazel\AppData\Local\Programs\Quarto\share\formats\docx\note.png" id="10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(1953)</w:t>
            </w:r>
            <w:r>
              <w:t xml:space="preserve">. The paper is not easy to follow, eventhough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one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one.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bookmarkStart w:id="109" w:name="tbl-lev"/>
          <w:p>
            <w:pPr>
              <w:pStyle w:val="TableCaption"/>
            </w:pPr>
            <w:r>
              <w:t xml:space="preserve">Table 2.2: Levene’s Example</w:t>
            </w:r>
          </w:p>
          <w:tbl>
            <w:tblPr>
              <w:tblStyle w:val="Table"/>
              <w:tblW w:type="pct" w:w="5000"/>
              <w:tblLook w:firstRow="1" w:lastRow="0" w:firstColumn="0" w:lastColumn="0" w:noHBand="0" w:noVBand="0" w:val="0020"/>
              <w:jc w:val="start"/>
              <w:tblCaption w:val="Table 2.2: Levene’s Example"/>
            </w:tblPr>
            <w:tblGrid>
              <w:gridCol w:w="950"/>
              <w:gridCol w:w="2111"/>
              <w:gridCol w:w="2217"/>
              <w:gridCol w:w="1161"/>
              <w:gridCol w:w="1478"/>
            </w:tblGrid>
            <w:tr>
              <w:trPr>
                <w:tblHeader w:val="true"/>
              </w:trPr>
              <w:tc>
                <w:tcPr/>
                <w:p>
                  <w:pPr>
                    <w:pStyle w:val="Compact"/>
                    <w:jc w:val="left"/>
                  </w:pPr>
                  <w:r>
                    <w:rPr>
                      <w:bCs/>
                      <w:b/>
                    </w:rP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bookmarkEnd w:id="109"/>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w:t>
            </w:r>
            <w:r>
              <w:t xml:space="preserve"> </w:t>
            </w:r>
            <w:r>
              <w:t xml:space="preserve">(Prout 1968)</w:t>
            </w:r>
            <w:r>
              <w:t xml:space="preserve">. However, Timothy Prout showed that a polymorphism could be stable even if one allele is dominant, thus ruling out any kind of overdominance</w:t>
            </w:r>
            <w:r>
              <w:t xml:space="preserve"> </w:t>
            </w:r>
            <w:r>
              <w:t xml:space="preserve">(1968)</w:t>
            </w:r>
            <w:r>
              <w:t xml:space="preserve">. Let both the AA and AB genotypes have a fitness of one in both niches. Let the BB genotype have a fitness of 0.5 in niche one and a fitness of 1.67 in niche two. Assuming as above that both patches are equally common, we get the following table:</w:t>
            </w:r>
          </w:p>
          <w:bookmarkStart w:id="110" w:name="tbl-pro"/>
          <w:p>
            <w:pPr>
              <w:pStyle w:val="TableCaption"/>
            </w:pPr>
            <w:r>
              <w:t xml:space="preserve">Table 2.3: Prout’s Example</w:t>
            </w:r>
          </w:p>
          <w:tbl>
            <w:tblPr>
              <w:tblStyle w:val="Table"/>
              <w:tblW w:type="pct" w:w="5000"/>
              <w:tblLook w:firstRow="1" w:lastRow="0" w:firstColumn="0" w:lastColumn="0" w:noHBand="0" w:noVBand="0" w:val="0020"/>
              <w:jc w:val="start"/>
              <w:tblCaption w:val="Table 2.3: Prout’s Example"/>
            </w:tblPr>
            <w:tblGrid>
              <w:gridCol w:w="950"/>
              <w:gridCol w:w="2111"/>
              <w:gridCol w:w="2217"/>
              <w:gridCol w:w="1161"/>
              <w:gridCol w:w="1478"/>
            </w:tblGrid>
            <w:tr>
              <w:trPr>
                <w:tblHeader w:val="true"/>
              </w:trPr>
              <w:tc>
                <w:tcPr/>
                <w:p>
                  <w:pPr>
                    <w:pStyle w:val="Compact"/>
                    <w:jc w:val="left"/>
                  </w:pPr>
                  <w:r>
                    <w:rPr>
                      <w:bCs/>
                      <w:b/>
                    </w:rP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bookmarkEnd w:id="110"/>
          <w:p>
            <w:pPr>
              <w:pStyle w:val="BodyText"/>
            </w:pPr>
            <w:r>
              <w:t xml:space="preserve">Prout showed that there would be a stable multiple niche polymorphism even under complete dominance, provided that the arithmetic mean fitness for BB is greater than one and the harmonic mean fitness for the BB genotype is less than one. So, clearly, overdominance for harmonic mean fitness is not required for a stable polymorphism.</w:t>
            </w:r>
            <w:r>
              <w:rPr>
                <w:rStyle w:val="FootnoteReference"/>
              </w:rPr>
              <w:footnoteReference w:id="111"/>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one.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13" name="Picture"/>
                        <a:graphic>
                          <a:graphicData uri="http://schemas.openxmlformats.org/drawingml/2006/picture">
                            <pic:pic>
                              <pic:nvPicPr>
                                <pic:cNvPr descr="images/fig2-5.jpg" id="114" name="Picture"/>
                                <pic:cNvPicPr>
                                  <a:picLocks noChangeArrowheads="1" noChangeAspect="1"/>
                                </pic:cNvPicPr>
                              </pic:nvPicPr>
                              <pic:blipFill>
                                <a:blip r:embed="rId112"/>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5"/>
    <w:bookmarkEnd w:id="116"/>
    <w:bookmarkStart w:id="168"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8" name="Picture"/>
                  <a:graphic>
                    <a:graphicData uri="http://schemas.openxmlformats.org/drawingml/2006/picture">
                      <pic:pic>
                        <pic:nvPicPr>
                          <pic:cNvPr descr="images/fig3-1.jpeg" id="119" name="Picture"/>
                          <pic:cNvPicPr>
                            <a:picLocks noChangeArrowheads="1" noChangeAspect="1"/>
                          </pic:cNvPicPr>
                        </pic:nvPicPr>
                        <pic:blipFill>
                          <a:blip r:embed="rId117"/>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20"/>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w:t>
      </w:r>
      <w:r>
        <w:t xml:space="preserve"> </w:t>
      </w:r>
      <w:r>
        <w:t xml:space="preserve">(1986c)</w:t>
      </w:r>
      <w:r>
        <w:t xml:space="preserve">.</w:t>
      </w:r>
      <w:r>
        <w:rPr>
          <w:rStyle w:val="FootnoteReference"/>
        </w:rPr>
        <w:footnoteReference w:id="121"/>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w:t>
      </w:r>
      <w:r>
        <w:t xml:space="preserve"> </w:t>
      </w:r>
      <w:r>
        <w:t xml:space="preserve">(1986b)</w:t>
      </w:r>
      <w:r>
        <w:t xml:space="preserve">.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w:t>
      </w:r>
      <w:r>
        <w:t xml:space="preserve"> </w:t>
      </w:r>
      <w:r>
        <w:t xml:space="preserve">(Lively 1986b)</w:t>
      </w:r>
      <w:r>
        <w:t xml:space="preserve">.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w:t>
      </w:r>
      <w:r>
        <w:t xml:space="preserve"> </w:t>
      </w:r>
      <w:r>
        <w:t xml:space="preserve">(Lloyd 1984)</w:t>
      </w:r>
      <w:r>
        <w:t xml:space="preserve">.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5" w:name="fig-3-2"/>
          <w:p>
            <w:pPr>
              <w:jc w:val="center"/>
            </w:pPr>
            <w:r>
              <w:drawing>
                <wp:inline>
                  <wp:extent cx="2377440" cy="3076687"/>
                  <wp:effectExtent b="0" l="0" r="0" t="0"/>
                  <wp:docPr descr="" title="" id="123" name="Picture"/>
                  <a:graphic>
                    <a:graphicData uri="http://schemas.openxmlformats.org/drawingml/2006/picture">
                      <pic:pic>
                        <pic:nvPicPr>
                          <pic:cNvPr descr="images/fig3-2.jpeg" id="124" name="Picture"/>
                          <pic:cNvPicPr>
                            <a:picLocks noChangeArrowheads="1" noChangeAspect="1"/>
                          </pic:cNvPicPr>
                        </pic:nvPicPr>
                        <pic:blipFill>
                          <a:blip r:embed="rId122"/>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9" w:name="fig-3-3"/>
          <w:p>
            <w:pPr>
              <w:jc w:val="center"/>
            </w:pPr>
            <w:r>
              <w:drawing>
                <wp:inline>
                  <wp:extent cx="2377440" cy="2657717"/>
                  <wp:effectExtent b="0" l="0" r="0" t="0"/>
                  <wp:docPr descr="" title="" id="127" name="Picture"/>
                  <a:graphic>
                    <a:graphicData uri="http://schemas.openxmlformats.org/drawingml/2006/picture">
                      <pic:pic>
                        <pic:nvPicPr>
                          <pic:cNvPr descr="images/fig3-3.jpeg" id="128" name="Picture"/>
                          <pic:cNvPicPr>
                            <a:picLocks noChangeArrowheads="1" noChangeAspect="1"/>
                          </pic:cNvPicPr>
                        </pic:nvPicPr>
                        <pic:blipFill>
                          <a:blip r:embed="rId126"/>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9"/>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30"/>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w:t>
      </w:r>
      <w:r>
        <w:t xml:space="preserve"> </w:t>
      </w:r>
      <w:r>
        <w:t xml:space="preserve">(e.g., Clark 1976)</w:t>
      </w:r>
      <w:r>
        <w:t xml:space="preserve">.</w:t>
      </w:r>
    </w:p>
    <w:p>
      <w:pPr>
        <w:pStyle w:val="BodyText"/>
      </w:pPr>
      <w:r>
        <w:t xml:space="preserve">I began looking for natural systems to study facultative parthenogenesis.</w:t>
      </w:r>
      <w:r>
        <w:rPr>
          <w:rStyle w:val="FootnoteReference"/>
        </w:rPr>
        <w:footnoteReference w:id="131"/>
      </w:r>
      <w:r>
        <w:t xml:space="preserve"> </w:t>
      </w:r>
      <w:r>
        <w:t xml:space="preserve">To this end, I was reading Graham Bell’s incredible book on the evolution and genetics of sexual reproduction</w:t>
      </w:r>
      <w:r>
        <w:t xml:space="preserve"> </w:t>
      </w:r>
      <w:r>
        <w:t xml:space="preserve">(1982)</w:t>
      </w:r>
      <w:r>
        <w:t xml:space="preserve">. Searching the index, I found a reference to</w:t>
      </w:r>
      <w:r>
        <w:t xml:space="preserve"> </w:t>
      </w:r>
      <w:r>
        <w:rPr>
          <w:iCs/>
          <w:i/>
        </w:rPr>
        <w:t xml:space="preserve">Potamopyrgus antipodarum</w:t>
      </w:r>
      <w:r>
        <w:t xml:space="preserve">, a New Zealand freshwater snail. Bell had cited Mike Winterbourn’s dissertation work on this snail</w:t>
      </w:r>
      <w:r>
        <w:t xml:space="preserve"> </w:t>
      </w:r>
      <w:r>
        <w:t xml:space="preserve">(1970)</w:t>
      </w:r>
      <w:r>
        <w:t xml:space="preserve">.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32"/>
      </w:r>
    </w:p>
    <w:bookmarkStart w:id="141"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w:t>
      </w:r>
      <w:r>
        <w:t xml:space="preserve"> </w:t>
      </w:r>
      <w:r>
        <w:t xml:space="preserve">(Chamberlin 1890; Platt 1964)</w:t>
      </w:r>
      <w:r>
        <w:t xml:space="preserve">.</w:t>
      </w:r>
      <w:r>
        <w:rPr>
          <w:rStyle w:val="FootnoteReference"/>
        </w:rPr>
        <w:footnoteReference w:id="133"/>
      </w:r>
      <w:r>
        <w:t xml:space="preserve"> </w:t>
      </w:r>
      <w:r>
        <w:t xml:space="preserve">The idea is that multiple hypotheses should be simultaneously considered. Then, to the extent possible, the alternatives are forced to make different</w:t>
      </w:r>
      <w:r>
        <w:t xml:space="preserve"> </w:t>
      </w:r>
      <w:r>
        <w:rPr>
          <w:iCs/>
          <w:i/>
        </w:rPr>
        <w:t xml:space="preserve">a priori</w:t>
      </w:r>
      <w:r>
        <w:t xml:space="preserve"> </w:t>
      </w:r>
      <w:r>
        <w:t xml:space="preserve">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w:t>
      </w:r>
      <w:r>
        <w:t xml:space="preserve"> </w:t>
      </w:r>
      <w:r>
        <w:t xml:space="preserve">(Platt 1964)</w:t>
      </w:r>
      <w:r>
        <w:t xml:space="preserve">. Thus, the focus is on falsifying one or more of the alternatives, rather than proving one of them</w:t>
      </w:r>
      <w:r>
        <w:t xml:space="preserve"> </w:t>
      </w:r>
      <w:r>
        <w:t xml:space="preserve">(Popper 1959)</w:t>
      </w:r>
      <w:r>
        <w:t xml:space="preserve">. Graham Bell used this same method to contrast the ecological models for sex by using data on the geographic distribution of asexual individuals across many plant and animal taxa</w:t>
      </w:r>
      <w:r>
        <w:t xml:space="preserve"> </w:t>
      </w:r>
      <w:r>
        <w:t xml:space="preserve">(Bell 1982)</w:t>
      </w:r>
      <w:r>
        <w:t xml:space="preserve">.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8" w:name="fig-3-4"/>
          <w:p>
            <w:pPr>
              <w:jc w:val="center"/>
            </w:pPr>
            <w:r>
              <w:drawing>
                <wp:inline>
                  <wp:extent cx="5943600" cy="3965495"/>
                  <wp:effectExtent b="0" l="0" r="0" t="0"/>
                  <wp:docPr descr="" title="" id="135" name="Picture"/>
                  <a:graphic>
                    <a:graphicData uri="http://schemas.openxmlformats.org/drawingml/2006/picture">
                      <pic:pic>
                        <pic:nvPicPr>
                          <pic:cNvPr descr="images/fig3-4.jpeg" id="136" name="Picture"/>
                          <pic:cNvPicPr>
                            <a:picLocks noChangeArrowheads="1" noChangeAspect="1"/>
                          </pic:cNvPicPr>
                        </pic:nvPicPr>
                        <pic:blipFill>
                          <a:blip r:embed="rId134"/>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w:t>
            </w:r>
            <w:r>
              <w:t xml:space="preserve"> </w:t>
            </w:r>
            <w:r>
              <w:t xml:space="preserve">(Phillips &amp; Lambert 1990)</w:t>
            </w:r>
            <w:r>
              <w:t xml:space="preserve">.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w:t>
            </w:r>
            <w:r>
              <w:t xml:space="preserve"> </w:t>
            </w:r>
            <w:r>
              <w:t xml:space="preserve">(Lively &amp; Johnson 1994)</w:t>
            </w:r>
            <w:r>
              <w:t xml:space="preserve">.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7">
              <w:r>
                <w:rPr>
                  <w:rStyle w:val="Hyperlink"/>
                </w:rPr>
                <w:t xml:space="preserve">Bart Zijlstra</w:t>
              </w:r>
            </w:hyperlink>
            <w:r>
              <w:t xml:space="preserve">.</w:t>
            </w:r>
          </w:p>
          <w:bookmarkEnd w:id="138"/>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w:t>
      </w:r>
      <w:r>
        <w:t xml:space="preserve"> </w:t>
      </w:r>
      <w:r>
        <w:t xml:space="preserve">(Winterbourn</w:t>
      </w:r>
      <w:r>
        <w:t xml:space="preserve"> </w:t>
      </w:r>
      <w:r>
        <w:rPr>
          <w:iCs/>
          <w:i/>
        </w:rPr>
        <w:t xml:space="preserve">et al.</w:t>
      </w:r>
      <w:r>
        <w:t xml:space="preserve"> </w:t>
      </w:r>
      <w:r>
        <w:t xml:space="preserve">1981)</w:t>
      </w:r>
      <w:r>
        <w:t xml:space="preserve">.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w:t>
      </w:r>
      <w:r>
        <w:t xml:space="preserve"> </w:t>
      </w:r>
      <w:r>
        <w:t xml:space="preserve">(May &amp; Anderson 1983)</w:t>
      </w:r>
      <w:r>
        <w:t xml:space="preserve">.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40"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9"/>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 </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40"/>
    <w:bookmarkEnd w:id="141"/>
    <w:bookmarkStart w:id="156"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w:t>
      </w:r>
      <w:r>
        <w:t xml:space="preserve"> </w:t>
      </w:r>
      <w:r>
        <w:t xml:space="preserve">(1973)</w:t>
      </w:r>
      <w:r>
        <w:t xml:space="preserve">described. I reasoned that the frequency of males in a population must be strongly correlated with the frequency of sexual females simply because males are only produced by sexual females.</w:t>
      </w:r>
      <w:r>
        <w:rPr>
          <w:rStyle w:val="FootnoteReference"/>
        </w:rPr>
        <w:footnoteReference w:id="142"/>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w:t>
      </w:r>
      <w:r>
        <w:t xml:space="preserve">.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(1987)</w:t>
      </w:r>
      <w:r>
        <w:t xml:space="preserve">.</w:t>
      </w:r>
      <w:r>
        <w:rPr>
          <w:rStyle w:val="FootnoteReference"/>
        </w:rPr>
        <w:footnoteReference w:id="143"/>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w:t>
      </w:r>
      <w:r>
        <w:t xml:space="preserve"> </w:t>
      </w:r>
      <w:r>
        <w:t xml:space="preserve">(1987)</w:t>
      </w:r>
      <w:r>
        <w:t xml:space="preserve">.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4"/>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w:t>
      </w:r>
      <w:r>
        <w:t xml:space="preserve"> </w:t>
      </w:r>
      <w:r>
        <w:t xml:space="preserve">(1987)</w:t>
      </w:r>
      <w:r>
        <w:t xml:space="preserve"> </w:t>
      </w:r>
      <w:r>
        <w:t xml:space="preserve">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w:t>
      </w:r>
      <w:r>
        <w:t xml:space="preserve"> </w:t>
      </w:r>
      <w:r>
        <w:t xml:space="preserve">(1980)</w:t>
      </w:r>
      <w:r>
        <w:t xml:space="preserve"> </w:t>
      </w:r>
      <w:r>
        <w:t xml:space="preserve">and others</w:t>
      </w:r>
      <w:r>
        <w:t xml:space="preserve"> </w:t>
      </w:r>
      <w:r>
        <w:t xml:space="preserve">(Bell 1982; e.g., Glesener &amp; Tilman 1978)</w:t>
      </w:r>
      <w:r>
        <w:t xml:space="preserve">.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w:t>
      </w:r>
      <w:r>
        <w:t xml:space="preserve"> </w:t>
      </w:r>
      <w:r>
        <w:t xml:space="preserve">(Gould 1991; Stolley 1991)</w:t>
      </w:r>
      <w:r>
        <w:t xml:space="preserve">.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was correct when he wrote,</w:t>
      </w:r>
      <w:r>
        <w:t xml:space="preserve"> </w:t>
      </w:r>
      <w:r>
        <w:t xml:space="preserve">“</w:t>
      </w:r>
      <w:r>
        <w:t xml:space="preserve">Hence our truth is the intersection of independent lies</w:t>
      </w:r>
      <w:r>
        <w:t xml:space="preserve">”</w:t>
      </w:r>
      <w:r>
        <w:t xml:space="preserve"> </w:t>
      </w:r>
      <w:r>
        <w:t xml:space="preserve">(1966)</w:t>
      </w:r>
      <w:r>
        <w:t xml:space="preserve">.</w:t>
      </w:r>
      <w:r>
        <w:rPr>
          <w:rStyle w:val="FootnoteReference"/>
        </w:rPr>
        <w:footnoteReference w:id="145"/>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6"/>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w:t>
      </w:r>
      <w:r>
        <w:t xml:space="preserve"> </w:t>
      </w:r>
      <w:r>
        <w:t xml:space="preserve">(Anderson &amp; May 1979; May &amp; Anderson 1979)</w:t>
      </w:r>
      <w:r>
        <w:t xml:space="preserve">. Second, there might be more sex in dense populations because asexual reproduction is favored in sparse populations as a way for individuals to ensure reproduction even in the absence of conspecific mates</w:t>
      </w:r>
      <w:r>
        <w:t xml:space="preserve"> </w:t>
      </w:r>
      <w:r>
        <w:t xml:space="preserve">(Gerritsen 1980; Lloyd 1980; Tomlinson 1966)</w:t>
      </w:r>
      <w:r>
        <w:t xml:space="preserve">.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w:t>
      </w:r>
      <w:r>
        <w:t xml:space="preserve"> </w:t>
      </w:r>
      <w:r>
        <w:t xml:space="preserve">(Lively 1992)</w:t>
      </w:r>
      <w:r>
        <w:t xml:space="preserve">.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7"/>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51" w:name="fig-3-5"/>
          <w:p>
            <w:pPr>
              <w:jc w:val="center"/>
            </w:pPr>
            <w:r>
              <w:drawing>
                <wp:inline>
                  <wp:extent cx="5772150" cy="6019800"/>
                  <wp:effectExtent b="0" l="0" r="0" t="0"/>
                  <wp:docPr descr="" title="" id="149" name="Picture"/>
                  <a:graphic>
                    <a:graphicData uri="http://schemas.openxmlformats.org/drawingml/2006/picture">
                      <pic:pic>
                        <pic:nvPicPr>
                          <pic:cNvPr descr="images/fig3-5.JPG" id="150" name="Picture"/>
                          <pic:cNvPicPr>
                            <a:picLocks noChangeArrowheads="1" noChangeAspect="1"/>
                          </pic:cNvPicPr>
                        </pic:nvPicPr>
                        <pic:blipFill>
                          <a:blip r:embed="rId148"/>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w:t>
            </w:r>
            <w:r>
              <w:t xml:space="preserve"> </w:t>
            </w:r>
            <w:r>
              <w:t xml:space="preserve">(Lively 1987)</w:t>
            </w:r>
            <w:r>
              <w:t xml:space="preserve"> </w:t>
            </w:r>
            <w:r>
              <w:t xml:space="preserve">plus two river samples. Gray triangles represent lake populations</w:t>
            </w:r>
            <w:r>
              <w:t xml:space="preserve"> </w:t>
            </w:r>
            <w:r>
              <w:t xml:space="preserve">(Lively 1987)</w:t>
            </w:r>
            <w:r>
              <w:t xml:space="preserve">. Black triangles represent lake and tarn populations</w:t>
            </w:r>
            <w:r>
              <w:t xml:space="preserve"> </w:t>
            </w:r>
            <w:r>
              <w:t xml:space="preserve">(Lively 1992)</w:t>
            </w:r>
            <w:r>
              <w:t xml:space="preserve">. The correlation is positive and statistically significant.</w:t>
            </w:r>
          </w:p>
          <w:bookmarkEnd w:id="151"/>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w:t>
      </w:r>
      <w:r>
        <w:t xml:space="preserve"> </w:t>
      </w:r>
      <w:r>
        <w:t xml:space="preserve">(1980)</w:t>
      </w:r>
      <w:r>
        <w:t xml:space="preser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w:t>
      </w:r>
      <w:r>
        <w:t xml:space="preserve"> </w:t>
      </w:r>
      <w:r>
        <w:t xml:space="preserve">(Lively 2001)</w:t>
      </w:r>
      <w:r>
        <w:t xml:space="preserve">. For example, infected snails might die at a faster rate than uninfected snails because of the energetic demands of infection. In addition, infected snails are more likely than uninfected snails to forage after sunrise, which exposes them to predation by their final hosts, ducks</w:t>
      </w:r>
      <w:r>
        <w:t xml:space="preserve"> </w:t>
      </w:r>
      <w:r>
        <w:t xml:space="preserve">(Levri &amp; Fisher 2000; Levri &amp; Lively 1996)</w:t>
      </w:r>
      <w:r>
        <w:t xml:space="preserve">. Prevalence of infection might also fluctuate over time as the genetic diversity in the host population changes and/or as the final hosts move among locations. We now know that the prevalence of infection varies greatly among years and among sites in the same lake</w:t>
      </w:r>
      <w:r>
        <w:t xml:space="preserve"> </w:t>
      </w:r>
      <w:r>
        <w:t xml:space="preserve">(Gibson</w:t>
      </w:r>
      <w:r>
        <w:t xml:space="preserve"> </w:t>
      </w:r>
      <w:r>
        <w:rPr>
          <w:iCs/>
          <w:i/>
        </w:rPr>
        <w:t xml:space="preserve">et al.</w:t>
      </w:r>
      <w:r>
        <w:t xml:space="preserve"> </w:t>
      </w:r>
      <w:r>
        <w:t xml:space="preserve">2016)</w:t>
      </w:r>
      <w:r>
        <w:t xml:space="preserve">. Thus, detecting a significant correlation between sex and infection could be dicey, even if parasites were solely responsible for the short-term maintenance of sex in mixed populations.</w:t>
      </w:r>
      <w:r>
        <w:rPr>
          <w:rStyle w:val="FootnoteReference"/>
        </w:rPr>
        <w:footnoteReference w:id="152"/>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53"/>
      </w:r>
      <w:r>
        <w:t xml:space="preserve"> </w:t>
      </w:r>
      <w:r>
        <w:t xml:space="preserve">We resampled all 20 lakes 10 – 15 years after my original samples. We found that prevalence of infection was highly correlated between sample periods as was male frequency</w:t>
      </w:r>
      <w:r>
        <w:t xml:space="preserve"> </w:t>
      </w:r>
      <w:r>
        <w:t xml:space="preserve">(Lively &amp; Jokela 2002)</w:t>
      </w:r>
      <w:r>
        <w:t xml:space="preserve">.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4"/>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5"/>
      </w:r>
      <w:r>
        <w:t xml:space="preserve"> </w:t>
      </w:r>
      <w:r>
        <w:t xml:space="preserve">But the results do imply that the Red Queen Hypothesis was (and still is) worthy of further study.</w:t>
      </w:r>
    </w:p>
    <w:bookmarkEnd w:id="156"/>
    <w:bookmarkStart w:id="167"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60" w:name="fig-3-6"/>
          <w:p>
            <w:pPr>
              <w:jc w:val="center"/>
            </w:pPr>
            <w:r>
              <w:drawing>
                <wp:inline>
                  <wp:extent cx="4895850" cy="5819775"/>
                  <wp:effectExtent b="0" l="0" r="0" t="0"/>
                  <wp:docPr descr="" title="" id="158" name="Picture"/>
                  <a:graphic>
                    <a:graphicData uri="http://schemas.openxmlformats.org/drawingml/2006/picture">
                      <pic:pic>
                        <pic:nvPicPr>
                          <pic:cNvPr descr="images/fig3-6.JPG" id="159" name="Picture"/>
                          <pic:cNvPicPr>
                            <a:picLocks noChangeArrowheads="1" noChangeAspect="1"/>
                          </pic:cNvPicPr>
                        </pic:nvPicPr>
                        <pic:blipFill>
                          <a:blip r:embed="rId157"/>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w:t>
            </w:r>
            <w:r>
              <w:t xml:space="preserve"> </w:t>
            </w:r>
            <w:r>
              <w:t xml:space="preserve">(Redrawn from Lively 1992.)</w:t>
            </w:r>
          </w:p>
          <w:bookmarkEnd w:id="160"/>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C:\Users\amazel\AppData\Local\Programs\Quarto\share\formats\docx\note.png" id="162"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w:t>
            </w:r>
            <w:r>
              <w:t xml:space="preserve"> </w:t>
            </w:r>
            <w:r>
              <w:t xml:space="preserve">(Lively 1986a)</w:t>
            </w:r>
            <w:r>
              <w:t xml:space="preserve">.</w:t>
            </w:r>
          </w:p>
          <w:p>
            <w:pPr>
              <w:pStyle w:val="BodyText"/>
            </w:pPr>
            <w:r>
              <w:t xml:space="preserve">An example of the output is shown below. The results show that any of the three strategies can be an ESS in part of the parameter space.</w:t>
            </w:r>
            <w:r>
              <w:rPr>
                <w:rStyle w:val="FootnoteReference"/>
              </w:rPr>
              <w:footnoteReference w:id="163"/>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w:t>
            </w:r>
            <w:r>
              <w:t xml:space="preserve"> </w:t>
            </w:r>
            <w:r>
              <w:t xml:space="preserve">(Levinton 1988)</w:t>
            </w:r>
            <w:r>
              <w:t xml:space="preserve">. Also note that the conditions for a genetic polymorphism are relatively narrow. Redrawn from</w:t>
            </w:r>
            <w:r>
              <w:t xml:space="preserve"> </w:t>
            </w:r>
            <w:r>
              <w:t xml:space="preserve">(Lively 1999)</w:t>
            </w:r>
            <w:r>
              <w:t xml:space="preserve"> </w:t>
            </w:r>
            <w:r>
              <w:t xml:space="preserve">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5" name="Picture"/>
                        <a:graphic>
                          <a:graphicData uri="http://schemas.openxmlformats.org/drawingml/2006/picture">
                            <pic:pic>
                              <pic:nvPicPr>
                                <pic:cNvPr descr="images/fig3-7.JPG" id="166" name="Picture"/>
                                <pic:cNvPicPr>
                                  <a:picLocks noChangeArrowheads="1" noChangeAspect="1"/>
                                </pic:cNvPicPr>
                              </pic:nvPicPr>
                              <pic:blipFill>
                                <a:blip r:embed="rId164"/>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7"/>
    <w:bookmarkEnd w:id="168"/>
    <w:bookmarkStart w:id="170" w:name="sec-chap6"/>
    <w:p>
      <w:pPr>
        <w:pStyle w:val="Heading1"/>
      </w:pPr>
      <w:r>
        <w:t xml:space="preserve">4.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69" w:name="the-problem-1"/>
    <w:p>
      <w:pPr>
        <w:pStyle w:val="Heading2"/>
      </w:pPr>
      <w:r>
        <w:t xml:space="preserve">4.1 The Problem</w:t>
      </w:r>
    </w:p>
    <w:bookmarkEnd w:id="169"/>
    <w:bookmarkEnd w:id="170"/>
    <w:bookmarkStart w:id="278" w:name="references"/>
    <w:p>
      <w:pPr>
        <w:pStyle w:val="Heading1"/>
      </w:pPr>
      <w:r>
        <w:t xml:space="preserve">References</w:t>
      </w:r>
    </w:p>
    <w:bookmarkStart w:id="277" w:name="refs"/>
    <w:bookmarkStart w:id="171" w:name="ref-anderson1979a"/>
    <w:p>
      <w:pPr>
        <w:pStyle w:val="Bibliography"/>
      </w:pPr>
      <w:r>
        <w:t xml:space="preserve">Anderson, R.M. &amp; May, R.M. (1979). Population biology of infectious diseases: Part 1.</w:t>
      </w:r>
      <w:r>
        <w:t xml:space="preserve"> </w:t>
      </w:r>
      <w:r>
        <w:rPr>
          <w:iCs/>
          <w:i/>
        </w:rPr>
        <w:t xml:space="preserve">Nature</w:t>
      </w:r>
      <w:r>
        <w:t xml:space="preserve">, 280, 361–367.</w:t>
      </w:r>
    </w:p>
    <w:bookmarkEnd w:id="171"/>
    <w:bookmarkStart w:id="172" w:name="ref-antonovics1984a"/>
    <w:p>
      <w:pPr>
        <w:pStyle w:val="Bibliography"/>
      </w:pPr>
      <w:r>
        <w:t xml:space="preserve">Antonovics, J. &amp; Ellstrand, N.C. (1984). Experimental studies of the evolutionary significance of sexual reproduction. I. A test of the frequency-dependent selection hypothesis.</w:t>
      </w:r>
      <w:r>
        <w:t xml:space="preserve"> </w:t>
      </w:r>
      <w:r>
        <w:rPr>
          <w:iCs/>
          <w:i/>
        </w:rPr>
        <w:t xml:space="preserve">Evolution</w:t>
      </w:r>
      <w:r>
        <w:t xml:space="preserve">, 38, 103–115.</w:t>
      </w:r>
    </w:p>
    <w:bookmarkEnd w:id="172"/>
    <w:bookmarkStart w:id="173" w:name="ref-bayley2009a"/>
    <w:p>
      <w:pPr>
        <w:pStyle w:val="Bibliography"/>
      </w:pPr>
      <w:r>
        <w:t xml:space="preserve">Bayley, M. (2009). Alice’s adventures in algebra: Wonderland solved.</w:t>
      </w:r>
      <w:r>
        <w:t xml:space="preserve"> </w:t>
      </w:r>
      <w:r>
        <w:rPr>
          <w:iCs/>
          <w:i/>
        </w:rPr>
        <w:t xml:space="preserve">New Scientist</w:t>
      </w:r>
      <w:r>
        <w:t xml:space="preserve">.</w:t>
      </w:r>
    </w:p>
    <w:bookmarkEnd w:id="173"/>
    <w:bookmarkStart w:id="174" w:name="ref-bayley2010a"/>
    <w:p>
      <w:pPr>
        <w:pStyle w:val="Bibliography"/>
      </w:pPr>
      <w:r>
        <w:t xml:space="preserve">Bayley, M. (2010). Algebra in wonderland.</w:t>
      </w:r>
      <w:r>
        <w:t xml:space="preserve"> </w:t>
      </w:r>
      <w:r>
        <w:rPr>
          <w:iCs/>
          <w:i/>
        </w:rPr>
        <w:t xml:space="preserve">New York Times</w:t>
      </w:r>
      <w:r>
        <w:t xml:space="preserve">.</w:t>
      </w:r>
    </w:p>
    <w:bookmarkEnd w:id="174"/>
    <w:bookmarkStart w:id="175" w:name="ref-bell1982a"/>
    <w:p>
      <w:pPr>
        <w:pStyle w:val="Bibliography"/>
      </w:pPr>
      <w:r>
        <w:t xml:space="preserve">Bell, G. (1982).</w:t>
      </w:r>
      <w:r>
        <w:t xml:space="preserve"> </w:t>
      </w:r>
      <w:r>
        <w:rPr>
          <w:iCs/>
          <w:i/>
        </w:rPr>
        <w:t xml:space="preserve">The masterpiece of nature: The evolution and genetics of sexuality</w:t>
      </w:r>
      <w:r>
        <w:t xml:space="preserve">. University of California Press, Berkeley.</w:t>
      </w:r>
    </w:p>
    <w:bookmarkEnd w:id="175"/>
    <w:bookmarkStart w:id="177" w:name="ref-bell2006a"/>
    <w:p>
      <w:pPr>
        <w:pStyle w:val="Bibliography"/>
      </w:pPr>
      <w:r>
        <w:t xml:space="preserve">Bell, T., Freckleton, R.P. &amp; Lewis, O.T. (2006).</w:t>
      </w:r>
      <w:r>
        <w:t xml:space="preserve"> </w:t>
      </w:r>
      <w:hyperlink r:id="rId176">
        <w:r>
          <w:rPr>
            <w:rStyle w:val="Hyperlink"/>
          </w:rPr>
          <w:t xml:space="preserve">Plant pathogens drive density-dependent seedling mortality in a tropical tree</w:t>
        </w:r>
      </w:hyperlink>
      <w:r>
        <w:t xml:space="preserve">.</w:t>
      </w:r>
      <w:r>
        <w:t xml:space="preserve"> </w:t>
      </w:r>
      <w:r>
        <w:rPr>
          <w:iCs/>
          <w:i/>
        </w:rPr>
        <w:t xml:space="preserve">Ecology Letters</w:t>
      </w:r>
      <w:r>
        <w:t xml:space="preserve">, 9, 569–574.</w:t>
      </w:r>
    </w:p>
    <w:bookmarkEnd w:id="177"/>
    <w:bookmarkStart w:id="178" w:name="ref-burt1987a"/>
    <w:p>
      <w:pPr>
        <w:pStyle w:val="Bibliography"/>
      </w:pPr>
      <w:r>
        <w:t xml:space="preserve">Burt, A. &amp; Bell, G. (1987). Mammalian chiasma frequencies as a test of two theories of recombination.</w:t>
      </w:r>
      <w:r>
        <w:t xml:space="preserve"> </w:t>
      </w:r>
      <w:r>
        <w:rPr>
          <w:iCs/>
          <w:i/>
        </w:rPr>
        <w:t xml:space="preserve">Nature</w:t>
      </w:r>
      <w:r>
        <w:t xml:space="preserve">, 326, 803–805.</w:t>
      </w:r>
    </w:p>
    <w:bookmarkEnd w:id="178"/>
    <w:bookmarkStart w:id="179" w:name="ref-chamberlin1890a"/>
    <w:p>
      <w:pPr>
        <w:pStyle w:val="Bibliography"/>
      </w:pPr>
      <w:r>
        <w:t xml:space="preserve">Chamberlin, T.C. (1890). The method of multiple working hypotheses.</w:t>
      </w:r>
      <w:r>
        <w:t xml:space="preserve"> </w:t>
      </w:r>
      <w:r>
        <w:rPr>
          <w:iCs/>
          <w:i/>
        </w:rPr>
        <w:t xml:space="preserve">Science</w:t>
      </w:r>
      <w:r>
        <w:t xml:space="preserve">, 15, 92–96.</w:t>
      </w:r>
    </w:p>
    <w:bookmarkEnd w:id="179"/>
    <w:bookmarkStart w:id="180" w:name="ref-churchill1979a"/>
    <w:p>
      <w:pPr>
        <w:pStyle w:val="Bibliography"/>
      </w:pPr>
      <w:r>
        <w:t xml:space="preserve">Churchill, F.B. (1979). Sex and the single organism:</w:t>
      </w:r>
      <w:r>
        <w:t xml:space="preserve"> </w:t>
      </w:r>
      <w:r>
        <w:t xml:space="preserve">b</w:t>
      </w:r>
      <w:r>
        <w:t xml:space="preserve">iological theories of sex in mid nineteenth century.</w:t>
      </w:r>
      <w:r>
        <w:t xml:space="preserve"> </w:t>
      </w:r>
      <w:r>
        <w:rPr>
          <w:iCs/>
          <w:i/>
        </w:rPr>
        <w:t xml:space="preserve">Studies in the History of Biology</w:t>
      </w:r>
      <w:r>
        <w:t xml:space="preserve">, 3, 139–177.</w:t>
      </w:r>
    </w:p>
    <w:bookmarkEnd w:id="180"/>
    <w:bookmarkStart w:id="181" w:name="ref-churchill1997a"/>
    <w:p>
      <w:pPr>
        <w:pStyle w:val="Bibliography"/>
      </w:pPr>
      <w:r>
        <w:t xml:space="preserve">Churchill, F.B. (1997). Life before model systems: General zoology at</w:t>
      </w:r>
      <w:r>
        <w:t xml:space="preserve"> </w:t>
      </w:r>
      <w:r>
        <w:t xml:space="preserve">August Weismann’s</w:t>
      </w:r>
      <w:r>
        <w:t xml:space="preserve"> </w:t>
      </w:r>
      <w:r>
        <w:t xml:space="preserve">institute.</w:t>
      </w:r>
      <w:r>
        <w:t xml:space="preserve"> </w:t>
      </w:r>
      <w:r>
        <w:rPr>
          <w:iCs/>
          <w:i/>
        </w:rPr>
        <w:t xml:space="preserve">American Zoologist</w:t>
      </w:r>
      <w:r>
        <w:t xml:space="preserve">, 37, 260–268.</w:t>
      </w:r>
    </w:p>
    <w:bookmarkEnd w:id="181"/>
    <w:bookmarkStart w:id="182" w:name="ref-clark1976a"/>
    <w:p>
      <w:pPr>
        <w:pStyle w:val="Bibliography"/>
      </w:pPr>
      <w:r>
        <w:t xml:space="preserve">Clark, W.C. (1976). The environment and the genotype in polymorphism.</w:t>
      </w:r>
      <w:r>
        <w:t xml:space="preserve"> </w:t>
      </w:r>
      <w:r>
        <w:rPr>
          <w:iCs/>
          <w:i/>
        </w:rPr>
        <w:t xml:space="preserve">Zoological Journal of the Linnean Society</w:t>
      </w:r>
      <w:r>
        <w:t xml:space="preserve">, 58, 255–262.</w:t>
      </w:r>
    </w:p>
    <w:bookmarkEnd w:id="182"/>
    <w:bookmarkStart w:id="184" w:name="ref-dagg2016a"/>
    <w:p>
      <w:pPr>
        <w:pStyle w:val="Bibliography"/>
      </w:pPr>
      <w:r>
        <w:t xml:space="preserve">Dagg, J. (2016).</w:t>
      </w:r>
      <w:r>
        <w:t xml:space="preserve"> </w:t>
      </w:r>
      <w:hyperlink r:id="rId183">
        <w:r>
          <w:rPr>
            <w:rStyle w:val="Hyperlink"/>
          </w:rPr>
          <w:t xml:space="preserve">On recognising the paradox of sex</w:t>
        </w:r>
      </w:hyperlink>
      <w:r>
        <w:t xml:space="preserve">.</w:t>
      </w:r>
      <w:r>
        <w:t xml:space="preserve"> </w:t>
      </w:r>
      <w:r>
        <w:rPr>
          <w:iCs/>
          <w:i/>
        </w:rPr>
        <w:t xml:space="preserve">Philosophy, Theory, and Practice in Biology</w:t>
      </w:r>
      <w:r>
        <w:t xml:space="preserve">, 8.</w:t>
      </w:r>
    </w:p>
    <w:bookmarkEnd w:id="184"/>
    <w:bookmarkStart w:id="186" w:name="ref-darwin1862a"/>
    <w:p>
      <w:pPr>
        <w:pStyle w:val="Bibliography"/>
      </w:pPr>
      <w:r>
        <w:t xml:space="preserve">Darwin, C. (1862).</w:t>
      </w:r>
      <w:r>
        <w:t xml:space="preserve"> </w:t>
      </w:r>
      <w:hyperlink r:id="rId185">
        <w:r>
          <w:rPr>
            <w:rStyle w:val="Hyperlink"/>
          </w:rPr>
          <w:t xml:space="preserve">On the two forms, or dimorphic condition, in the species of</w:t>
        </w:r>
        <w:r>
          <w:rPr>
            <w:rStyle w:val="Hyperlink"/>
          </w:rPr>
          <w:t xml:space="preserve"> </w:t>
        </w:r>
        <w:r>
          <w:rPr>
            <w:rStyle w:val="Hyperlink"/>
            <w:iCs/>
            <w:i/>
          </w:rPr>
          <w:t xml:space="preserve">P</w:t>
        </w:r>
        <w:r>
          <w:rPr>
            <w:rStyle w:val="Hyperlink"/>
            <w:iCs/>
            <w:i/>
          </w:rPr>
          <w:t xml:space="preserve">rimula</w:t>
        </w:r>
        <w:r>
          <w:rPr>
            <w:rStyle w:val="Hyperlink"/>
          </w:rPr>
          <w:t xml:space="preserve">, and on their remarkable sexual relations.</w:t>
        </w:r>
      </w:hyperlink>
      <w:r>
        <w:t xml:space="preserve"> </w:t>
      </w:r>
      <w:r>
        <w:rPr>
          <w:iCs/>
          <w:i/>
        </w:rPr>
        <w:t xml:space="preserve">Journal of the Proceedings of the Linnean Society of London (Botany)</w:t>
      </w:r>
      <w:r>
        <w:t xml:space="preserve">, 6, 77–96.</w:t>
      </w:r>
    </w:p>
    <w:bookmarkEnd w:id="186"/>
    <w:bookmarkStart w:id="187" w:name="ref-darwin1868a"/>
    <w:p>
      <w:pPr>
        <w:pStyle w:val="Bibliography"/>
      </w:pPr>
      <w:r>
        <w:t xml:space="preserve">Darwin, C. (1868).</w:t>
      </w:r>
      <w:r>
        <w:t xml:space="preserve"> </w:t>
      </w:r>
      <w:r>
        <w:rPr>
          <w:iCs/>
          <w:i/>
        </w:rPr>
        <w:t xml:space="preserve">The variation of plants and animals under domestication</w:t>
      </w:r>
      <w:r>
        <w:t xml:space="preserve">. 1st edn. John Murray, London.</w:t>
      </w:r>
    </w:p>
    <w:bookmarkEnd w:id="187"/>
    <w:bookmarkStart w:id="189" w:name="ref-darwin1860a"/>
    <w:p>
      <w:pPr>
        <w:pStyle w:val="Bibliography"/>
      </w:pPr>
      <w:r>
        <w:t xml:space="preserve">Darwin, C. (n.d.).</w:t>
      </w:r>
      <w:r>
        <w:t xml:space="preserve"> </w:t>
      </w:r>
      <w:hyperlink r:id="rId188">
        <w:r>
          <w:rPr>
            <w:rStyle w:val="Hyperlink"/>
          </w:rPr>
          <w:t xml:space="preserve">Letter no. 2869</w:t>
        </w:r>
      </w:hyperlink>
      <w:r>
        <w:t xml:space="preserve">. Darwin Correspondence Project.</w:t>
      </w:r>
    </w:p>
    <w:bookmarkEnd w:id="189"/>
    <w:bookmarkStart w:id="190" w:name="ref-elliott2007a"/>
    <w:p>
      <w:pPr>
        <w:pStyle w:val="Bibliography"/>
      </w:pPr>
      <w:r>
        <w:t xml:space="preserve">Elliott, L.P. &amp; Brook, B.W. (2007). Revisiting</w:t>
      </w:r>
      <w:r>
        <w:t xml:space="preserve"> </w:t>
      </w:r>
      <w:r>
        <w:t xml:space="preserve">C</w:t>
      </w:r>
      <w:r>
        <w:t xml:space="preserve">hamberlin: Multiple working hypotheses for the 21st century.</w:t>
      </w:r>
      <w:r>
        <w:t xml:space="preserve"> </w:t>
      </w:r>
      <w:r>
        <w:rPr>
          <w:iCs/>
          <w:i/>
        </w:rPr>
        <w:t xml:space="preserve">Bioscience</w:t>
      </w:r>
      <w:r>
        <w:t xml:space="preserve">, 57, 608–614.</w:t>
      </w:r>
    </w:p>
    <w:bookmarkEnd w:id="190"/>
    <w:bookmarkStart w:id="191" w:name="ref-ellstrand1985a"/>
    <w:p>
      <w:pPr>
        <w:pStyle w:val="Bibliography"/>
      </w:pPr>
      <w:r>
        <w:t xml:space="preserve">Ellstrand, N.C. &amp; Antonovics, J. (1985). Experimental studies of the evolutionary significance of sexual reproduction II. A test of the density-dependent selection hypothesis.</w:t>
      </w:r>
      <w:r>
        <w:t xml:space="preserve"> </w:t>
      </w:r>
      <w:r>
        <w:rPr>
          <w:iCs/>
          <w:i/>
        </w:rPr>
        <w:t xml:space="preserve">Evolution</w:t>
      </w:r>
      <w:r>
        <w:t xml:space="preserve">, 39, 657–666.</w:t>
      </w:r>
    </w:p>
    <w:bookmarkEnd w:id="191"/>
    <w:bookmarkStart w:id="192" w:name="ref-fisher1941a"/>
    <w:p>
      <w:pPr>
        <w:pStyle w:val="Bibliography"/>
      </w:pPr>
      <w:r>
        <w:t xml:space="preserve">Fisher, R.A. (1941). Average excess and average effect of a gene substitution.</w:t>
      </w:r>
      <w:r>
        <w:t xml:space="preserve"> </w:t>
      </w:r>
      <w:r>
        <w:rPr>
          <w:iCs/>
          <w:i/>
        </w:rPr>
        <w:t xml:space="preserve">Annals of Eugenics</w:t>
      </w:r>
      <w:r>
        <w:t xml:space="preserve">, 11, 53–63.</w:t>
      </w:r>
    </w:p>
    <w:bookmarkEnd w:id="192"/>
    <w:bookmarkStart w:id="193" w:name="ref-gerritsen1980a"/>
    <w:p>
      <w:pPr>
        <w:pStyle w:val="Bibliography"/>
      </w:pPr>
      <w:r>
        <w:t xml:space="preserve">Gerritsen, J. (1980). Sex and parthenogenesis in sparse populations.</w:t>
      </w:r>
      <w:r>
        <w:t xml:space="preserve"> </w:t>
      </w:r>
      <w:r>
        <w:rPr>
          <w:iCs/>
          <w:i/>
        </w:rPr>
        <w:t xml:space="preserve">American Naturalist</w:t>
      </w:r>
      <w:r>
        <w:t xml:space="preserve">, 115, 718–742.</w:t>
      </w:r>
    </w:p>
    <w:bookmarkEnd w:id="193"/>
    <w:bookmarkStart w:id="194" w:name="ref-ghiselin1974a"/>
    <w:p>
      <w:pPr>
        <w:pStyle w:val="Bibliography"/>
      </w:pPr>
      <w:r>
        <w:t xml:space="preserve">Ghiselin, M.T. (1974).</w:t>
      </w:r>
      <w:r>
        <w:t xml:space="preserve"> </w:t>
      </w:r>
      <w:r>
        <w:rPr>
          <w:iCs/>
          <w:i/>
        </w:rPr>
        <w:t xml:space="preserve">The economy of nature and the evolution of sex</w:t>
      </w:r>
      <w:r>
        <w:t xml:space="preserve">. University of California Press, Berkeley.</w:t>
      </w:r>
    </w:p>
    <w:bookmarkEnd w:id="194"/>
    <w:bookmarkStart w:id="195" w:name="ref-gibson2016a"/>
    <w:p>
      <w:pPr>
        <w:pStyle w:val="Bibliography"/>
      </w:pPr>
      <w:r>
        <w:t xml:space="preserve">Gibson, A.K., Jokela, J. &amp; Lively, C.M. (2016). Fine-scale spatial covariation between infection prevalence and susceptibility in a natural population.</w:t>
      </w:r>
      <w:r>
        <w:t xml:space="preserve"> </w:t>
      </w:r>
      <w:r>
        <w:rPr>
          <w:iCs/>
          <w:i/>
        </w:rPr>
        <w:t xml:space="preserve">American Naturalist</w:t>
      </w:r>
      <w:r>
        <w:t xml:space="preserve">, 188, 1–14.</w:t>
      </w:r>
    </w:p>
    <w:bookmarkEnd w:id="195"/>
    <w:bookmarkStart w:id="196" w:name="ref-glesener1978a"/>
    <w:p>
      <w:pPr>
        <w:pStyle w:val="Bibliography"/>
      </w:pPr>
      <w:r>
        <w:t xml:space="preserve">Glesener, R.R. &amp; Tilman, D. (1978). Sexuality and the components of environmental uncertainty: Clues from geographical parthenogenesis in terrestrial animals.</w:t>
      </w:r>
      <w:r>
        <w:t xml:space="preserve"> </w:t>
      </w:r>
      <w:r>
        <w:rPr>
          <w:iCs/>
          <w:i/>
        </w:rPr>
        <w:t xml:space="preserve">American Naturalist</w:t>
      </w:r>
      <w:r>
        <w:t xml:space="preserve">, 112, 659–673.</w:t>
      </w:r>
    </w:p>
    <w:bookmarkEnd w:id="196"/>
    <w:bookmarkStart w:id="197" w:name="ref-gould1991a"/>
    <w:p>
      <w:pPr>
        <w:pStyle w:val="Bibliography"/>
      </w:pPr>
      <w:r>
        <w:t xml:space="preserve">Gould, S.J. (1991). The smoking gun of eugenics.</w:t>
      </w:r>
      <w:r>
        <w:t xml:space="preserve"> </w:t>
      </w:r>
      <w:r>
        <w:rPr>
          <w:iCs/>
          <w:i/>
        </w:rPr>
        <w:t xml:space="preserve">Natural History</w:t>
      </w:r>
      <w:r>
        <w:t xml:space="preserve">, 100, 8–17.</w:t>
      </w:r>
    </w:p>
    <w:bookmarkEnd w:id="197"/>
    <w:bookmarkStart w:id="198" w:name="ref-hamilton1975a"/>
    <w:p>
      <w:pPr>
        <w:pStyle w:val="Bibliography"/>
      </w:pPr>
      <w:r>
        <w:t xml:space="preserve">Hamilton, W.D. (1975). Innate social aptitudes of man: An approach from evolutionary genetics. In:</w:t>
      </w:r>
      <w:r>
        <w:t xml:space="preserve"> </w:t>
      </w:r>
      <w:r>
        <w:rPr>
          <w:iCs/>
          <w:i/>
        </w:rPr>
        <w:t xml:space="preserve">Biosocial anthropology</w:t>
      </w:r>
      <w:r>
        <w:t xml:space="preserve"> </w:t>
      </w:r>
      <w:r>
        <w:t xml:space="preserve">(ed. Fox, R.). Malaby Press, London, pp. 133–153.</w:t>
      </w:r>
    </w:p>
    <w:bookmarkEnd w:id="198"/>
    <w:bookmarkStart w:id="199" w:name="ref-hamilton2001a"/>
    <w:p>
      <w:pPr>
        <w:pStyle w:val="Bibliography"/>
      </w:pPr>
      <w:r>
        <w:t xml:space="preserve">Hamilton, W.D. (2001).</w:t>
      </w:r>
      <w:r>
        <w:t xml:space="preserve"> </w:t>
      </w:r>
      <w:r>
        <w:rPr>
          <w:iCs/>
          <w:i/>
        </w:rPr>
        <w:t xml:space="preserve">Narrow roads of gene land: Volume 2: Evolution of sex</w:t>
      </w:r>
      <w:r>
        <w:t xml:space="preserve">. Oxford University Press.</w:t>
      </w:r>
    </w:p>
    <w:bookmarkEnd w:id="199"/>
    <w:bookmarkStart w:id="200" w:name="ref-hazel2004a"/>
    <w:p>
      <w:pPr>
        <w:pStyle w:val="Bibliography"/>
      </w:pPr>
      <w:r>
        <w:t xml:space="preserve">Hazel, W., Smock, R. &amp; Lively, C.M. (2004). The ecological genetics of conditional strategies.</w:t>
      </w:r>
      <w:r>
        <w:t xml:space="preserve"> </w:t>
      </w:r>
      <w:r>
        <w:rPr>
          <w:iCs/>
          <w:i/>
        </w:rPr>
        <w:t xml:space="preserve">American Naturalist</w:t>
      </w:r>
      <w:r>
        <w:t xml:space="preserve">, 163, 888–900.</w:t>
      </w:r>
    </w:p>
    <w:bookmarkEnd w:id="200"/>
    <w:bookmarkStart w:id="201" w:name="ref-jaenike1978a"/>
    <w:p>
      <w:pPr>
        <w:pStyle w:val="Bibliography"/>
      </w:pPr>
      <w:r>
        <w:t xml:space="preserve">Jaenike, J. (1978). A hypothesis to account for the maintenance of sex within populations.</w:t>
      </w:r>
      <w:r>
        <w:t xml:space="preserve"> </w:t>
      </w:r>
      <w:r>
        <w:rPr>
          <w:iCs/>
          <w:i/>
        </w:rPr>
        <w:t xml:space="preserve">Evolutionary Theory</w:t>
      </w:r>
      <w:r>
        <w:t xml:space="preserve">, 3, 191–194.</w:t>
      </w:r>
    </w:p>
    <w:bookmarkEnd w:id="201"/>
    <w:bookmarkStart w:id="203" w:name="ref-kelley1993a"/>
    <w:p>
      <w:pPr>
        <w:pStyle w:val="Bibliography"/>
      </w:pPr>
      <w:r>
        <w:t xml:space="preserve">Kelley, S.E. (1993).</w:t>
      </w:r>
      <w:r>
        <w:t xml:space="preserve"> </w:t>
      </w:r>
      <w:hyperlink r:id="rId202">
        <w:r>
          <w:rPr>
            <w:rStyle w:val="Hyperlink"/>
          </w:rPr>
          <w:t xml:space="preserve">Viruses and the advantage of sex in</w:t>
        </w:r>
        <w:r>
          <w:rPr>
            <w:rStyle w:val="Hyperlink"/>
          </w:rPr>
          <w:t xml:space="preserve"> </w:t>
        </w:r>
        <w:r>
          <w:rPr>
            <w:rStyle w:val="Hyperlink"/>
            <w:iCs/>
            <w:i/>
          </w:rPr>
          <w:t xml:space="preserve">A</w:t>
        </w:r>
        <w:r>
          <w:rPr>
            <w:rStyle w:val="Hyperlink"/>
            <w:iCs/>
            <w:i/>
          </w:rPr>
          <w:t xml:space="preserve">nthoxanthum odoratum</w:t>
        </w:r>
        <w:r>
          <w:rPr>
            <w:rStyle w:val="Hyperlink"/>
          </w:rPr>
          <w:t xml:space="preserve">: A review</w:t>
        </w:r>
      </w:hyperlink>
      <w:r>
        <w:t xml:space="preserve">.</w:t>
      </w:r>
      <w:r>
        <w:t xml:space="preserve"> </w:t>
      </w:r>
      <w:r>
        <w:rPr>
          <w:iCs/>
          <w:i/>
        </w:rPr>
        <w:t xml:space="preserve">Plant Species Biology</w:t>
      </w:r>
      <w:r>
        <w:t xml:space="preserve">, 8, 217–223.</w:t>
      </w:r>
    </w:p>
    <w:bookmarkEnd w:id="203"/>
    <w:bookmarkStart w:id="205" w:name="ref-kelley1994a"/>
    <w:p>
      <w:pPr>
        <w:pStyle w:val="Bibliography"/>
      </w:pPr>
      <w:r>
        <w:t xml:space="preserve">Kelley, S.E. (1994).</w:t>
      </w:r>
      <w:r>
        <w:t xml:space="preserve"> </w:t>
      </w:r>
      <w:hyperlink r:id="rId204">
        <w:r>
          <w:rPr>
            <w:rStyle w:val="Hyperlink"/>
          </w:rPr>
          <w:t xml:space="preserve">Viral pathogens and the advantage of sex in the perennial grass</w:t>
        </w:r>
        <w:r>
          <w:rPr>
            <w:rStyle w:val="Hyperlink"/>
          </w:rPr>
          <w:t xml:space="preserve"> </w:t>
        </w:r>
        <w:r>
          <w:rPr>
            <w:rStyle w:val="Hyperlink"/>
            <w:iCs/>
            <w:i/>
          </w:rPr>
          <w:t xml:space="preserve">A</w:t>
        </w:r>
        <w:r>
          <w:rPr>
            <w:rStyle w:val="Hyperlink"/>
            <w:iCs/>
            <w:i/>
          </w:rPr>
          <w:t xml:space="preserve">nthoxanthum odoratum</w:t>
        </w:r>
      </w:hyperlink>
      <w:r>
        <w:t xml:space="preserve">.</w:t>
      </w:r>
      <w:r>
        <w:t xml:space="preserve"> </w:t>
      </w:r>
      <w:r>
        <w:rPr>
          <w:iCs/>
          <w:i/>
        </w:rPr>
        <w:t xml:space="preserve">Philosophical Transactions of the Royal Society of London B, Biological Sciences</w:t>
      </w:r>
      <w:r>
        <w:t xml:space="preserve">, 346, 295–302.</w:t>
      </w:r>
    </w:p>
    <w:bookmarkEnd w:id="205"/>
    <w:bookmarkStart w:id="206" w:name="ref-kelley1988a"/>
    <w:p>
      <w:pPr>
        <w:pStyle w:val="Bibliography"/>
      </w:pPr>
      <w:r>
        <w:t xml:space="preserve">Kelley, S.E., Antonovics, J. &amp; Schmitt, J. (1988). A test of the short-term advantage of sexual reproduction.</w:t>
      </w:r>
      <w:r>
        <w:t xml:space="preserve"> </w:t>
      </w:r>
      <w:r>
        <w:rPr>
          <w:iCs/>
          <w:i/>
        </w:rPr>
        <w:t xml:space="preserve">Nature</w:t>
      </w:r>
      <w:r>
        <w:t xml:space="preserve">, 331, 714–716.</w:t>
      </w:r>
    </w:p>
    <w:bookmarkEnd w:id="206"/>
    <w:bookmarkStart w:id="207" w:name="ref-kondrashov1993a"/>
    <w:p>
      <w:pPr>
        <w:pStyle w:val="Bibliography"/>
      </w:pPr>
      <w:r>
        <w:t xml:space="preserve">Kondrashov, A.S. (1993). Classification of hypotheses on the advantage of amphimixis.</w:t>
      </w:r>
      <w:r>
        <w:t xml:space="preserve"> </w:t>
      </w:r>
      <w:r>
        <w:rPr>
          <w:iCs/>
          <w:i/>
        </w:rPr>
        <w:t xml:space="preserve">Journal of Heredity</w:t>
      </w:r>
      <w:r>
        <w:t xml:space="preserve">, 84, 372–387.</w:t>
      </w:r>
    </w:p>
    <w:bookmarkEnd w:id="207"/>
    <w:bookmarkStart w:id="208" w:name="ref-kuhn1970a"/>
    <w:p>
      <w:pPr>
        <w:pStyle w:val="Bibliography"/>
      </w:pPr>
      <w:r>
        <w:t xml:space="preserve">Kuhn, T.S. (1970).</w:t>
      </w:r>
      <w:r>
        <w:t xml:space="preserve"> </w:t>
      </w:r>
      <w:r>
        <w:rPr>
          <w:iCs/>
          <w:i/>
        </w:rPr>
        <w:t xml:space="preserve">The structure of scientific revolutions</w:t>
      </w:r>
      <w:r>
        <w:t xml:space="preserve">. 2nd edn. University of Chicago Press.</w:t>
      </w:r>
    </w:p>
    <w:bookmarkEnd w:id="208"/>
    <w:bookmarkStart w:id="209" w:name="ref-lehtonen2012a"/>
    <w:p>
      <w:pPr>
        <w:pStyle w:val="Bibliography"/>
      </w:pPr>
      <w:r>
        <w:t xml:space="preserve">Lehtonen, J., Jennions, M.D. &amp; Kokko, H. (2012). The many costs of sex.</w:t>
      </w:r>
      <w:r>
        <w:t xml:space="preserve"> </w:t>
      </w:r>
      <w:r>
        <w:rPr>
          <w:iCs/>
          <w:i/>
        </w:rPr>
        <w:t xml:space="preserve">Trends in Ecology &amp; Evolution</w:t>
      </w:r>
      <w:r>
        <w:t xml:space="preserve">, 27, 172–178.</w:t>
      </w:r>
    </w:p>
    <w:bookmarkEnd w:id="209"/>
    <w:bookmarkStart w:id="210" w:name="ref-levene1953a"/>
    <w:p>
      <w:pPr>
        <w:pStyle w:val="Bibliography"/>
      </w:pPr>
      <w:r>
        <w:t xml:space="preserve">Levene, H. (1953). Genetic equilibrium when more than one ecological niche is available.</w:t>
      </w:r>
      <w:r>
        <w:t xml:space="preserve"> </w:t>
      </w:r>
      <w:r>
        <w:rPr>
          <w:iCs/>
          <w:i/>
        </w:rPr>
        <w:t xml:space="preserve">American Naturalist</w:t>
      </w:r>
      <w:r>
        <w:t xml:space="preserve">, 87, 331–333.</w:t>
      </w:r>
    </w:p>
    <w:bookmarkEnd w:id="210"/>
    <w:bookmarkStart w:id="211" w:name="ref-levin1975a"/>
    <w:p>
      <w:pPr>
        <w:pStyle w:val="Bibliography"/>
      </w:pPr>
      <w:r>
        <w:t xml:space="preserve">Levin, D.A. (1975). Pest pressure and recombination systems in plants.</w:t>
      </w:r>
      <w:r>
        <w:t xml:space="preserve"> </w:t>
      </w:r>
      <w:r>
        <w:rPr>
          <w:iCs/>
          <w:i/>
        </w:rPr>
        <w:t xml:space="preserve">American Naturalist</w:t>
      </w:r>
      <w:r>
        <w:t xml:space="preserve">, 109, 437–451.</w:t>
      </w:r>
    </w:p>
    <w:bookmarkEnd w:id="211"/>
    <w:bookmarkStart w:id="212" w:name="ref-levins1966a"/>
    <w:p>
      <w:pPr>
        <w:pStyle w:val="Bibliography"/>
      </w:pPr>
      <w:r>
        <w:t xml:space="preserve">Levins, R. (1966). The strategy of model building in population biology.</w:t>
      </w:r>
      <w:r>
        <w:t xml:space="preserve"> </w:t>
      </w:r>
      <w:r>
        <w:rPr>
          <w:iCs/>
          <w:i/>
        </w:rPr>
        <w:t xml:space="preserve">American Scientist</w:t>
      </w:r>
      <w:r>
        <w:t xml:space="preserve">, 54, 421–431.</w:t>
      </w:r>
    </w:p>
    <w:bookmarkEnd w:id="212"/>
    <w:bookmarkStart w:id="213" w:name="ref-levinton1988a"/>
    <w:p>
      <w:pPr>
        <w:pStyle w:val="Bibliography"/>
      </w:pPr>
      <w:r>
        <w:t xml:space="preserve">Levinton, J. (1988).</w:t>
      </w:r>
      <w:r>
        <w:t xml:space="preserve"> </w:t>
      </w:r>
      <w:r>
        <w:rPr>
          <w:iCs/>
          <w:i/>
        </w:rPr>
        <w:t xml:space="preserve">Genetics, paleontology, and macroevolution</w:t>
      </w:r>
      <w:r>
        <w:t xml:space="preserve">. Cambridge University Press.</w:t>
      </w:r>
    </w:p>
    <w:bookmarkEnd w:id="213"/>
    <w:bookmarkStart w:id="215" w:name="ref-levri2000a"/>
    <w:p>
      <w:pPr>
        <w:pStyle w:val="Bibliography"/>
      </w:pPr>
      <w:r>
        <w:t xml:space="preserve">Levri, E.P. &amp; Fisher, L.M. (2000).</w:t>
      </w:r>
      <w:r>
        <w:t xml:space="preserve"> </w:t>
      </w:r>
      <w:hyperlink r:id="rId214">
        <w:r>
          <w:rPr>
            <w:rStyle w:val="Hyperlink"/>
          </w:rPr>
          <w:t xml:space="preserve">The effect of a trematode parasite (</w:t>
        </w:r>
        <w:r>
          <w:rPr>
            <w:rStyle w:val="Hyperlink"/>
            <w:iCs/>
            <w:i/>
          </w:rPr>
          <w:t xml:space="preserve">M</w:t>
        </w:r>
        <w:r>
          <w:rPr>
            <w:rStyle w:val="Hyperlink"/>
            <w:iCs/>
            <w:i/>
          </w:rPr>
          <w:t xml:space="preserve">icrophallus sp.</w:t>
        </w:r>
        <w:r>
          <w:rPr>
            <w:rStyle w:val="Hyperlink"/>
          </w:rPr>
          <w:t xml:space="preserve">)</w:t>
        </w:r>
        <w:r>
          <w:rPr>
            <w:rStyle w:val="Hyperlink"/>
          </w:rPr>
          <w:t xml:space="preserve"> </w:t>
        </w:r>
        <w:r>
          <w:rPr>
            <w:rStyle w:val="Hyperlink"/>
          </w:rPr>
          <w:t xml:space="preserve">o</w:t>
        </w:r>
        <w:r>
          <w:rPr>
            <w:rStyle w:val="Hyperlink"/>
          </w:rPr>
          <w:t xml:space="preserve">n the response of the freshwater snail</w:t>
        </w:r>
        <w:r>
          <w:rPr>
            <w:rStyle w:val="Hyperlink"/>
          </w:rPr>
          <w:t xml:space="preserve"> </w:t>
        </w:r>
        <w:r>
          <w:rPr>
            <w:rStyle w:val="Hyperlink"/>
            <w:iCs/>
            <w:i/>
          </w:rPr>
          <w:t xml:space="preserve">P</w:t>
        </w:r>
        <w:r>
          <w:rPr>
            <w:rStyle w:val="Hyperlink"/>
            <w:iCs/>
            <w:i/>
          </w:rPr>
          <w:t xml:space="preserve">otamopyrgus antipodarum</w:t>
        </w:r>
        <w:r>
          <w:rPr>
            <w:rStyle w:val="Hyperlink"/>
          </w:rPr>
          <w:t xml:space="preserve"> </w:t>
        </w:r>
        <w:r>
          <w:rPr>
            <w:rStyle w:val="Hyperlink"/>
          </w:rPr>
          <w:t xml:space="preserve">to light and gravity</w:t>
        </w:r>
      </w:hyperlink>
      <w:r>
        <w:t xml:space="preserve">.</w:t>
      </w:r>
      <w:r>
        <w:t xml:space="preserve"> </w:t>
      </w:r>
      <w:r>
        <w:rPr>
          <w:iCs/>
          <w:i/>
        </w:rPr>
        <w:t xml:space="preserve">Behaviour</w:t>
      </w:r>
      <w:r>
        <w:t xml:space="preserve">, 137, 1141–1151.</w:t>
      </w:r>
    </w:p>
    <w:bookmarkEnd w:id="215"/>
    <w:bookmarkStart w:id="216" w:name="ref-levri1996a"/>
    <w:p>
      <w:pPr>
        <w:pStyle w:val="Bibliography"/>
      </w:pPr>
      <w:r>
        <w:t xml:space="preserve">Levri, E.P. &amp; Lively, C.M. (1996). The effects of size, reproductive condition, and parasitism on foraging behaviour in a freshwater snail,</w:t>
      </w:r>
      <w:r>
        <w:t xml:space="preserve"> </w:t>
      </w:r>
      <w:r>
        <w:rPr>
          <w:iCs/>
          <w:i/>
        </w:rPr>
        <w:t xml:space="preserve">P</w:t>
      </w:r>
      <w:r>
        <w:rPr>
          <w:iCs/>
          <w:i/>
        </w:rPr>
        <w:t xml:space="preserve">otamopyrgus antipodarum</w:t>
      </w:r>
      <w:r>
        <w:t xml:space="preserve">.</w:t>
      </w:r>
      <w:r>
        <w:t xml:space="preserve"> </w:t>
      </w:r>
      <w:r>
        <w:rPr>
          <w:iCs/>
          <w:i/>
        </w:rPr>
        <w:t xml:space="preserve">Animal Behaviour</w:t>
      </w:r>
      <w:r>
        <w:t xml:space="preserve">, 51, 891–901.</w:t>
      </w:r>
    </w:p>
    <w:bookmarkEnd w:id="216"/>
    <w:bookmarkStart w:id="218" w:name="ref-lewontin1971a"/>
    <w:p>
      <w:pPr>
        <w:pStyle w:val="Bibliography"/>
      </w:pPr>
      <w:r>
        <w:t xml:space="preserve">Lewontin, R.C. (1971).</w:t>
      </w:r>
      <w:r>
        <w:t xml:space="preserve"> </w:t>
      </w:r>
      <w:hyperlink r:id="rId217">
        <w:r>
          <w:rPr>
            <w:rStyle w:val="Hyperlink"/>
          </w:rPr>
          <w:t xml:space="preserve">The effect of genetic linkage on the mean fitness of a population</w:t>
        </w:r>
      </w:hyperlink>
      <w:r>
        <w:t xml:space="preserve">.</w:t>
      </w:r>
      <w:r>
        <w:t xml:space="preserve"> </w:t>
      </w:r>
      <w:r>
        <w:rPr>
          <w:iCs/>
          <w:i/>
        </w:rPr>
        <w:t xml:space="preserve">Proceedings of the National Academy of Sciences of the United States of America</w:t>
      </w:r>
      <w:r>
        <w:t xml:space="preserve">, 68, 984–986.</w:t>
      </w:r>
    </w:p>
    <w:bookmarkEnd w:id="218"/>
    <w:bookmarkStart w:id="219" w:name="ref-lively1986a"/>
    <w:p>
      <w:pPr>
        <w:pStyle w:val="Bibliography"/>
      </w:pPr>
      <w:r>
        <w:t xml:space="preserve">Lively, C.M. (1986a). Canalization versus developmental conversion in a spatially variable environment.</w:t>
      </w:r>
      <w:r>
        <w:t xml:space="preserve"> </w:t>
      </w:r>
      <w:r>
        <w:rPr>
          <w:iCs/>
          <w:i/>
        </w:rPr>
        <w:t xml:space="preserve">American Naturalist</w:t>
      </w:r>
      <w:r>
        <w:t xml:space="preserve">, 128, 561–572.</w:t>
      </w:r>
    </w:p>
    <w:bookmarkEnd w:id="219"/>
    <w:bookmarkStart w:id="220" w:name="ref-lively1986b"/>
    <w:p>
      <w:pPr>
        <w:pStyle w:val="Bibliography"/>
      </w:pPr>
      <w:r>
        <w:t xml:space="preserve">Lively, C.M. (1986b). Competition, comparative life histories, and maintenance of shell dimorphism in a barnacle.</w:t>
      </w:r>
      <w:r>
        <w:t xml:space="preserve"> </w:t>
      </w:r>
      <w:r>
        <w:rPr>
          <w:iCs/>
          <w:i/>
        </w:rPr>
        <w:t xml:space="preserve">Ecology</w:t>
      </w:r>
      <w:r>
        <w:t xml:space="preserve">, 67, 858–864.</w:t>
      </w:r>
    </w:p>
    <w:bookmarkEnd w:id="220"/>
    <w:bookmarkStart w:id="222" w:name="ref-lively1986c"/>
    <w:p>
      <w:pPr>
        <w:pStyle w:val="Bibliography"/>
      </w:pPr>
      <w:r>
        <w:t xml:space="preserve">Lively, C.M. (1986c).</w:t>
      </w:r>
      <w:r>
        <w:t xml:space="preserve"> </w:t>
      </w:r>
      <w:hyperlink r:id="rId221">
        <w:r>
          <w:rPr>
            <w:rStyle w:val="Hyperlink"/>
          </w:rPr>
          <w:t xml:space="preserve">Predator-induced shell dimorphism in the acorn barnacle</w:t>
        </w:r>
        <w:r>
          <w:rPr>
            <w:rStyle w:val="Hyperlink"/>
          </w:rPr>
          <w:t xml:space="preserve"> </w:t>
        </w:r>
        <w:r>
          <w:rPr>
            <w:rStyle w:val="Hyperlink"/>
            <w:iCs/>
            <w:i/>
          </w:rPr>
          <w:t xml:space="preserve">C</w:t>
        </w:r>
        <w:r>
          <w:rPr>
            <w:rStyle w:val="Hyperlink"/>
            <w:iCs/>
            <w:i/>
          </w:rPr>
          <w:t xml:space="preserve">hthamalus anisopoma</w:t>
        </w:r>
      </w:hyperlink>
      <w:r>
        <w:t xml:space="preserve">.</w:t>
      </w:r>
      <w:r>
        <w:t xml:space="preserve"> </w:t>
      </w:r>
      <w:r>
        <w:rPr>
          <w:iCs/>
          <w:i/>
        </w:rPr>
        <w:t xml:space="preserve">Evolution</w:t>
      </w:r>
      <w:r>
        <w:t xml:space="preserve">, 40, 232–242.</w:t>
      </w:r>
    </w:p>
    <w:bookmarkEnd w:id="222"/>
    <w:bookmarkStart w:id="223" w:name="ref-lively1987a"/>
    <w:p>
      <w:pPr>
        <w:pStyle w:val="Bibliography"/>
      </w:pPr>
      <w:r>
        <w:t xml:space="preserve">Lively, C.M. (1987). Evidence from a</w:t>
      </w:r>
      <w:r>
        <w:t xml:space="preserve"> </w:t>
      </w:r>
      <w:r>
        <w:t xml:space="preserve">New Zealand</w:t>
      </w:r>
      <w:r>
        <w:t xml:space="preserve"> </w:t>
      </w:r>
      <w:r>
        <w:t xml:space="preserve">snail for the maintenance of sex by parasitism.</w:t>
      </w:r>
      <w:r>
        <w:t xml:space="preserve"> </w:t>
      </w:r>
      <w:r>
        <w:rPr>
          <w:iCs/>
          <w:i/>
        </w:rPr>
        <w:t xml:space="preserve">Nature</w:t>
      </w:r>
      <w:r>
        <w:t xml:space="preserve">, 328, 519–521.</w:t>
      </w:r>
    </w:p>
    <w:bookmarkEnd w:id="223"/>
    <w:bookmarkStart w:id="224" w:name="ref-lively1992a"/>
    <w:p>
      <w:pPr>
        <w:pStyle w:val="Bibliography"/>
      </w:pPr>
      <w:r>
        <w:t xml:space="preserve">Lively, C.M. (1992). Parthenogenesis in a freshwater snail: Reproductive assurance versus parasitic release.</w:t>
      </w:r>
      <w:r>
        <w:t xml:space="preserve"> </w:t>
      </w:r>
      <w:r>
        <w:rPr>
          <w:iCs/>
          <w:i/>
        </w:rPr>
        <w:t xml:space="preserve">Evolution</w:t>
      </w:r>
      <w:r>
        <w:t xml:space="preserve">, 46, 907–913.</w:t>
      </w:r>
    </w:p>
    <w:bookmarkEnd w:id="224"/>
    <w:bookmarkStart w:id="225" w:name="ref-lively1996a"/>
    <w:p>
      <w:pPr>
        <w:pStyle w:val="Bibliography"/>
      </w:pPr>
      <w:r>
        <w:t xml:space="preserve">Lively, C.M. (1996). Host-parasite coevolution and sex.</w:t>
      </w:r>
      <w:r>
        <w:t xml:space="preserve"> </w:t>
      </w:r>
      <w:r>
        <w:rPr>
          <w:iCs/>
          <w:i/>
        </w:rPr>
        <w:t xml:space="preserve">Bioscience</w:t>
      </w:r>
      <w:r>
        <w:t xml:space="preserve">, 46, 107–109.</w:t>
      </w:r>
    </w:p>
    <w:bookmarkEnd w:id="225"/>
    <w:bookmarkStart w:id="226" w:name="ref-lively1999b"/>
    <w:p>
      <w:pPr>
        <w:pStyle w:val="Bibliography"/>
      </w:pPr>
      <w:r>
        <w:t xml:space="preserve">Lively, C.M. (1999). Developmental strategies in spatially variable environments: Barnacle shell dimorphism and strategic models of selection. In:</w:t>
      </w:r>
      <w:r>
        <w:t xml:space="preserve"> </w:t>
      </w:r>
      <w:r>
        <w:rPr>
          <w:iCs/>
          <w:i/>
        </w:rPr>
        <w:t xml:space="preserve">The ecology and evolution of inducible defenses</w:t>
      </w:r>
      <w:r>
        <w:t xml:space="preserve"> </w:t>
      </w:r>
      <w:r>
        <w:t xml:space="preserve">(eds. Tollrian, R. &amp; Harvell, C.D.). Princeton University Press, pp. 245–258.</w:t>
      </w:r>
    </w:p>
    <w:bookmarkEnd w:id="226"/>
    <w:bookmarkStart w:id="227" w:name="ref-lively2001a"/>
    <w:p>
      <w:pPr>
        <w:pStyle w:val="Bibliography"/>
      </w:pPr>
      <w:r>
        <w:t xml:space="preserve">Lively, C.M. (2001). Trematode infection and the distribution and dynamics of parthenogenetic snail populations.</w:t>
      </w:r>
      <w:r>
        <w:t xml:space="preserve"> </w:t>
      </w:r>
      <w:r>
        <w:rPr>
          <w:iCs/>
          <w:i/>
        </w:rPr>
        <w:t xml:space="preserve">Parasitology</w:t>
      </w:r>
      <w:r>
        <w:t xml:space="preserve">, 123, S19–S26.</w:t>
      </w:r>
    </w:p>
    <w:bookmarkEnd w:id="227"/>
    <w:bookmarkStart w:id="228" w:name="ref-lively2006a"/>
    <w:p>
      <w:pPr>
        <w:pStyle w:val="Bibliography"/>
      </w:pPr>
      <w:r>
        <w:t xml:space="preserve">Lively, C.M. (2006). The ecology of virulence.</w:t>
      </w:r>
      <w:r>
        <w:t xml:space="preserve"> </w:t>
      </w:r>
      <w:r>
        <w:rPr>
          <w:iCs/>
          <w:i/>
        </w:rPr>
        <w:t xml:space="preserve">Ecology Letters</w:t>
      </w:r>
      <w:r>
        <w:t xml:space="preserve">, 9, 1089–1095.</w:t>
      </w:r>
    </w:p>
    <w:bookmarkEnd w:id="228"/>
    <w:bookmarkStart w:id="229" w:name="ref-lively2009a"/>
    <w:p>
      <w:pPr>
        <w:pStyle w:val="Bibliography"/>
      </w:pPr>
      <w:r>
        <w:t xml:space="preserve">Lively, C.M. (2009). The maintenance of sex: Host-parasite coevolution with density-dependent virulence.</w:t>
      </w:r>
      <w:r>
        <w:t xml:space="preserve"> </w:t>
      </w:r>
      <w:r>
        <w:rPr>
          <w:iCs/>
          <w:i/>
        </w:rPr>
        <w:t xml:space="preserve">Journal of Evolutionary Biology</w:t>
      </w:r>
      <w:r>
        <w:t xml:space="preserve">, 22, 2086–2093.</w:t>
      </w:r>
    </w:p>
    <w:bookmarkEnd w:id="229"/>
    <w:bookmarkStart w:id="230" w:name="ref-lively2000a"/>
    <w:p>
      <w:pPr>
        <w:pStyle w:val="Bibliography"/>
      </w:pPr>
      <w:r>
        <w:t xml:space="preserve">Lively, C.M., Hazel, W.N., Schellenberger, M.J. &amp; Michelson, K.S. (2000). Predator-induced defense: Variation for inducibility in an intertidal barnacle.</w:t>
      </w:r>
      <w:r>
        <w:t xml:space="preserve"> </w:t>
      </w:r>
      <w:r>
        <w:rPr>
          <w:iCs/>
          <w:i/>
        </w:rPr>
        <w:t xml:space="preserve">Ecology</w:t>
      </w:r>
      <w:r>
        <w:t xml:space="preserve">, 81, 1240–1247.</w:t>
      </w:r>
    </w:p>
    <w:bookmarkEnd w:id="230"/>
    <w:bookmarkStart w:id="232" w:name="ref-lively1994b"/>
    <w:p>
      <w:pPr>
        <w:pStyle w:val="Bibliography"/>
      </w:pPr>
      <w:r>
        <w:t xml:space="preserve">Lively, C.M. &amp; Johnson, S.G. (1994).</w:t>
      </w:r>
      <w:r>
        <w:t xml:space="preserve"> </w:t>
      </w:r>
      <w:hyperlink r:id="rId231">
        <w:r>
          <w:rPr>
            <w:rStyle w:val="Hyperlink"/>
          </w:rPr>
          <w:t xml:space="preserve">Brooding and the evolution of parthenogenesis: Strategy models and evidence from aquatic invertebrates</w:t>
        </w:r>
      </w:hyperlink>
      <w:r>
        <w:t xml:space="preserve">.</w:t>
      </w:r>
      <w:r>
        <w:t xml:space="preserve"> </w:t>
      </w:r>
      <w:r>
        <w:rPr>
          <w:iCs/>
          <w:i/>
        </w:rPr>
        <w:t xml:space="preserve">Proceedings of the Royal Society of London. Series B: Biological Sciences</w:t>
      </w:r>
      <w:r>
        <w:t xml:space="preserve">, 256, 89–95.</w:t>
      </w:r>
    </w:p>
    <w:bookmarkEnd w:id="232"/>
    <w:bookmarkStart w:id="234" w:name="ref-lively1995a"/>
    <w:p>
      <w:pPr>
        <w:pStyle w:val="Bibliography"/>
      </w:pPr>
      <w:r>
        <w:t xml:space="preserve">Lively, C.M., Johnson, S.G., Delph, L.F. &amp; Clay, K. (1995).</w:t>
      </w:r>
      <w:r>
        <w:t xml:space="preserve"> </w:t>
      </w:r>
      <w:hyperlink r:id="rId233">
        <w:r>
          <w:rPr>
            <w:rStyle w:val="Hyperlink"/>
          </w:rPr>
          <w:t xml:space="preserve">Thinning reduces the effect of rust infection on jewelweed (</w:t>
        </w:r>
        <w:r>
          <w:rPr>
            <w:rStyle w:val="Hyperlink"/>
            <w:iCs/>
            <w:i/>
          </w:rPr>
          <w:t xml:space="preserve">I</w:t>
        </w:r>
        <w:r>
          <w:rPr>
            <w:rStyle w:val="Hyperlink"/>
            <w:iCs/>
            <w:i/>
          </w:rPr>
          <w:t xml:space="preserve">mpatiens capensis</w:t>
        </w:r>
        <w:r>
          <w:rPr>
            <w:rStyle w:val="Hyperlink"/>
          </w:rPr>
          <w:t xml:space="preserve">)</w:t>
        </w:r>
      </w:hyperlink>
      <w:r>
        <w:t xml:space="preserve">.</w:t>
      </w:r>
      <w:r>
        <w:t xml:space="preserve"> </w:t>
      </w:r>
      <w:r>
        <w:rPr>
          <w:iCs/>
          <w:i/>
        </w:rPr>
        <w:t xml:space="preserve">Ecology</w:t>
      </w:r>
      <w:r>
        <w:t xml:space="preserve">, 76, 1859–1862.</w:t>
      </w:r>
    </w:p>
    <w:bookmarkEnd w:id="234"/>
    <w:bookmarkStart w:id="235" w:name="ref-lively2002a"/>
    <w:p>
      <w:pPr>
        <w:pStyle w:val="Bibliography"/>
      </w:pPr>
      <w:r>
        <w:t xml:space="preserve">Lively, C.M. &amp; Jokela, J. (2002). Temporal and spatial distributions of parasites and sex in a freshwater snail.</w:t>
      </w:r>
      <w:r>
        <w:t xml:space="preserve"> </w:t>
      </w:r>
      <w:r>
        <w:rPr>
          <w:iCs/>
          <w:i/>
        </w:rPr>
        <w:t xml:space="preserve">Evolutionary Ecology Research</w:t>
      </w:r>
      <w:r>
        <w:t xml:space="preserve">, 4, 219–226.</w:t>
      </w:r>
    </w:p>
    <w:bookmarkEnd w:id="235"/>
    <w:bookmarkStart w:id="236" w:name="ref-lively1990b"/>
    <w:p>
      <w:pPr>
        <w:pStyle w:val="Bibliography"/>
      </w:pPr>
      <w:r>
        <w:t xml:space="preserve">Lively, C.M. &amp; Lloyd, D.G. (1990). The cost of biparental sex under individual selection.</w:t>
      </w:r>
      <w:r>
        <w:t xml:space="preserve"> </w:t>
      </w:r>
      <w:r>
        <w:rPr>
          <w:iCs/>
          <w:i/>
        </w:rPr>
        <w:t xml:space="preserve">American Naturalist</w:t>
      </w:r>
      <w:r>
        <w:t xml:space="preserve">, 135, 489–500.</w:t>
      </w:r>
    </w:p>
    <w:bookmarkEnd w:id="236"/>
    <w:bookmarkStart w:id="238" w:name="ref-lively2021a"/>
    <w:p>
      <w:pPr>
        <w:pStyle w:val="Bibliography"/>
      </w:pPr>
      <w:r>
        <w:t xml:space="preserve">Lively, C.M., Xu, J. &amp; Ben-Ami, F. (2021).</w:t>
      </w:r>
      <w:r>
        <w:t xml:space="preserve"> </w:t>
      </w:r>
      <w:hyperlink r:id="rId237">
        <w:r>
          <w:rPr>
            <w:rStyle w:val="Hyperlink"/>
          </w:rPr>
          <w:t xml:space="preserve">Causation without correlation: Parasite-mediated frequency-dependent selection and infection prevalence</w:t>
        </w:r>
      </w:hyperlink>
      <w:r>
        <w:t xml:space="preserve">.</w:t>
      </w:r>
      <w:r>
        <w:t xml:space="preserve"> </w:t>
      </w:r>
      <w:r>
        <w:rPr>
          <w:iCs/>
          <w:i/>
        </w:rPr>
        <w:t xml:space="preserve">Biology Letters</w:t>
      </w:r>
      <w:r>
        <w:t xml:space="preserve">, 17, 20210321.</w:t>
      </w:r>
    </w:p>
    <w:bookmarkEnd w:id="238"/>
    <w:bookmarkStart w:id="239" w:name="ref-lloyd1980a"/>
    <w:p>
      <w:pPr>
        <w:pStyle w:val="Bibliography"/>
      </w:pPr>
      <w:r>
        <w:t xml:space="preserve">Lloyd, D.G. (1980). Benefits and handicaps of sexual reproduction.</w:t>
      </w:r>
      <w:r>
        <w:t xml:space="preserve"> </w:t>
      </w:r>
      <w:r>
        <w:rPr>
          <w:iCs/>
          <w:i/>
        </w:rPr>
        <w:t xml:space="preserve">Evolutionary Biology</w:t>
      </w:r>
      <w:r>
        <w:t xml:space="preserve">, 13, 69–111.</w:t>
      </w:r>
    </w:p>
    <w:bookmarkEnd w:id="239"/>
    <w:bookmarkStart w:id="240" w:name="ref-lloyd1984a"/>
    <w:p>
      <w:pPr>
        <w:pStyle w:val="Bibliography"/>
      </w:pPr>
      <w:r>
        <w:t xml:space="preserve">Lloyd, D.G. (1984). Variation strategies of plants in heterogeneous environments.</w:t>
      </w:r>
      <w:r>
        <w:t xml:space="preserve"> </w:t>
      </w:r>
      <w:r>
        <w:rPr>
          <w:iCs/>
          <w:i/>
        </w:rPr>
        <w:t xml:space="preserve">Biological Journal of the Linnean Society</w:t>
      </w:r>
      <w:r>
        <w:t xml:space="preserve">, 21, 357–385.</w:t>
      </w:r>
    </w:p>
    <w:bookmarkEnd w:id="240"/>
    <w:bookmarkStart w:id="241" w:name="ref-may1979a"/>
    <w:p>
      <w:pPr>
        <w:pStyle w:val="Bibliography"/>
      </w:pPr>
      <w:r>
        <w:t xml:space="preserve">May, R.M. &amp; Anderson, R.M. (1979). Population biology of infectious diseases: Part II.</w:t>
      </w:r>
      <w:r>
        <w:t xml:space="preserve"> </w:t>
      </w:r>
      <w:r>
        <w:rPr>
          <w:iCs/>
          <w:i/>
        </w:rPr>
        <w:t xml:space="preserve">Nature</w:t>
      </w:r>
      <w:r>
        <w:t xml:space="preserve">, 280, 455–461.</w:t>
      </w:r>
    </w:p>
    <w:bookmarkEnd w:id="241"/>
    <w:bookmarkStart w:id="243" w:name="ref-may1983a"/>
    <w:p>
      <w:pPr>
        <w:pStyle w:val="Bibliography"/>
      </w:pPr>
      <w:r>
        <w:t xml:space="preserve">May, R.M. &amp; Anderson, R.M. (1983).</w:t>
      </w:r>
      <w:r>
        <w:t xml:space="preserve"> </w:t>
      </w:r>
      <w:hyperlink r:id="rId242">
        <w:r>
          <w:rPr>
            <w:rStyle w:val="Hyperlink"/>
          </w:rPr>
          <w:t xml:space="preserve">Epidemiology and genetics in the coevolution of parasites and hosts</w:t>
        </w:r>
      </w:hyperlink>
      <w:r>
        <w:t xml:space="preserve">.</w:t>
      </w:r>
      <w:r>
        <w:t xml:space="preserve"> </w:t>
      </w:r>
      <w:r>
        <w:rPr>
          <w:iCs/>
          <w:i/>
        </w:rPr>
        <w:t xml:space="preserve">Proceedings of the Royal Society of London. Series B. Biological Sciences</w:t>
      </w:r>
      <w:r>
        <w:t xml:space="preserve">, 219, 281–313.</w:t>
      </w:r>
    </w:p>
    <w:bookmarkEnd w:id="243"/>
    <w:bookmarkStart w:id="244" w:name="ref-maynard1971a"/>
    <w:p>
      <w:pPr>
        <w:pStyle w:val="Bibliography"/>
      </w:pPr>
      <w:r>
        <w:t xml:space="preserve">Maynard Smith, J. (1971). What use is sex?</w:t>
      </w:r>
      <w:r>
        <w:t xml:space="preserve"> </w:t>
      </w:r>
      <w:r>
        <w:rPr>
          <w:iCs/>
          <w:i/>
        </w:rPr>
        <w:t xml:space="preserve">Journal of Theoretical Biology</w:t>
      </w:r>
      <w:r>
        <w:t xml:space="preserve">, 30, 319–335.</w:t>
      </w:r>
    </w:p>
    <w:bookmarkEnd w:id="244"/>
    <w:bookmarkStart w:id="245" w:name="ref-maynard1976a"/>
    <w:p>
      <w:pPr>
        <w:pStyle w:val="Bibliography"/>
      </w:pPr>
      <w:r>
        <w:t xml:space="preserve">Maynard Smith, J. (1976). A short-term advantage for sex and recombination through sib-competition.</w:t>
      </w:r>
      <w:r>
        <w:t xml:space="preserve"> </w:t>
      </w:r>
      <w:r>
        <w:rPr>
          <w:iCs/>
          <w:i/>
        </w:rPr>
        <w:t xml:space="preserve">Journal of Theoretical Biology</w:t>
      </w:r>
      <w:r>
        <w:t xml:space="preserve">, 63, 245–258.</w:t>
      </w:r>
    </w:p>
    <w:bookmarkEnd w:id="245"/>
    <w:bookmarkStart w:id="246" w:name="ref-maynard1978a"/>
    <w:p>
      <w:pPr>
        <w:pStyle w:val="Bibliography"/>
      </w:pPr>
      <w:r>
        <w:t xml:space="preserve">Maynard Smith, J. (1978).</w:t>
      </w:r>
      <w:r>
        <w:t xml:space="preserve"> </w:t>
      </w:r>
      <w:r>
        <w:rPr>
          <w:iCs/>
          <w:i/>
        </w:rPr>
        <w:t xml:space="preserve">The evolution of sex</w:t>
      </w:r>
      <w:r>
        <w:t xml:space="preserve">. Cambridge University Press.</w:t>
      </w:r>
    </w:p>
    <w:bookmarkEnd w:id="246"/>
    <w:bookmarkStart w:id="248" w:name="ref-maynard1980a"/>
    <w:p>
      <w:pPr>
        <w:pStyle w:val="Bibliography"/>
      </w:pPr>
      <w:r>
        <w:t xml:space="preserve">Maynard Smith, J. &amp; Hoekstra, R. (1980).</w:t>
      </w:r>
      <w:r>
        <w:t xml:space="preserve"> </w:t>
      </w:r>
      <w:hyperlink r:id="rId247">
        <w:r>
          <w:rPr>
            <w:rStyle w:val="Hyperlink"/>
          </w:rPr>
          <w:t xml:space="preserve">Polymorphism in a varied environment: How robust are the models?</w:t>
        </w:r>
      </w:hyperlink>
      <w:r>
        <w:t xml:space="preserve"> </w:t>
      </w:r>
      <w:r>
        <w:rPr>
          <w:iCs/>
          <w:i/>
        </w:rPr>
        <w:t xml:space="preserve">Genetics Research</w:t>
      </w:r>
      <w:r>
        <w:t xml:space="preserve">, 35, 45–57.</w:t>
      </w:r>
    </w:p>
    <w:bookmarkEnd w:id="248"/>
    <w:bookmarkStart w:id="249" w:name="ref-meirmans2009a"/>
    <w:p>
      <w:pPr>
        <w:pStyle w:val="Bibliography"/>
      </w:pPr>
      <w:r>
        <w:t xml:space="preserve">Meirmans, S. (2009). The evolution of the problem of sex. In:</w:t>
      </w:r>
      <w:r>
        <w:t xml:space="preserve"> </w:t>
      </w:r>
      <w:r>
        <w:rPr>
          <w:iCs/>
          <w:i/>
        </w:rPr>
        <w:t xml:space="preserve">Lost sex: The evolutionary biology of parthenogenesis</w:t>
      </w:r>
      <w:r>
        <w:t xml:space="preserve"> </w:t>
      </w:r>
      <w:r>
        <w:t xml:space="preserve">(eds. Schön, I., Martens, K. &amp; Dijk, P. van). Springer, London, pp. 21–46.</w:t>
      </w:r>
    </w:p>
    <w:bookmarkEnd w:id="249"/>
    <w:bookmarkStart w:id="250" w:name="ref-negovetic2001a"/>
    <w:p>
      <w:pPr>
        <w:pStyle w:val="Bibliography"/>
      </w:pPr>
      <w:r>
        <w:t xml:space="preserve">Negovetic, S. &amp; Jokela, J. (2001). Life history variation, phenotypic plasticity and maintenance of subpopulation structure in a freshwater snail.</w:t>
      </w:r>
      <w:r>
        <w:t xml:space="preserve"> </w:t>
      </w:r>
      <w:r>
        <w:rPr>
          <w:iCs/>
          <w:i/>
        </w:rPr>
        <w:t xml:space="preserve">Ecology</w:t>
      </w:r>
      <w:r>
        <w:t xml:space="preserve">, 82, 2805–2815.</w:t>
      </w:r>
    </w:p>
    <w:bookmarkEnd w:id="250"/>
    <w:bookmarkStart w:id="251" w:name="ref-otto2021a"/>
    <w:p>
      <w:pPr>
        <w:pStyle w:val="Bibliography"/>
      </w:pPr>
      <w:r>
        <w:t xml:space="preserve">Otto, S.P. (2021). Selective interference and the evolution of sex.</w:t>
      </w:r>
      <w:r>
        <w:t xml:space="preserve"> </w:t>
      </w:r>
      <w:r>
        <w:rPr>
          <w:iCs/>
          <w:i/>
        </w:rPr>
        <w:t xml:space="preserve">Journal of Heredity</w:t>
      </w:r>
      <w:r>
        <w:t xml:space="preserve">, 112, 9–18.</w:t>
      </w:r>
    </w:p>
    <w:bookmarkEnd w:id="251"/>
    <w:bookmarkStart w:id="252" w:name="ref-peters1999a"/>
    <w:p>
      <w:pPr>
        <w:pStyle w:val="Bibliography"/>
      </w:pPr>
      <w:r>
        <w:t xml:space="preserve">Peters, A.D. &amp; Lively, C.M. (1999). The</w:t>
      </w:r>
      <w:r>
        <w:t xml:space="preserve"> </w:t>
      </w:r>
      <w:r>
        <w:t xml:space="preserve">Red Queen</w:t>
      </w:r>
      <w:r>
        <w:t xml:space="preserve"> </w:t>
      </w:r>
      <w:r>
        <w:t xml:space="preserve">and fluctuating epistasis: A population genetic analysis of antagonistic coevolution.</w:t>
      </w:r>
      <w:r>
        <w:t xml:space="preserve"> </w:t>
      </w:r>
      <w:r>
        <w:rPr>
          <w:iCs/>
          <w:i/>
        </w:rPr>
        <w:t xml:space="preserve">American Naturalist</w:t>
      </w:r>
      <w:r>
        <w:t xml:space="preserve">, 154, 393–405.</w:t>
      </w:r>
    </w:p>
    <w:bookmarkEnd w:id="252"/>
    <w:bookmarkStart w:id="253" w:name="ref-peters2007a"/>
    <w:p>
      <w:pPr>
        <w:pStyle w:val="Bibliography"/>
      </w:pPr>
      <w:r>
        <w:t xml:space="preserve">Peters, A.D. &amp; Lively, C.M. (2007). Short- and long-term benefits and detriments to recombination under antagonistic coevolution.</w:t>
      </w:r>
      <w:r>
        <w:t xml:space="preserve"> </w:t>
      </w:r>
      <w:r>
        <w:rPr>
          <w:iCs/>
          <w:i/>
        </w:rPr>
        <w:t xml:space="preserve">Journal of Evolutionary Biology</w:t>
      </w:r>
      <w:r>
        <w:t xml:space="preserve">, 20, 1206–1217.</w:t>
      </w:r>
    </w:p>
    <w:bookmarkEnd w:id="253"/>
    <w:bookmarkStart w:id="254" w:name="ref-philippi1989a"/>
    <w:p>
      <w:pPr>
        <w:pStyle w:val="Bibliography"/>
      </w:pPr>
      <w:r>
        <w:t xml:space="preserve">Philippi, T. &amp; Seger, J. (1989). Hedging one’s evolutionary bets, revisited.</w:t>
      </w:r>
      <w:r>
        <w:t xml:space="preserve"> </w:t>
      </w:r>
      <w:r>
        <w:rPr>
          <w:iCs/>
          <w:i/>
        </w:rPr>
        <w:t xml:space="preserve">Trends in Ecology &amp; Evolution</w:t>
      </w:r>
      <w:r>
        <w:t xml:space="preserve">, 4, 41–44.</w:t>
      </w:r>
    </w:p>
    <w:bookmarkEnd w:id="254"/>
    <w:bookmarkStart w:id="256" w:name="ref-phillips1990a"/>
    <w:p>
      <w:pPr>
        <w:pStyle w:val="Bibliography"/>
      </w:pPr>
      <w:r>
        <w:t xml:space="preserve">Phillips, N.R. &amp; Lambert, D.M. (1990).</w:t>
      </w:r>
      <w:r>
        <w:t xml:space="preserve"> </w:t>
      </w:r>
      <w:hyperlink r:id="rId255">
        <w:r>
          <w:rPr>
            <w:rStyle w:val="Hyperlink"/>
          </w:rPr>
          <w:t xml:space="preserve">A cladistic analysis of species of the molluscan genus</w:t>
        </w:r>
        <w:r>
          <w:rPr>
            <w:rStyle w:val="Hyperlink"/>
          </w:rPr>
          <w:t xml:space="preserve"> </w:t>
        </w:r>
        <w:r>
          <w:rPr>
            <w:rStyle w:val="Hyperlink"/>
            <w:iCs/>
            <w:i/>
          </w:rPr>
          <w:t xml:space="preserve">P</w:t>
        </w:r>
        <w:r>
          <w:rPr>
            <w:rStyle w:val="Hyperlink"/>
            <w:iCs/>
            <w:i/>
          </w:rPr>
          <w:t xml:space="preserve">otamopyrgus</w:t>
        </w:r>
        <w:r>
          <w:rPr>
            <w:rStyle w:val="Hyperlink"/>
          </w:rPr>
          <w:t xml:space="preserve"> </w:t>
        </w:r>
        <w:r>
          <w:rPr>
            <w:rStyle w:val="Hyperlink"/>
          </w:rPr>
          <w:t xml:space="preserve">based on allozyme data</w:t>
        </w:r>
      </w:hyperlink>
      <w:r>
        <w:t xml:space="preserve">.</w:t>
      </w:r>
      <w:r>
        <w:t xml:space="preserve"> </w:t>
      </w:r>
      <w:r>
        <w:rPr>
          <w:iCs/>
          <w:i/>
        </w:rPr>
        <w:t xml:space="preserve">New Zealand Journal of Zoology</w:t>
      </w:r>
      <w:r>
        <w:t xml:space="preserve">, 17, 257–263.</w:t>
      </w:r>
    </w:p>
    <w:bookmarkEnd w:id="256"/>
    <w:bookmarkStart w:id="257" w:name="ref-platt1964a"/>
    <w:p>
      <w:pPr>
        <w:pStyle w:val="Bibliography"/>
      </w:pPr>
      <w:r>
        <w:t xml:space="preserve">Platt, J.R. (1964). Strong inference.</w:t>
      </w:r>
      <w:r>
        <w:t xml:space="preserve"> </w:t>
      </w:r>
      <w:r>
        <w:rPr>
          <w:iCs/>
          <w:i/>
        </w:rPr>
        <w:t xml:space="preserve">Science</w:t>
      </w:r>
      <w:r>
        <w:t xml:space="preserve">, 146, 347–353.</w:t>
      </w:r>
    </w:p>
    <w:bookmarkEnd w:id="257"/>
    <w:bookmarkStart w:id="258" w:name="ref-popper1959a"/>
    <w:p>
      <w:pPr>
        <w:pStyle w:val="Bibliography"/>
      </w:pPr>
      <w:r>
        <w:t xml:space="preserve">Popper, K. (1959).</w:t>
      </w:r>
      <w:r>
        <w:t xml:space="preserve"> </w:t>
      </w:r>
      <w:r>
        <w:rPr>
          <w:iCs/>
          <w:i/>
        </w:rPr>
        <w:t xml:space="preserve">The logic of scientific discovery</w:t>
      </w:r>
      <w:r>
        <w:t xml:space="preserve">. Hutchinson &amp; Company, London.</w:t>
      </w:r>
    </w:p>
    <w:bookmarkEnd w:id="258"/>
    <w:bookmarkStart w:id="259" w:name="ref-prout1968a"/>
    <w:p>
      <w:pPr>
        <w:pStyle w:val="Bibliography"/>
      </w:pPr>
      <w:r>
        <w:t xml:space="preserve">Prout, T. (1968). Sufficient conditions for multiple niche polymorphism.</w:t>
      </w:r>
      <w:r>
        <w:t xml:space="preserve"> </w:t>
      </w:r>
      <w:r>
        <w:rPr>
          <w:iCs/>
          <w:i/>
        </w:rPr>
        <w:t xml:space="preserve">The American Naturalist</w:t>
      </w:r>
      <w:r>
        <w:t xml:space="preserve">, 102, 493–496.</w:t>
      </w:r>
    </w:p>
    <w:bookmarkEnd w:id="259"/>
    <w:bookmarkStart w:id="260" w:name="ref-salathe2008a"/>
    <w:p>
      <w:pPr>
        <w:pStyle w:val="Bibliography"/>
      </w:pPr>
      <w:r>
        <w:t xml:space="preserve">Salathe, M., Kouyos, R.D., Regoes, R.R. &amp; Bonhoeffer, S. (2008). Rapid parasite adaptation drives selection for high recombination rates.</w:t>
      </w:r>
      <w:r>
        <w:t xml:space="preserve"> </w:t>
      </w:r>
      <w:r>
        <w:rPr>
          <w:iCs/>
          <w:i/>
        </w:rPr>
        <w:t xml:space="preserve">Evolution</w:t>
      </w:r>
      <w:r>
        <w:t xml:space="preserve">, 62, 295–300.</w:t>
      </w:r>
    </w:p>
    <w:bookmarkEnd w:id="260"/>
    <w:bookmarkStart w:id="261" w:name="ref-schmid-hempel2002a"/>
    <w:p>
      <w:pPr>
        <w:pStyle w:val="Bibliography"/>
      </w:pPr>
      <w:r>
        <w:t xml:space="preserve">Schmid-Hempel, P. &amp; Jokela, J. (2002). Socially structured populations and evolution of recombination under antagonistic coevolution.</w:t>
      </w:r>
      <w:r>
        <w:t xml:space="preserve"> </w:t>
      </w:r>
      <w:r>
        <w:rPr>
          <w:iCs/>
          <w:i/>
        </w:rPr>
        <w:t xml:space="preserve">American Naturalist</w:t>
      </w:r>
      <w:r>
        <w:t xml:space="preserve">, 160, 403–408.</w:t>
      </w:r>
    </w:p>
    <w:bookmarkEnd w:id="261"/>
    <w:bookmarkStart w:id="262" w:name="ref-siebold1856a"/>
    <w:p>
      <w:pPr>
        <w:pStyle w:val="Bibliography"/>
      </w:pPr>
      <w:r>
        <w:t xml:space="preserve">Siebold, C.T.E. von. (1856).</w:t>
      </w:r>
      <w:r>
        <w:t xml:space="preserve"> </w:t>
      </w:r>
      <w:r>
        <w:rPr>
          <w:iCs/>
          <w:i/>
        </w:rPr>
        <w:t xml:space="preserve">Wahre parthenogenesis bei schmetterlingen und bienen. Ein beitrag zur fortpflanzungsgeschichte der thiere</w:t>
      </w:r>
      <w:r>
        <w:t xml:space="preserve">. William Engelmann, Leipzig.</w:t>
      </w:r>
    </w:p>
    <w:bookmarkEnd w:id="262"/>
    <w:bookmarkStart w:id="263" w:name="ref-soper2013a"/>
    <w:p>
      <w:pPr>
        <w:pStyle w:val="Bibliography"/>
      </w:pPr>
      <w:r>
        <w:t xml:space="preserve">Soper, D.M., Neiman, M., Savytskyy, O.P., Zolan, M.E. &amp; Lively, C.M. (2013). Spermatozoa production by triploid males in the</w:t>
      </w:r>
      <w:r>
        <w:t xml:space="preserve"> </w:t>
      </w:r>
      <w:r>
        <w:t xml:space="preserve">New Zealand</w:t>
      </w:r>
      <w:r>
        <w:t xml:space="preserve"> </w:t>
      </w:r>
      <w:r>
        <w:t xml:space="preserve">freshwater snail</w:t>
      </w:r>
      <w:r>
        <w:t xml:space="preserve"> </w:t>
      </w:r>
      <w:r>
        <w:rPr>
          <w:iCs/>
          <w:i/>
        </w:rPr>
        <w:t xml:space="preserve">P</w:t>
      </w:r>
      <w:r>
        <w:rPr>
          <w:iCs/>
          <w:i/>
        </w:rPr>
        <w:t xml:space="preserve">otamopyrgus antipodarum</w:t>
      </w:r>
      <w:r>
        <w:t xml:space="preserve">.</w:t>
      </w:r>
      <w:r>
        <w:t xml:space="preserve"> </w:t>
      </w:r>
      <w:r>
        <w:rPr>
          <w:iCs/>
          <w:i/>
        </w:rPr>
        <w:t xml:space="preserve">Biological Journal of the Linnean Society</w:t>
      </w:r>
      <w:r>
        <w:t xml:space="preserve">, 110, 227–234.</w:t>
      </w:r>
    </w:p>
    <w:bookmarkEnd w:id="263"/>
    <w:bookmarkStart w:id="264" w:name="ref-stearns2000a"/>
    <w:p>
      <w:pPr>
        <w:pStyle w:val="Bibliography"/>
      </w:pPr>
      <w:r>
        <w:t xml:space="preserve">Stearns, S.C. (2000).</w:t>
      </w:r>
      <w:r>
        <w:t xml:space="preserve"> </w:t>
      </w:r>
      <w:r>
        <w:t xml:space="preserve">Daniel Bernoulli</w:t>
      </w:r>
      <w:r>
        <w:t xml:space="preserve"> </w:t>
      </w:r>
      <w:r>
        <w:t xml:space="preserve">(1738): Evolution and economics under risk.</w:t>
      </w:r>
      <w:r>
        <w:t xml:space="preserve"> </w:t>
      </w:r>
      <w:r>
        <w:rPr>
          <w:iCs/>
          <w:i/>
        </w:rPr>
        <w:t xml:space="preserve">Journal of Biosciences</w:t>
      </w:r>
      <w:r>
        <w:t xml:space="preserve">, 25, 221–228.</w:t>
      </w:r>
    </w:p>
    <w:bookmarkEnd w:id="264"/>
    <w:bookmarkStart w:id="265" w:name="ref-stolley1991a"/>
    <w:p>
      <w:pPr>
        <w:pStyle w:val="Bibliography"/>
      </w:pPr>
      <w:r>
        <w:t xml:space="preserve">Stolley, P.D. (1991). When genius errs: R. A. Fisher and the lung cancer controversy.</w:t>
      </w:r>
      <w:r>
        <w:t xml:space="preserve"> </w:t>
      </w:r>
      <w:r>
        <w:rPr>
          <w:iCs/>
          <w:i/>
        </w:rPr>
        <w:t xml:space="preserve">American Journal of Epidemiology</w:t>
      </w:r>
      <w:r>
        <w:t xml:space="preserve">, 133, 416–425.</w:t>
      </w:r>
    </w:p>
    <w:bookmarkEnd w:id="265"/>
    <w:bookmarkStart w:id="266" w:name="ref-tomlinson1966a"/>
    <w:p>
      <w:pPr>
        <w:pStyle w:val="Bibliography"/>
      </w:pPr>
      <w:r>
        <w:t xml:space="preserve">Tomlinson, J. (1966). The advantages of hermaphroditism and parthenogenesis.</w:t>
      </w:r>
      <w:r>
        <w:t xml:space="preserve"> </w:t>
      </w:r>
      <w:r>
        <w:rPr>
          <w:iCs/>
          <w:i/>
        </w:rPr>
        <w:t xml:space="preserve">Journal of Theoretical Biology</w:t>
      </w:r>
      <w:r>
        <w:t xml:space="preserve">, 11, 54–58.</w:t>
      </w:r>
    </w:p>
    <w:bookmarkEnd w:id="266"/>
    <w:bookmarkStart w:id="267" w:name="ref-valen1973a"/>
    <w:p>
      <w:pPr>
        <w:pStyle w:val="Bibliography"/>
      </w:pPr>
      <w:r>
        <w:t xml:space="preserve">Valen, L. van. (1973). A new evolutionary law.</w:t>
      </w:r>
      <w:r>
        <w:t xml:space="preserve"> </w:t>
      </w:r>
      <w:r>
        <w:rPr>
          <w:iCs/>
          <w:i/>
        </w:rPr>
        <w:t xml:space="preserve">Evolutionary Theory</w:t>
      </w:r>
      <w:r>
        <w:t xml:space="preserve">, 1, 1–30.</w:t>
      </w:r>
    </w:p>
    <w:bookmarkEnd w:id="267"/>
    <w:bookmarkStart w:id="268" w:name="ref-vrijenhoek1979a"/>
    <w:p>
      <w:pPr>
        <w:pStyle w:val="Bibliography"/>
      </w:pPr>
      <w:r>
        <w:t xml:space="preserve">Vrijenhoek, R.C. (1979). Factors affecting clonal diversity and coexistence.</w:t>
      </w:r>
      <w:r>
        <w:t xml:space="preserve"> </w:t>
      </w:r>
      <w:r>
        <w:rPr>
          <w:iCs/>
          <w:i/>
        </w:rPr>
        <w:t xml:space="preserve">American Zoologist</w:t>
      </w:r>
      <w:r>
        <w:t xml:space="preserve">, 19, 787–797.</w:t>
      </w:r>
    </w:p>
    <w:bookmarkEnd w:id="268"/>
    <w:bookmarkStart w:id="269" w:name="ref-vrijenhoek1998a"/>
    <w:p>
      <w:pPr>
        <w:pStyle w:val="Bibliography"/>
      </w:pPr>
      <w:r>
        <w:t xml:space="preserve">Vrijenhoek, R.C. (1998). Animal clones and diversity.</w:t>
      </w:r>
      <w:r>
        <w:t xml:space="preserve"> </w:t>
      </w:r>
      <w:r>
        <w:rPr>
          <w:iCs/>
          <w:i/>
        </w:rPr>
        <w:t xml:space="preserve">Bioscience</w:t>
      </w:r>
      <w:r>
        <w:t xml:space="preserve">, 48, 617–628.</w:t>
      </w:r>
    </w:p>
    <w:bookmarkEnd w:id="269"/>
    <w:bookmarkStart w:id="270" w:name="ref-vrijenhoek2009a"/>
    <w:p>
      <w:pPr>
        <w:pStyle w:val="Bibliography"/>
      </w:pPr>
      <w:r>
        <w:t xml:space="preserve">Vrijenhoek, R.C. &amp; Parker, E.D. (2009). Geographical parthenogenesis: General purpose genotypes and frozen niche variation. In:</w:t>
      </w:r>
      <w:r>
        <w:t xml:space="preserve"> </w:t>
      </w:r>
      <w:r>
        <w:rPr>
          <w:iCs/>
          <w:i/>
        </w:rPr>
        <w:t xml:space="preserve">Lost sex: The evolutionary biology of parthenogenesis</w:t>
      </w:r>
      <w:r>
        <w:t xml:space="preserve"> </w:t>
      </w:r>
      <w:r>
        <w:t xml:space="preserve">(eds. Schön, I., Martens, K. &amp; Dijk, P.). Springer, London, pp. 99–131.</w:t>
      </w:r>
    </w:p>
    <w:bookmarkEnd w:id="270"/>
    <w:bookmarkStart w:id="271" w:name="ref-wallace1975a"/>
    <w:p>
      <w:pPr>
        <w:pStyle w:val="Bibliography"/>
      </w:pPr>
      <w:r>
        <w:t xml:space="preserve">Wallace, B. (1975). Hard and soft selection revisited.</w:t>
      </w:r>
      <w:r>
        <w:t xml:space="preserve"> </w:t>
      </w:r>
      <w:r>
        <w:rPr>
          <w:iCs/>
          <w:i/>
        </w:rPr>
        <w:t xml:space="preserve">Evolution</w:t>
      </w:r>
      <w:r>
        <w:t xml:space="preserve">, 29, 465–473.</w:t>
      </w:r>
    </w:p>
    <w:bookmarkEnd w:id="271"/>
    <w:bookmarkStart w:id="272" w:name="ref-whitton2008a"/>
    <w:p>
      <w:pPr>
        <w:pStyle w:val="Bibliography"/>
      </w:pPr>
      <w:r>
        <w:t xml:space="preserve">Whitton, J., Sears, C., Baack, E. &amp; Otto, S. (2008). The dynamic nature of apomixis in the angiosperms.</w:t>
      </w:r>
      <w:r>
        <w:t xml:space="preserve"> </w:t>
      </w:r>
      <w:r>
        <w:rPr>
          <w:iCs/>
          <w:i/>
        </w:rPr>
        <w:t xml:space="preserve">International Journal of Plant Sciences</w:t>
      </w:r>
      <w:r>
        <w:t xml:space="preserve">, 169, 169–182.</w:t>
      </w:r>
    </w:p>
    <w:bookmarkEnd w:id="272"/>
    <w:bookmarkStart w:id="273" w:name="ref-williams1975a"/>
    <w:p>
      <w:pPr>
        <w:pStyle w:val="Bibliography"/>
      </w:pPr>
      <w:r>
        <w:t xml:space="preserve">Williams, G.C. (1975).</w:t>
      </w:r>
      <w:r>
        <w:t xml:space="preserve"> </w:t>
      </w:r>
      <w:r>
        <w:rPr>
          <w:iCs/>
          <w:i/>
        </w:rPr>
        <w:t xml:space="preserve">Sex and evolution</w:t>
      </w:r>
      <w:r>
        <w:t xml:space="preserve">. Princeton University Press.</w:t>
      </w:r>
    </w:p>
    <w:bookmarkEnd w:id="273"/>
    <w:bookmarkStart w:id="274" w:name="ref-winterbourn1970a"/>
    <w:p>
      <w:pPr>
        <w:pStyle w:val="Bibliography"/>
      </w:pPr>
      <w:r>
        <w:t xml:space="preserve">Winterbourn, M.J. (1970).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Malacologia</w:t>
      </w:r>
      <w:r>
        <w:t xml:space="preserve">, 10, 283–321.</w:t>
      </w:r>
    </w:p>
    <w:bookmarkEnd w:id="274"/>
    <w:bookmarkStart w:id="275" w:name="ref-winterbourn1973a"/>
    <w:p>
      <w:pPr>
        <w:pStyle w:val="Bibliography"/>
      </w:pPr>
      <w:r>
        <w:t xml:space="preserve">Winterbourn, M.J. (1973). Larval trematoda parasitising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Mauri Ora</w:t>
      </w:r>
      <w:r>
        <w:t xml:space="preserve">, 2, 17–30.</w:t>
      </w:r>
    </w:p>
    <w:bookmarkEnd w:id="275"/>
    <w:bookmarkStart w:id="276" w:name="ref-winterbourn1981a"/>
    <w:p>
      <w:pPr>
        <w:pStyle w:val="Bibliography"/>
      </w:pPr>
      <w:r>
        <w:t xml:space="preserve">Winterbourn, M.J., Rounick, J.S. &amp; Cowie, B. (1981). Are</w:t>
      </w:r>
      <w:r>
        <w:t xml:space="preserve"> </w:t>
      </w:r>
      <w:r>
        <w:t xml:space="preserve">New Zealand</w:t>
      </w:r>
      <w:r>
        <w:t xml:space="preserve"> </w:t>
      </w:r>
      <w:r>
        <w:t xml:space="preserve">stream ecosystems really different?</w:t>
      </w:r>
      <w:r>
        <w:t xml:space="preserve"> </w:t>
      </w:r>
      <w:r>
        <w:rPr>
          <w:iCs/>
          <w:i/>
        </w:rPr>
        <w:t xml:space="preserve">New Zealand Journal of Marine and Freshwater Research</w:t>
      </w:r>
      <w:r>
        <w:t xml:space="preserve">, 15, 321–328.</w:t>
      </w:r>
    </w:p>
    <w:bookmarkEnd w:id="276"/>
    <w:bookmarkEnd w:id="277"/>
    <w:bookmarkEnd w:id="278"/>
    <w:sectPr w:rsidR="009E757F" w:rsidRPr="009E757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2">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73">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74">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6">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7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84">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7">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96">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8">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00">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01">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02">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3">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04">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11">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20">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121">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130">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31">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132">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33">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139">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42">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143">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4">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5">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46">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47">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52">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53">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4">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5">
    <w:p>
      <w:pPr>
        <w:pStyle w:val="FootnoteText"/>
      </w:pPr>
      <w:r>
        <w:rPr>
          <w:rStyle w:val="FootnoteReference"/>
        </w:rPr>
        <w:footnoteRef/>
      </w:r>
      <w:r>
        <w:t xml:space="preserve"> </w:t>
      </w:r>
      <w:r>
        <w:t xml:space="preserve">I think density dependence is critically important. Disease transmission is certainly density dependent</w:t>
      </w:r>
      <w:r>
        <w:t xml:space="preserve"> </w:t>
      </w:r>
      <w:r>
        <w:t xml:space="preserve">(Anderson &amp; May 1979; May &amp; Anderson 1979)</w:t>
      </w:r>
      <w:r>
        <w:t xml:space="preserve">. Virulence may also be density dependent</w:t>
      </w:r>
      <w:r>
        <w:t xml:space="preserve"> </w:t>
      </w:r>
      <w:r>
        <w:t xml:space="preserve">(Bell</w:t>
      </w:r>
      <w:r>
        <w:t xml:space="preserve"> </w:t>
      </w:r>
      <w:r>
        <w:rPr>
          <w:iCs/>
          <w:i/>
        </w:rPr>
        <w:t xml:space="preserve">et al.</w:t>
      </w:r>
      <w:r>
        <w:t xml:space="preserve"> </w:t>
      </w:r>
      <w:r>
        <w:t xml:space="preserve">2006; Lively</w:t>
      </w:r>
      <w:r>
        <w:t xml:space="preserve"> </w:t>
      </w:r>
      <w:r>
        <w:rPr>
          <w:iCs/>
          <w:i/>
        </w:rPr>
        <w:t xml:space="preserve">et al.</w:t>
      </w:r>
      <w:r>
        <w:t xml:space="preserve"> </w:t>
      </w:r>
      <w:r>
        <w:t xml:space="preserve">1995; Lively 2006)</w:t>
      </w:r>
      <w:r>
        <w:t xml:space="preserve">. Habitat partitioning may also play a role in the distribution of sexual females among depth-stratified habitats</w:t>
      </w:r>
      <w:r>
        <w:t xml:space="preserve"> </w:t>
      </w:r>
      <w:r>
        <w:t xml:space="preserve">(Negovetic &amp; Jokela 2001)</w:t>
      </w:r>
      <w:r>
        <w:t xml:space="preserve">.</w:t>
      </w:r>
    </w:p>
  </w:footnote>
  <w:footnote w:id="163">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CB8288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5A16602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C9447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B283CC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2D8E204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A4AE4C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1C47D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D34AD7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3B430F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7DA546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autoRedefine/>
    <w:qFormat/>
    <w:rsid w:val="009E757F"/>
    <w:pPr>
      <w:ind w:hanging="720" w:left="720"/>
    </w:pPr>
    <w:rPr>
      <w:rFonts w:ascii="ETBembo" w:hAnsi="ETBembo"/>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3" Target="media/rId53.jpg" /><Relationship Type="http://schemas.openxmlformats.org/officeDocument/2006/relationships/image" Id="rId69" Target="media/rId69.jpg" /><Relationship Type="http://schemas.openxmlformats.org/officeDocument/2006/relationships/image" Id="rId80" Target="media/rId80.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12" Target="media/rId112.jpg" /><Relationship Type="http://schemas.openxmlformats.org/officeDocument/2006/relationships/image" Id="rId117" Target="media/rId117.jpg" /><Relationship Type="http://schemas.openxmlformats.org/officeDocument/2006/relationships/image" Id="rId122" Target="media/rId122.jpg" /><Relationship Type="http://schemas.openxmlformats.org/officeDocument/2006/relationships/image" Id="rId126" Target="media/rId126.jpg" /><Relationship Type="http://schemas.openxmlformats.org/officeDocument/2006/relationships/image" Id="rId134" Target="media/rId134.jpg" /><Relationship Type="http://schemas.openxmlformats.org/officeDocument/2006/relationships/image" Id="rId148" Target="media/rId148.jpg" /><Relationship Type="http://schemas.openxmlformats.org/officeDocument/2006/relationships/image" Id="rId157" Target="media/rId157.jpg" /><Relationship Type="http://schemas.openxmlformats.org/officeDocument/2006/relationships/image" Id="rId164" Target="media/rId164.jpg" /><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47" Target="https://doi.org/10.1017/S0016672300013926" TargetMode="External" /><Relationship Type="http://schemas.openxmlformats.org/officeDocument/2006/relationships/hyperlink" Id="rId217" Target="https://doi.org/10.1073/pnas.68.5.984" TargetMode="External" /><Relationship Type="http://schemas.openxmlformats.org/officeDocument/2006/relationships/hyperlink" Id="rId255" Target="https://doi.org/10.1080/03014223.1990.10422600" TargetMode="External" /><Relationship Type="http://schemas.openxmlformats.org/officeDocument/2006/relationships/hyperlink" Id="rId237" Target="https://doi.org/10.1098/rsbl.2021.0321" TargetMode="External" /><Relationship Type="http://schemas.openxmlformats.org/officeDocument/2006/relationships/hyperlink" Id="rId242" Target="https://doi.org/10.1098/rspb.1983.0075" TargetMode="External" /><Relationship Type="http://schemas.openxmlformats.org/officeDocument/2006/relationships/hyperlink" Id="rId231" Target="https://doi.org/10.1098/rspb.1994.0054" TargetMode="External" /><Relationship Type="http://schemas.openxmlformats.org/officeDocument/2006/relationships/hyperlink" Id="rId204" Target="https://doi.org/10.1098/rstb.1994.0146" TargetMode="External" /><Relationship Type="http://schemas.openxmlformats.org/officeDocument/2006/relationships/hyperlink" Id="rId185" Target="https://doi.org/10.1111/j.1095-8312.1862.tb01218.x" TargetMode="External" /><Relationship Type="http://schemas.openxmlformats.org/officeDocument/2006/relationships/hyperlink" Id="rId202"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1" Target="https://doi.org/10.1111/j.1558-5646.1986.tb00466.x" TargetMode="External" /><Relationship Type="http://schemas.openxmlformats.org/officeDocument/2006/relationships/hyperlink" Id="rId214" Target="https://doi.org/10.1163/156853900502565" TargetMode="External" /><Relationship Type="http://schemas.openxmlformats.org/officeDocument/2006/relationships/hyperlink" Id="rId233" Target="https://doi.org/10.2307/1940718" TargetMode="External" /><Relationship Type="http://schemas.openxmlformats.org/officeDocument/2006/relationships/hyperlink" Id="rId183"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188" Target="https://www.darwinproject.ac.uk/letter/?docId=letters/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47" Target="https://doi.org/10.1017/S0016672300013926" TargetMode="External" /><Relationship Type="http://schemas.openxmlformats.org/officeDocument/2006/relationships/hyperlink" Id="rId217" Target="https://doi.org/10.1073/pnas.68.5.984" TargetMode="External" /><Relationship Type="http://schemas.openxmlformats.org/officeDocument/2006/relationships/hyperlink" Id="rId255" Target="https://doi.org/10.1080/03014223.1990.10422600" TargetMode="External" /><Relationship Type="http://schemas.openxmlformats.org/officeDocument/2006/relationships/hyperlink" Id="rId237" Target="https://doi.org/10.1098/rsbl.2021.0321" TargetMode="External" /><Relationship Type="http://schemas.openxmlformats.org/officeDocument/2006/relationships/hyperlink" Id="rId242" Target="https://doi.org/10.1098/rspb.1983.0075" TargetMode="External" /><Relationship Type="http://schemas.openxmlformats.org/officeDocument/2006/relationships/hyperlink" Id="rId231" Target="https://doi.org/10.1098/rspb.1994.0054" TargetMode="External" /><Relationship Type="http://schemas.openxmlformats.org/officeDocument/2006/relationships/hyperlink" Id="rId204" Target="https://doi.org/10.1098/rstb.1994.0146" TargetMode="External" /><Relationship Type="http://schemas.openxmlformats.org/officeDocument/2006/relationships/hyperlink" Id="rId185" Target="https://doi.org/10.1111/j.1095-8312.1862.tb01218.x" TargetMode="External" /><Relationship Type="http://schemas.openxmlformats.org/officeDocument/2006/relationships/hyperlink" Id="rId202"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1" Target="https://doi.org/10.1111/j.1558-5646.1986.tb00466.x" TargetMode="External" /><Relationship Type="http://schemas.openxmlformats.org/officeDocument/2006/relationships/hyperlink" Id="rId214" Target="https://doi.org/10.1163/156853900502565" TargetMode="External" /><Relationship Type="http://schemas.openxmlformats.org/officeDocument/2006/relationships/hyperlink" Id="rId233" Target="https://doi.org/10.2307/1940718" TargetMode="External" /><Relationship Type="http://schemas.openxmlformats.org/officeDocument/2006/relationships/hyperlink" Id="rId183"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188" Target="https://www.darwinproject.ac.uk/letter/?docId=letters/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 I. Why Cross-Fertilize?</dc:title>
  <dc:creator>Curtis M. Lively</dc:creator>
  <dc:language>en-US</dc:language>
  <cp:keywords/>
  <dcterms:created xsi:type="dcterms:W3CDTF">2023-11-14T21:02:49Z</dcterms:created>
  <dcterms:modified xsi:type="dcterms:W3CDTF">2023-11-14T21:02:49Z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ecology-letters.csl</vt:lpwstr>
  </property>
  <property fmtid="{D5CDD505-2E9C-101B-9397-08002B2CF9AE}" pid="12" name="date">
    <vt:lpwstr>14 November 2023</vt:lpwstr>
  </property>
  <property fmtid="{D5CDD505-2E9C-101B-9397-08002B2CF9AE}" pid="13" name="date-format">
    <vt:lpwstr>DD MMMM YYYY</vt:lpwstr>
  </property>
  <property fmtid="{D5CDD505-2E9C-101B-9397-08002B2CF9AE}" pid="14" name="doi">
    <vt:lpwstr>10.5967/gbd3-ka07</vt:lpwstr>
  </property>
  <property fmtid="{D5CDD505-2E9C-101B-9397-08002B2CF9AE}" pid="15" name="fig-cap-location">
    <vt:lpwstr>margin</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toc-title">
    <vt:lpwstr>Contents</vt:lpwstr>
  </property>
</Properties>
</file>