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9.png" ContentType="image/png"/>
  <Override PartName="/word/media/rId29.jpg" ContentType="image/jpeg"/>
  <Override PartName="/word/media/rId35.jpg" ContentType="image/jpeg"/>
  <Override PartName="/word/media/rId41.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8"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Start w:id="27" w:name="how-to-use"/>
    <w:p>
      <w:pPr>
        <w:pStyle w:val="Heading2"/>
      </w:pPr>
      <w:r>
        <w:t xml:space="preserve">How to Use</w:t>
      </w:r>
    </w:p>
    <w:bookmarkEnd w:id="27"/>
    <w:bookmarkEnd w:id="28"/>
    <w:bookmarkStart w:id="67" w:name="sec-why-sex"/>
    <w:p>
      <w:pPr>
        <w:pStyle w:val="Heading1"/>
      </w:pPr>
      <w:r>
        <w:t xml:space="preserve">1. Why Sex?</w:t>
      </w:r>
    </w:p>
    <w:p>
      <w:pPr>
        <w:pStyle w:val="FirstParagraph"/>
      </w:pPr>
      <w:r>
        <w:drawing>
          <wp:inline>
            <wp:extent cx="2057400" cy="2599944"/>
            <wp:effectExtent b="0" l="0" r="0" t="0"/>
            <wp:docPr descr="" title="" id="30" name="Picture"/>
            <a:graphic>
              <a:graphicData uri="http://schemas.openxmlformats.org/drawingml/2006/picture">
                <pic:pic>
                  <pic:nvPicPr>
                    <pic:cNvPr descr="images/Picture1.jpg" id="31" name="Picture"/>
                    <pic:cNvPicPr>
                      <a:picLocks noChangeArrowheads="1" noChangeAspect="1"/>
                    </pic:cNvPicPr>
                  </pic:nvPicPr>
                  <pic:blipFill>
                    <a:blip r:embed="rId29"/>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2"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2"/>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4"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3"/>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4"/>
    <w:bookmarkStart w:id="40"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8" w:name="fig-1.1"/>
          <w:p>
            <w:pPr>
              <w:jc w:val="center"/>
            </w:pPr>
            <w:r>
              <w:drawing>
                <wp:inline>
                  <wp:extent cx="2676525" cy="2762250"/>
                  <wp:effectExtent b="0" l="0" r="0" t="0"/>
                  <wp:docPr descr="" title="" id="36" name="Picture"/>
                  <a:graphic>
                    <a:graphicData uri="http://schemas.openxmlformats.org/drawingml/2006/picture">
                      <pic:pic>
                        <pic:nvPicPr>
                          <pic:cNvPr descr="images/fig1-1.jpg" id="37" name="Picture"/>
                          <pic:cNvPicPr>
                            <a:picLocks noChangeArrowheads="1" noChangeAspect="1"/>
                          </pic:cNvPicPr>
                        </pic:nvPicPr>
                        <pic:blipFill>
                          <a:blip r:embed="rId35"/>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8"/>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9"/>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40"/>
    <w:bookmarkStart w:id="45"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4" w:name="fig-1.2"/>
          <w:p>
            <w:pPr>
              <w:jc w:val="center"/>
            </w:pPr>
            <w:r>
              <w:drawing>
                <wp:inline>
                  <wp:extent cx="2946400" cy="1682750"/>
                  <wp:effectExtent b="0" l="0" r="0" t="0"/>
                  <wp:docPr descr="" title="" id="42" name="Picture"/>
                  <a:graphic>
                    <a:graphicData uri="http://schemas.openxmlformats.org/drawingml/2006/picture">
                      <pic:pic>
                        <pic:nvPicPr>
                          <pic:cNvPr descr="images/fig1-2.jpg" id="43" name="Picture"/>
                          <pic:cNvPicPr>
                            <a:picLocks noChangeArrowheads="1" noChangeAspect="1"/>
                          </pic:cNvPicPr>
                        </pic:nvPicPr>
                        <pic:blipFill>
                          <a:blip r:embed="rId41"/>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r>
                <m:t>i</m:t>
              </m:r>
              <m:r>
                <m:t>n</m:t>
              </m:r>
              <m:r>
                <m:t>d</m:t>
              </m:r>
              <m:r>
                <m:t>i</m:t>
              </m:r>
              <m:r>
                <m:t>v</m:t>
              </m:r>
              <m:r>
                <m:t>i</m:t>
              </m:r>
              <m:r>
                <m:t>d</m:t>
              </m:r>
              <m:r>
                <m:t>u</m:t>
              </m:r>
              <m:r>
                <m:t>a</m:t>
              </m:r>
              <m:r>
                <m:t>l</m:t>
              </m:r>
              <m:r>
                <m:t>s</m:t>
              </m:r>
            </m:oMath>
            <w:r>
              <w:t xml:space="preserve">. The frequency of males in the sexual population was assumed to be 1/2. Annual reproduction, with non-overlapping generations, was also assumed.</w:t>
            </w:r>
          </w:p>
          <w:bookmarkEnd w:id="44"/>
        </w:tc>
      </w:tr>
    </w:tbl>
    <w:bookmarkEnd w:id="45"/>
    <w:bookmarkStart w:id="51"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6"/>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50" w:name="fig-1.3"/>
          <w:p>
            <w:pPr>
              <w:jc w:val="center"/>
            </w:pPr>
            <w:r>
              <w:drawing>
                <wp:inline>
                  <wp:extent cx="5334000" cy="2508039"/>
                  <wp:effectExtent b="0" l="0" r="0" t="0"/>
                  <wp:docPr descr="" title="Hand pollination experiment on *Primula*: a contrivance for cross-fertilization?" id="48" name="Picture"/>
                  <a:graphic>
                    <a:graphicData uri="http://schemas.openxmlformats.org/drawingml/2006/picture">
                      <pic:pic>
                        <pic:nvPicPr>
                          <pic:cNvPr descr="images/fig1-3.jpg" id="49" name="Picture"/>
                          <pic:cNvPicPr>
                            <a:picLocks noChangeArrowheads="1" noChangeAspect="1"/>
                          </pic:cNvPicPr>
                        </pic:nvPicPr>
                        <pic:blipFill>
                          <a:blip r:embed="rId47"/>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0"/>
        </w:tc>
      </w:tr>
    </w:tbl>
    <w:bookmarkEnd w:id="51"/>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2"/>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3"/>
      </w:r>
      <w:r>
        <w:t xml:space="preserve">. However, von Siebold's discovery of parthenogenesis</w:t>
      </w:r>
      <w:r>
        <w:rPr>
          <w:rStyle w:val="FootnoteReference"/>
        </w:rPr>
        <w:footnoteReference w:id="55"/>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6"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tip.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amazel\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5"/>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6"/>
    <w:bookmarkEnd w:id="67"/>
    <w:bookmarkStart w:id="69" w:name="references"/>
    <w:p>
      <w:pPr>
        <w:pStyle w:val="Heading1"/>
      </w:pPr>
      <w:r>
        <w:t xml:space="preserve">References</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9">
    <w:p>
      <w:pPr>
        <w:pStyle w:val="FootnoteText"/>
      </w:pPr>
      <w:r>
        <w:rPr>
          <w:rStyle w:val="FootnoteReference"/>
        </w:rPr>
        <w:footnoteRef/>
      </w:r>
      <w:r>
        <w:t xml:space="preserve"> </w:t>
      </w:r>
      <w:r>
        <w:t xml:space="preserve">Asexuals are often polyploid versions of their sexual ancestors.</w:t>
      </w:r>
    </w:p>
  </w:footnote>
  <w:footnote w:id="46">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2">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3">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footnote>
  <w:footnote w:id="55">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5">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7" Target="media/rId47.jpg" /><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2023-06-02T18:24:53Z</dcterms:created>
  <dcterms:modified xsi:type="dcterms:W3CDTF">2023-06-02T18:24:53Z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02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