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49.png" ContentType="image/png"/>
  <Override PartName="/word/media/rId29.png" ContentType="image/png"/>
  <Override PartName="/word/media/rId35.jpg" ContentType="image/jpeg"/>
  <Override PartName="/word/media/rId41.jpg" ContentType="image/jpeg"/>
  <Override PartName="/word/media/rId52.jpg" ContentType="image/jpeg"/>
  <Override PartName="/word/media/rId68.jpg" ContentType="image/jpeg"/>
  <Override PartName="/word/media/rId78.jpg" ContentType="image/jpeg"/>
  <Override PartName="/word/media/rId86.jpg" ContentType="image/jpeg"/>
  <Override PartName="/word/media/rId90.jpg" ContentType="image/jpeg"/>
  <Override PartName="/word/media/rId108.jpg" ContentType="image/jpeg"/>
  <Override PartName="/word/media/rId113.jpg" ContentType="image/jpeg"/>
  <Override PartName="/word/media/rId118.jpg" ContentType="image/jpeg"/>
  <Override PartName="/word/media/rId122.jpg" ContentType="image/jpeg"/>
  <Override PartName="/word/media/rId130.jpg" ContentType="image/jpeg"/>
  <Override PartName="/word/media/rId144.jpg" ContentType="image/jpeg"/>
  <Override PartName="/word/media/rId153.jpg" ContentType="image/jpeg"/>
  <Override PartName="/word/media/rId16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p>
    <w:p>
      <w:pPr>
        <w:pStyle w:val="Subtitle"/>
      </w:pP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24</w:t>
      </w:r>
      <w:r>
        <w:t xml:space="preserve"> </w:t>
      </w:r>
      <w:r>
        <w:t xml:space="preserve">October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8"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7" w:name="how-to-cite"/>
    <w:p>
      <w:pPr>
        <w:pStyle w:val="Heading2"/>
      </w:pPr>
      <w:r>
        <w:t xml:space="preserve">How to Cite</w:t>
      </w:r>
    </w:p>
    <w:p>
      <w:pPr>
        <w:pStyle w:val="FirstParagraph"/>
      </w:pPr>
      <w:r>
        <w:t xml:space="preserve">Lively, C. (2023).</w:t>
      </w:r>
      <w:r>
        <w:t xml:space="preserve"> </w:t>
      </w:r>
      <w:r>
        <w:rPr>
          <w:iCs/>
          <w:i/>
        </w:rPr>
        <w:t xml:space="preserve">Through the Looking Glass: I. Why Cross-Fertilize?</w:t>
      </w:r>
      <w:r>
        <w:t xml:space="preserve"> </w:t>
      </w:r>
      <w:r>
        <w:t xml:space="preserve">IU Libraries Publishing.</w:t>
      </w:r>
      <w:r>
        <w:t xml:space="preserve"> </w:t>
      </w:r>
      <w:hyperlink r:id="rId26">
        <w:r>
          <w:rPr>
            <w:rStyle w:val="Hyperlink"/>
          </w:rPr>
          <w:t xml:space="preserve">https://doi.org/10.5967/GBD3-KA07</w:t>
        </w:r>
      </w:hyperlink>
    </w:p>
    <w:bookmarkEnd w:id="27"/>
    <w:bookmarkEnd w:id="28"/>
    <w:bookmarkStart w:id="67"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30" name="Picture"/>
                  <a:graphic>
                    <a:graphicData uri="http://schemas.openxmlformats.org/drawingml/2006/picture">
                      <pic:pic>
                        <pic:nvPicPr>
                          <pic:cNvPr descr="images/Picture1.png" id="31" name="Picture"/>
                          <pic:cNvPicPr>
                            <a:picLocks noChangeArrowheads="1" noChangeAspect="1"/>
                          </pic:cNvPicPr>
                        </pic:nvPicPr>
                        <pic:blipFill>
                          <a:blip r:embed="rId29"/>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2"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w:t>
      </w:r>
      <w:r>
        <w:t xml:space="preserve"> </w:t>
      </w:r>
      <w:r>
        <w:t xml:space="preserve">(1975)</w:t>
      </w:r>
      <w:r>
        <w:t xml:space="preserve">:</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p>
    <w:p>
      <w:pPr>
        <w:pStyle w:val="BodyText"/>
      </w:pPr>
      <w:r>
        <w:t xml:space="preserve">The question was something like this:</w:t>
      </w:r>
      <w:r>
        <w:t xml:space="preserve"> </w:t>
      </w:r>
      <w:r>
        <w:t xml:space="preserve">“</w:t>
      </w:r>
      <w:r>
        <w:t xml:space="preserve">Why does Williams think that sexual reproduction poses a crisis for evolutionary biology, and what is the solution?</w:t>
      </w:r>
      <w:r>
        <w:t xml:space="preserve">”</w:t>
      </w:r>
      <w:r>
        <w:t xml:space="preserve"> </w:t>
      </w:r>
      <w:r>
        <w:t xml:space="preserve">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rPr>
          <w:iCs/>
          <w:i/>
        </w:rPr>
        <w:t xml:space="preserve">The Structure of Scientific Revolutions</w:t>
      </w:r>
      <w:r>
        <w:t xml:space="preserve"> </w:t>
      </w:r>
      <w:r>
        <w:t xml:space="preserve">as an undergraduate</w:t>
      </w:r>
      <w:r>
        <w:t xml:space="preserve"> </w:t>
      </w:r>
      <w:r>
        <w:t xml:space="preserve">(1970)</w:t>
      </w:r>
      <w:r>
        <w:t xml:space="preserve">.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2"/>
    <w:bookmarkStart w:id="61"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w:t>
      </w:r>
      <w:r>
        <w:t xml:space="preserve"> </w:t>
      </w:r>
      <w:r>
        <w:t xml:space="preserve">(review in Lehtonen, Jennions, and Kokko 2012)</w:t>
      </w:r>
      <w:r>
        <w:t xml:space="preserve">. However, while important,</w:t>
      </w:r>
      <w:r>
        <w:t xml:space="preserve"> </w:t>
      </w:r>
      <w:r>
        <w:t xml:space="preserve">these costs do not form the core of the paradox. Historically, the paradox of sex stems from two things: (1) the cost of meiosis, and (2) the cost of producing males.</w:t>
      </w:r>
    </w:p>
    <w:bookmarkStart w:id="34"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w:t>
      </w:r>
      <w:r>
        <w:t xml:space="preserve"> </w:t>
      </w:r>
      <w:r>
        <w:t xml:space="preserve">(1975)</w:t>
      </w:r>
      <w:r>
        <w:t xml:space="preserve">. His idea was simply that females are only half as related to their outcrossed offspring as they are to their self-fertilized or parthenogenetic offspring.</w:t>
      </w:r>
      <w:r>
        <w:rPr>
          <w:rStyle w:val="FootnoteReference"/>
        </w:rPr>
        <w:footnoteReference w:id="33"/>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w:t>
      </w:r>
      <w:r>
        <w:t xml:space="preserve"> </w:t>
      </w:r>
      <w:r>
        <w:t xml:space="preserve">(1941)</w:t>
      </w:r>
      <w:r>
        <w:t xml:space="preserve">. So, why cross-fertilize? The persistence of cross-fertilization despite the cost of meiosis formed a paradox. This paradox created the crisis that Williams saw in evolutionary biology.</w:t>
      </w:r>
    </w:p>
    <w:bookmarkEnd w:id="34"/>
    <w:bookmarkStart w:id="40" w:name="the-cost-of-males"/>
    <w:p>
      <w:pPr>
        <w:pStyle w:val="Heading3"/>
      </w:pPr>
      <w:r>
        <w:t xml:space="preserve">1.2.2 The cost of males</w:t>
      </w:r>
    </w:p>
    <w:p>
      <w:pPr>
        <w:pStyle w:val="FirstParagraph"/>
      </w:pPr>
      <w:r>
        <w:t xml:space="preserve">The other way to look at the problem was proposed by John Maynard Smith</w:t>
      </w:r>
      <w:r>
        <w:t xml:space="preserve"> </w:t>
      </w:r>
      <w:r>
        <w:t xml:space="preserve">(1971, 1978)</w:t>
      </w:r>
      <w:r>
        <w:t xml:space="preserve">.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w:t>
      </w:r>
      <w:r>
        <w:t xml:space="preserve"> </w:t>
      </w:r>
      <w:r>
        <w:t xml:space="preserve">(Lively 1996)</w:t>
      </w:r>
      <w:r>
        <w:t xml:space="preserve">.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8" w:name="fig-1.1"/>
          <w:p>
            <w:pPr>
              <w:jc w:val="center"/>
            </w:pPr>
            <w:r>
              <w:drawing>
                <wp:inline>
                  <wp:extent cx="3721608" cy="4559808"/>
                  <wp:effectExtent b="0" l="0" r="0" t="0"/>
                  <wp:docPr descr="" title="" id="36" name="Picture"/>
                  <a:graphic>
                    <a:graphicData uri="http://schemas.openxmlformats.org/drawingml/2006/picture">
                      <pic:pic>
                        <pic:nvPicPr>
                          <pic:cNvPr descr="images/fig1-1.jpg" id="37" name="Picture"/>
                          <pic:cNvPicPr>
                            <a:picLocks noChangeArrowheads="1" noChangeAspect="1"/>
                          </pic:cNvPicPr>
                        </pic:nvPicPr>
                        <pic:blipFill>
                          <a:blip r:embed="rId35"/>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w:t>
            </w:r>
            <w:r>
              <w:t xml:space="preserve"> </w:t>
            </w:r>
            <w:r>
              <w:t xml:space="preserve">(Whitton et al. 2008)</w:t>
            </w:r>
            <w:r>
              <w:t xml:space="preserve"> </w:t>
            </w:r>
            <w:r>
              <w:t xml:space="preserve">and animals</w:t>
            </w:r>
            <w:r>
              <w:t xml:space="preserve"> </w:t>
            </w:r>
            <w:r>
              <w:t xml:space="preserve">(Vrijenhoek 1998)</w:t>
            </w:r>
            <w:r>
              <w:t xml:space="preserve">. Hence the paradox. Why is sexual reproduction so costly and yet so common?</w:t>
            </w:r>
          </w:p>
          <w:bookmarkEnd w:id="38"/>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9"/>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40"/>
    <w:bookmarkStart w:id="47"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w:t>
      </w:r>
      <w:r>
        <w:t xml:space="preserve"> </w:t>
      </w:r>
      <w:r>
        <w:t xml:space="preserve">(Lively and Lloyd 1990)</w:t>
      </w:r>
      <w:r>
        <w:t xml:space="preserve">.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6" w:name="fig-1-2"/>
          <w:p>
            <w:pPr>
              <w:jc w:val="center"/>
            </w:pPr>
            <w:r>
              <w:drawing>
                <wp:inline>
                  <wp:extent cx="4572000" cy="6543675"/>
                  <wp:effectExtent b="0" l="0" r="0" t="0"/>
                  <wp:docPr descr="" title="" id="42" name="Picture"/>
                  <a:graphic>
                    <a:graphicData uri="http://schemas.openxmlformats.org/drawingml/2006/picture">
                      <pic:pic>
                        <pic:nvPicPr>
                          <pic:cNvPr descr="images/fig1-2.jpg" id="43" name="Picture"/>
                          <pic:cNvPicPr>
                            <a:picLocks noChangeArrowheads="1" noChangeAspect="1"/>
                          </pic:cNvPicPr>
                        </pic:nvPicPr>
                        <pic:blipFill>
                          <a:blip r:embed="rId41"/>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w:t>
            </w:r>
            <w:r>
              <w:t xml:space="preserve"> </w:t>
            </w:r>
            <w:r>
              <w:t xml:space="preserve">(Lively 2009)</w:t>
            </w:r>
            <w:r>
              <w:t xml:space="preserve">.</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4">
              <w:r>
                <w:rPr>
                  <w:rStyle w:val="Hyperlink"/>
                </w:rPr>
                <w:t xml:space="preserve">here</w:t>
              </w:r>
            </w:hyperlink>
            <w:r>
              <w:t xml:space="preserve">. The interactive graph can also be run</w:t>
            </w:r>
            <w:r>
              <w:t xml:space="preserve"> </w:t>
            </w:r>
            <w:hyperlink r:id="rId45">
              <w:r>
                <w:rPr>
                  <w:rStyle w:val="Hyperlink"/>
                </w:rPr>
                <w:t xml:space="preserve">here</w:t>
              </w:r>
            </w:hyperlink>
            <w:r>
              <w:t xml:space="preserve"> </w:t>
            </w:r>
            <w:r>
              <w:t xml:space="preserve">for users without R.</w:t>
            </w:r>
          </w:p>
          <w:bookmarkEnd w:id="46"/>
        </w:tc>
      </w:tr>
    </w:tbl>
    <w:bookmarkEnd w:id="47"/>
    <w:bookmarkStart w:id="56"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w:t>
      </w:r>
      <w:r>
        <w:t xml:space="preserve"> </w:t>
      </w:r>
      <w:r>
        <w:t xml:space="preserve">(1971)</w:t>
      </w:r>
      <w:r>
        <w:t xml:space="preserve"> </w:t>
      </w:r>
      <w:r>
        <w:t xml:space="preserve">formally showed that</w:t>
      </w:r>
      <w:r>
        <w:t xml:space="preserve"> </w:t>
      </w:r>
      <w:r>
        <w:t xml:space="preserve">“</w:t>
      </w:r>
      <w:r>
        <w:t xml:space="preserve">the mean fitness of the population at equilibrium is a maximum in the absence of recombination.</w:t>
      </w:r>
      <w:r>
        <w:t xml:space="preserve">”</w:t>
      </w:r>
      <w:r>
        <w:rPr>
          <w:rStyle w:val="FootnoteReference"/>
        </w:rPr>
        <w:footnoteReference w:id="48"/>
      </w:r>
      <w:r>
        <w:t xml:space="preserve"> </w:t>
      </w:r>
      <w:r>
        <w:t xml:space="preserve">Hence, there are two interrelated anomalies: cross-fertilization</w:t>
      </w:r>
      <w:r>
        <w:t xml:space="preserve"> </w:t>
      </w:r>
      <w:r>
        <w:rPr>
          <w:iCs/>
          <w:i/>
        </w:rPr>
        <w:t xml:space="preserve">per se</w:t>
      </w:r>
      <w:r>
        <w:t xml:space="preserve"> </w:t>
      </w:r>
      <w:r>
        <w:t xml:space="preserve">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Users\amazel\AppData\Local\Programs\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 (</w:t>
            </w:r>
            <w:hyperlink w:anchor="fig-1-2">
              <w:r>
                <w:rPr>
                  <w:rStyle w:val="Hyperlink"/>
                </w:rPr>
                <w:t xml:space="preserve">Figure 1.2</w:t>
              </w:r>
            </w:hyperlink>
            <w:r>
              <w:t xml:space="preserve">).</w:t>
            </w:r>
          </w:p>
          <w:p>
            <w:pPr>
              <w:pStyle w:val="BodyText"/>
            </w:pPr>
            <w:r>
              <w:rPr>
                <w:bCs/>
                <w:b/>
              </w:rPr>
              <w:t xml:space="preserve">Cost of males:</w:t>
            </w:r>
            <w:r>
              <w:t xml:space="preserve"> </w:t>
            </w:r>
            <w:r>
              <w:t xml:space="preserve">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w:t>
            </w:r>
            <w:r>
              <w:t xml:space="preserve">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w:t>
            </w:r>
            <w:r>
              <w:t xml:space="preserve">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w:t>
            </w:r>
            <w:r>
              <w:t xml:space="preserve">The exchange of gametes between different individuals, which may or may not be related.</w:t>
            </w:r>
          </w:p>
          <w:p>
            <w:pPr>
              <w:pStyle w:val="BodyText"/>
            </w:pPr>
            <w:r>
              <w:rPr>
                <w:bCs/>
                <w:b/>
              </w:rPr>
              <w:t xml:space="preserve">Outcrossing:</w:t>
            </w:r>
            <w:r>
              <w:t xml:space="preserve"> </w:t>
            </w:r>
            <w:r>
              <w:t xml:space="preserve">A form of cross-fertilization, which specifies crossing between unrelated individuals.</w:t>
            </w:r>
          </w:p>
          <w:p>
            <w:pPr>
              <w:pStyle w:val="BodyText"/>
            </w:pPr>
            <w:r>
              <w:rPr>
                <w:bCs/>
                <w:b/>
              </w:rPr>
              <w:t xml:space="preserve">Parthenogenesis:</w:t>
            </w:r>
            <w:r>
              <w:t xml:space="preserve"> </w:t>
            </w:r>
            <w:r>
              <w:t xml:space="preserve">Any form of asexual reproduction through ova.</w:t>
            </w:r>
          </w:p>
          <w:p>
            <w:pPr>
              <w:pStyle w:val="BodyText"/>
            </w:pPr>
            <w:r>
              <w:rPr>
                <w:bCs/>
                <w:b/>
              </w:rPr>
              <w:t xml:space="preserve">Recombination:</w:t>
            </w:r>
            <w:r>
              <w:t xml:space="preserve"> </w:t>
            </w:r>
            <w:r>
              <w:t xml:space="preserve">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w:t>
            </w:r>
            <w:r>
              <w:t xml:space="preserve">The fusion of gametes from the same individual.</w:t>
            </w:r>
          </w:p>
          <w:p>
            <w:pPr>
              <w:pStyle w:val="BodyText"/>
            </w:pPr>
            <w:r>
              <w:rPr>
                <w:bCs/>
                <w:b/>
              </w:rPr>
              <w:t xml:space="preserve">Sex/rec:</w:t>
            </w:r>
            <w:r>
              <w:t xml:space="preserve"> </w:t>
            </w:r>
            <w:r>
              <w:t xml:space="preserve">Shorthand for sexual reproduction and recombination.</w:t>
            </w:r>
          </w:p>
          <w:p>
            <w:pPr>
              <w:pStyle w:val="BodyText"/>
            </w:pPr>
            <w:pPr>
              <w:spacing w:after="16"/>
            </w:pPr>
            <w:r>
              <w:rPr>
                <w:bCs/>
                <w:b/>
              </w:rPr>
              <w:t xml:space="preserve">Sexual reproduction:</w:t>
            </w:r>
            <w:r>
              <w:t xml:space="preserve"> </w:t>
            </w:r>
            <w:r>
              <w:t xml:space="preserve">I use the term here to mean cross-fertilization between unrelated individuals. However, the term is more general and can be used to mean the incorporation of novel genetic material by any mechanism.</w:t>
            </w:r>
          </w:p>
        </w:tc>
      </w:tr>
    </w:tbl>
    <w:tbl>
      <w:tblPr>
        <w:tblStyle w:val="Table"/>
        <w:tblW w:type="pct" w:w="5000"/>
        <w:tblLook w:firstRow="0" w:lastRow="0" w:firstColumn="0" w:lastColumn="0" w:noHBand="0" w:noVBand="0" w:val="0000"/>
        <w:jc w:val="start"/>
      </w:tblPr>
      <w:tblGrid>
        <w:gridCol w:w="7920"/>
      </w:tblGrid>
      <w:tr>
        <w:tc>
          <w:tcPr/>
          <w:bookmarkStart w:id="55" w:name="fig-1.3"/>
          <w:p>
            <w:pPr>
              <w:jc w:val="center"/>
            </w:pPr>
            <w:r>
              <w:drawing>
                <wp:inline>
                  <wp:extent cx="7429500" cy="3312682"/>
                  <wp:effectExtent b="0" l="0" r="0" t="0"/>
                  <wp:docPr descr="" title="" id="53" name="Picture"/>
                  <a:graphic>
                    <a:graphicData uri="http://schemas.openxmlformats.org/drawingml/2006/picture">
                      <pic:pic>
                        <pic:nvPicPr>
                          <pic:cNvPr descr="images/fig1-3.jpg" id="54" name="Picture"/>
                          <pic:cNvPicPr>
                            <a:picLocks noChangeArrowheads="1" noChangeAspect="1"/>
                          </pic:cNvPicPr>
                        </pic:nvPicPr>
                        <pic:blipFill>
                          <a:blip r:embed="rId52"/>
                          <a:stretch>
                            <a:fillRect/>
                          </a:stretch>
                        </pic:blipFill>
                        <pic:spPr bwMode="auto">
                          <a:xfrm>
                            <a:off x="0" y="0"/>
                            <a:ext cx="7429500" cy="33126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w:t>
            </w:r>
            <w:r>
              <w:t xml:space="preserve"> </w:t>
            </w:r>
            <w:r>
              <w:t xml:space="preserve">(1862)</w:t>
            </w:r>
            <w:r>
              <w:t xml:space="preserve"> </w:t>
            </w:r>
            <w:r>
              <w:t xml:space="preserve">by ZMD.</w:t>
            </w:r>
          </w:p>
          <w:bookmarkEnd w:id="55"/>
        </w:tc>
      </w:tr>
    </w:tbl>
    <w:bookmarkEnd w:id="56"/>
    <w:bookmarkStart w:id="60"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w:t>
      </w:r>
      <w:r>
        <w:t xml:space="preserve"> </w:t>
      </w:r>
      <w:r>
        <w:t xml:space="preserve">(reviews in Meirmans 2009; Dagg 2016)</w:t>
      </w:r>
      <w:r>
        <w:t xml:space="preserve">.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w:t>
      </w:r>
      <w:r>
        <w:t xml:space="preserve"> </w:t>
      </w:r>
      <w:r>
        <w:t xml:space="preserve">(1862)</w:t>
      </w:r>
      <w:r>
        <w:t xml:space="preserve">.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p>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7"/>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w:t>
      </w:r>
      <w:r>
        <w:t xml:space="preserve"> </w:t>
      </w:r>
      <w:r>
        <w:t xml:space="preserve">(review in Bell 1982)</w:t>
      </w:r>
      <w:r>
        <w:t xml:space="preserve">.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w:t>
      </w:r>
      <w:r>
        <w:t xml:space="preserve"> </w:t>
      </w:r>
      <w:r>
        <w:t xml:space="preserve">(1862)</w:t>
      </w:r>
      <w:r>
        <w:t xml:space="preserve"> </w:t>
      </w:r>
      <w:r>
        <w:t xml:space="preserve">paper on</w:t>
      </w:r>
      <w:r>
        <w:t xml:space="preserve"> </w:t>
      </w:r>
      <w:r>
        <w:rPr>
          <w:iCs/>
          <w:i/>
        </w:rPr>
        <w:t xml:space="preserve">Primula</w:t>
      </w:r>
      <w:r>
        <w:t xml:space="preserve">, Carl Theodor Ernst von Siebold</w:t>
      </w:r>
      <w:r>
        <w:t xml:space="preserve"> </w:t>
      </w:r>
      <w:r>
        <w:t xml:space="preserve">(1856)</w:t>
      </w:r>
      <w:r>
        <w:t xml:space="preserve"> </w:t>
      </w:r>
      <w:r>
        <w:t xml:space="preserve">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t xml:space="preserve">“</w:t>
      </w:r>
      <w:r>
        <w:t xml:space="preserve">There is no greater mystery in the whole world, as it seems to me, than the existence of sexes, – more especially since the discovery of Parthenogenesis</w:t>
      </w:r>
      <w:r>
        <w:t xml:space="preserve">”</w:t>
      </w:r>
      <w:r>
        <w:t xml:space="preserve"> </w:t>
      </w:r>
      <w:r>
        <w:t xml:space="preserve">(Darwin, n.d.)</w:t>
      </w:r>
      <w:r>
        <w:t xml:space="preserve">.</w:t>
      </w:r>
    </w:p>
    <w:p>
      <w:pPr>
        <w:pStyle w:val="BodyText"/>
      </w:pPr>
      <w:r>
        <w:t xml:space="preserve">However, the discovery of parthenogenesis was met with some hostility.</w:t>
      </w:r>
      <w:r>
        <w:rPr>
          <w:rStyle w:val="FootnoteReference"/>
        </w:rPr>
        <w:footnoteReference w:id="58"/>
      </w:r>
      <w:r>
        <w:t xml:space="preserve"> </w:t>
      </w:r>
      <w:r>
        <w:t xml:space="preserve">Consider, for example, the following statement by Rudolf Wagner in his 1857 review of von Siebold’s book on parthenogenesis</w:t>
      </w:r>
      <w:r>
        <w:t xml:space="preserve"> </w:t>
      </w:r>
      <w:r>
        <w:t xml:space="preserve">(as translated from the original German by Churchill 1979)</w:t>
      </w:r>
      <w:r>
        <w:t xml:space="preserve">:</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w:t>
      </w:r>
      <w:r>
        <w:t xml:space="preserve"> </w:t>
      </w:r>
      <w:r>
        <w:t xml:space="preserve">(1868)</w:t>
      </w:r>
      <w:r>
        <w:t xml:space="preserve"> </w:t>
      </w:r>
      <w:r>
        <w:t xml:space="preserve">wrote,</w:t>
      </w:r>
      <w:r>
        <w:t xml:space="preserve"> </w:t>
      </w:r>
      <w:r>
        <w:t xml:space="preserve">“</w:t>
      </w:r>
      <w:r>
        <w:t xml:space="preserve">Parthenogenesis is no longer wonderful; in fact, the wonder is that it should not oftener occur.</w:t>
      </w:r>
      <w:r>
        <w:t xml:space="preserve">”</w:t>
      </w:r>
      <w:r>
        <w:rPr>
          <w:rStyle w:val="FootnoteReference"/>
        </w:rPr>
        <w:footnoteReference w:id="59"/>
      </w:r>
    </w:p>
    <w:p>
      <w:pPr>
        <w:pStyle w:val="BodyText"/>
      </w:pPr>
      <w:r>
        <w:t xml:space="preserve">Over 100 years later, W. D. Hamilton</w:t>
      </w:r>
      <w:r>
        <w:t xml:space="preserve"> </w:t>
      </w:r>
      <w:r>
        <w:t xml:space="preserve">(1975)</w:t>
      </w:r>
      <w:r>
        <w:t xml:space="preserve"> </w:t>
      </w:r>
      <w:r>
        <w:t xml:space="preserve">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w:t>
      </w:r>
      <w:r>
        <w:t xml:space="preserve"> </w:t>
      </w:r>
      <w:r>
        <w:t xml:space="preserve">(1976)</w:t>
      </w:r>
      <w:r>
        <w:t xml:space="preserve"> </w:t>
      </w:r>
      <w:r>
        <w:t xml:space="preserve">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0"/>
    <w:bookmarkEnd w:id="61"/>
    <w:bookmarkStart w:id="66"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amazel\AppData\Local\Programs\Quarto\share\formats\docx\note.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w:t>
            </w:r>
            <w:r>
              <w:t xml:space="preserve"> </w:t>
            </w:r>
            <w:r>
              <w:t xml:space="preserve">(1978)</w:t>
            </w:r>
            <w:r>
              <w:t xml:space="preserve"> </w:t>
            </w:r>
            <w:r>
              <w:t xml:space="preserve">model showing the cost of producing males.</w:t>
            </w:r>
            <w:r>
              <w:rPr>
                <w:rStyle w:val="FootnoteReference"/>
              </w:rPr>
              <w:footnoteReference w:id="65"/>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1, while</w:t>
            </w:r>
            <w:r>
              <w:t xml:space="preserve"> </w:t>
            </w:r>
            <m:oMath>
              <m:sSub>
                <m:e>
                  <m:r>
                    <m:t>N</m:t>
                  </m:r>
                </m:e>
                <m:sub>
                  <m:r>
                    <m:t>s</m:t>
                  </m:r>
                  <m:r>
                    <m:t>e</m:t>
                  </m:r>
                  <m:r>
                    <m:t>x</m:t>
                  </m:r>
                </m:sub>
              </m:sSub>
            </m:oMath>
            <w:r>
              <w:t xml:space="preserve"> </w:t>
            </w:r>
            <w:r>
              <w:t xml:space="preserve">gives the total number of sexual individuals (males plus females) at time one.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two can then be calculated as in the table below. (Note, we do not assume that the population is at carrying capacity).</w:t>
            </w:r>
          </w:p>
          <w:tbl>
            <w:tblPr>
              <w:tblStyle w:val="Table"/>
              <w:tblW w:type="pct" w:w="5000"/>
              <w:tblLook w:firstRow="1" w:lastRow="0" w:firstColumn="0" w:lastColumn="0" w:noHBand="0" w:noVBand="0" w:val="0020"/>
              <w:jc w:val="start"/>
            </w:tblPr>
            <w:tblGrid>
              <w:gridCol w:w="1272"/>
              <w:gridCol w:w="1791"/>
              <w:gridCol w:w="4855"/>
            </w:tblGrid>
            <w:tr>
              <w:trPr>
                <w:tblHeader w:val="true"/>
              </w:trPr>
              <w:tc>
                <w:tcPr/>
                <w:p>
                  <w:pPr>
                    <w:pStyle w:val="Compact"/>
                  </w:pPr>
                </w:p>
              </w:tc>
              <w:tc>
                <w:tcPr/>
                <w:p>
                  <w:pPr>
                    <w:pStyle w:val="Compact"/>
                    <w:jc w:val="center"/>
                  </w:pPr>
                  <w:r>
                    <w:rPr>
                      <w:bCs/>
                      <w:b/>
                    </w:rPr>
                    <w:t xml:space="preserve">Time One</w:t>
                  </w:r>
                </w:p>
              </w:tc>
              <w:tc>
                <w:tcPr/>
                <w:p>
                  <w:pPr>
                    <w:pStyle w:val="Compact"/>
                    <w:jc w:val="center"/>
                  </w:pPr>
                  <w:r>
                    <w:rPr>
                      <w:bCs/>
                      <w:b/>
                    </w:rPr>
                    <w:t xml:space="preserve">Time Two</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p>
            <w:pPr>
              <w:pStyle w:val="BodyText"/>
            </w:pPr>
            <w:r>
              <w:t xml:space="preserve">The fold increase in frequency of asexuals,</w:t>
            </w:r>
            <w:r>
              <w:t xml:space="preserve"> </w:t>
            </w:r>
            <m:oMath>
              <m:r>
                <m:t>F</m:t>
              </m:r>
            </m:oMath>
            <w:r>
              <w:t xml:space="preserve">, is the ratio of the frequency of asexuals at time two divided by the frequency of asexuals at time one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one,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two-fold.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6"/>
    <w:bookmarkEnd w:id="67"/>
    <w:bookmarkStart w:id="112"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69" name="Picture"/>
                  <a:graphic>
                    <a:graphicData uri="http://schemas.openxmlformats.org/drawingml/2006/picture">
                      <pic:pic>
                        <pic:nvPicPr>
                          <pic:cNvPr descr="images/fig2-1.jpeg" id="70" name="Picture"/>
                          <pic:cNvPicPr>
                            <a:picLocks noChangeArrowheads="1" noChangeAspect="1"/>
                          </pic:cNvPicPr>
                        </pic:nvPicPr>
                        <pic:blipFill>
                          <a:blip r:embed="rId68"/>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 (Kondrashov 1993). In what follows, I first focus on the ecological hypotheses. The ideas underlying these hypotheses provide a handle for understanding some of the foundational concepts in evolutionary ecology.</w:t>
      </w:r>
    </w:p>
    <w:bookmarkStart w:id="75" w:name="the-lottery-model"/>
    <w:p>
      <w:pPr>
        <w:pStyle w:val="Heading2"/>
      </w:pPr>
      <w:r>
        <w:t xml:space="preserve">2.1 The Lottery Model</w:t>
      </w:r>
    </w:p>
    <w:p>
      <w:pPr>
        <w:pStyle w:val="FirstParagraph"/>
      </w:pPr>
      <w:r>
        <w:t xml:space="preserve">As part of his book on the evolution of sex, Williams (1975) suggested that sex could be favored in fluctuating abiotic environments. The idea is intuitive: cross-fertilization generates variation among offspring. Hence, in fluctuating environments, sex could increase the probability that some offspring might survive. Williams likened the idea to a unique kind of lottery. For example, he wrote:</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referred to the idea as the aphid-rotifer model, but the idea has since come to be known as the Lottery Model (following Bell 1982), which is a more descriptive phrase.</w:t>
      </w:r>
      <w:r>
        <w:rPr>
          <w:rStyle w:val="FootnoteReference"/>
        </w:rPr>
        <w:footnoteReference w:id="71"/>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bet-hedging in evolutionary theory is that selection can act to reduce the variance in reproductive success over time, even if it also reduces the arithmetic mean across years (review in Philippi and Seger 1989).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2"/>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3"/>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 (Stearns 2000):</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4"/>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that under a two-fold cost of sex, asexuals can replace large populations of sexuals in tens of generations (see chapter 1). So, if the Lottery Model is correct, significant environmental change must occur very rapidly. The many thousands of years between ice ages, for example, would be too long.</w:t>
      </w:r>
    </w:p>
    <w:bookmarkEnd w:id="75"/>
    <w:bookmarkStart w:id="84"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 (Vrijenhoek 1979). This kind of process could explain those situations in which sexual and asexual females coexist, which was a major advance.</w:t>
      </w:r>
      <w:r>
        <w:rPr>
          <w:rStyle w:val="FootnoteReference"/>
        </w:rPr>
        <w:footnoteReference w:id="76"/>
      </w:r>
    </w:p>
    <w:p>
      <w:pPr>
        <w:pStyle w:val="BodyText"/>
      </w:pPr>
      <w:r>
        <w:t xml:space="preserve">A conceptually similar model was independently developed by Graham Bell: the Tangled Bank Hypothesis (Bell 1982).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(1953) pioneering model, which showed that polymorphism could be maintained in a spatially heterogeneous environment provided that different genotypes specialize on different resources.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rPr>
          <w:iCs/>
          <w:i/>
        </w:rPr>
        <w:t xml:space="preserve">frequency-dependent selection</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 (Wallace 1975).</w:t>
      </w:r>
      <w:r>
        <w:rPr>
          <w:rStyle w:val="FootnoteReference"/>
        </w:rPr>
        <w:footnoteReference w:id="77"/>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1" w:name="fig-2-2"/>
          <w:p>
            <w:pPr>
              <w:jc w:val="center"/>
            </w:pPr>
            <w:r>
              <w:drawing>
                <wp:inline>
                  <wp:extent cx="3980688" cy="4069079"/>
                  <wp:effectExtent b="0" l="0" r="0" t="0"/>
                  <wp:docPr descr="" title="" id="79" name="Picture"/>
                  <a:graphic>
                    <a:graphicData uri="http://schemas.openxmlformats.org/drawingml/2006/picture">
                      <pic:pic>
                        <pic:nvPicPr>
                          <pic:cNvPr descr="images/fig2-2.jpeg" id="80" name="Picture"/>
                          <pic:cNvPicPr>
                            <a:picLocks noChangeArrowheads="1" noChangeAspect="1"/>
                          </pic:cNvPicPr>
                        </pic:nvPicPr>
                        <pic:blipFill>
                          <a:blip r:embed="rId78"/>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 (1975).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1"/>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2"/>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 (Maynard Smith and Hoekstra 1980, Lively 1986a) (see also</w:t>
      </w:r>
      <w:r>
        <w:t xml:space="preserve"> </w:t>
      </w:r>
      <w:hyperlink r:id="rId83">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 (Bell 1982, Vrijenhoek and Parker 2009).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 (Vrijenhoek and Parker 2009). Coexistence, however, is also compatible with the Red Queen hypothesis, which we will now consider.</w:t>
      </w:r>
    </w:p>
    <w:bookmarkEnd w:id="84"/>
    <w:bookmarkStart w:id="104"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5"/>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was a single genotype, while the sexual population was composed of multiple recombining genotypes, only one of which was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89" w:name="fig-2-3"/>
          <w:p>
            <w:pPr>
              <w:jc w:val="center"/>
            </w:pPr>
            <w:r>
              <w:drawing>
                <wp:inline>
                  <wp:extent cx="5943600" cy="7768311"/>
                  <wp:effectExtent b="0" l="0" r="0" t="0"/>
                  <wp:docPr descr="" title="" id="87" name="Picture"/>
                  <a:graphic>
                    <a:graphicData uri="http://schemas.openxmlformats.org/drawingml/2006/picture">
                      <pic:pic>
                        <pic:nvPicPr>
                          <pic:cNvPr descr="images/fig2-3.jpg" id="88" name="Picture"/>
                          <pic:cNvPicPr>
                            <a:picLocks noChangeArrowheads="1" noChangeAspect="1"/>
                          </pic:cNvPicPr>
                        </pic:nvPicPr>
                        <pic:blipFill>
                          <a:blip r:embed="rId86"/>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 (2009), which treats parasite virulence as a positive function of host density.</w:t>
            </w:r>
          </w:p>
          <w:bookmarkEnd w:id="89"/>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 (Peters and Lively 1999, Schmid-Hempel and Jokela 2002, Peters and Lively 2007, Salathe et al. 2008). These related ideas are now called the Red Queen Hypothesis (following Bell 1982).</w:t>
      </w:r>
    </w:p>
    <w:tbl>
      <w:tblPr>
        <w:tblStyle w:val="Table"/>
        <w:tblW w:type="pct" w:w="5000"/>
        <w:tblLook w:firstRow="0" w:lastRow="0" w:firstColumn="0" w:lastColumn="0" w:noHBand="0" w:noVBand="0" w:val="0000"/>
        <w:jc w:val="start"/>
      </w:tblPr>
      <w:tblGrid>
        <w:gridCol w:w="7920"/>
      </w:tblGrid>
      <w:tr>
        <w:tc>
          <w:tcPr/>
          <w:bookmarkStart w:id="93" w:name="fig-2-4"/>
          <w:p>
            <w:pPr>
              <w:jc w:val="center"/>
            </w:pPr>
            <w:r>
              <w:drawing>
                <wp:inline>
                  <wp:extent cx="5943600" cy="4065198"/>
                  <wp:effectExtent b="0" l="0" r="0" t="0"/>
                  <wp:docPr descr="" title="" id="91" name="Picture"/>
                  <a:graphic>
                    <a:graphicData uri="http://schemas.openxmlformats.org/drawingml/2006/picture">
                      <pic:pic>
                        <pic:nvPicPr>
                          <pic:cNvPr descr="images/fig2-4.jpeg" id="92" name="Picture"/>
                          <pic:cNvPicPr>
                            <a:picLocks noChangeArrowheads="1" noChangeAspect="1"/>
                          </pic:cNvPicPr>
                        </pic:nvPicPr>
                        <pic:blipFill>
                          <a:blip r:embed="rId90"/>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 Lively (2009). The dashed line shows the average genotype frequency for hosts and parasites.</w:t>
            </w:r>
          </w:p>
          <w:bookmarkEnd w:id="93"/>
        </w:tc>
      </w:tr>
    </w:tbl>
    <w:bookmarkStart w:id="97"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rPr>
          <w:iCs/>
          <w:i/>
        </w:rPr>
        <w:t xml:space="preserve">Are there more people in the garden besides me?</w:t>
      </w:r>
      <w:r>
        <w:t xml:space="preserve"> </w:t>
      </w:r>
      <w:r>
        <w:t xml:space="preserve">The rose answers</w:t>
      </w:r>
      <w:r>
        <w:t xml:space="preserve"> </w:t>
      </w:r>
      <w:r>
        <w:rPr>
          <w:iCs/>
          <w:i/>
        </w:rPr>
        <w:t xml:space="preserve">yes, there is someone like you.</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t xml:space="preserve">I 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the hill.</w:t>
      </w:r>
      <w:r>
        <w:t xml:space="preserve">”</w:t>
      </w:r>
      <w:r>
        <w:t xml:space="preserve"> </w:t>
      </w:r>
      <w:r>
        <w:t xml:space="preserve">The Red Queen replies:</w:t>
      </w:r>
      <w:r>
        <w:t xml:space="preserve"> </w:t>
      </w:r>
      <w:r>
        <w:t xml:space="preserve">“</w:t>
      </w:r>
      <w:r>
        <w:t xml:space="preserve">I could show you hills in comparison with which you’d call that a valley.</w:t>
      </w:r>
      <w:r>
        <w:t xml:space="preserve">”</w:t>
      </w:r>
      <w:r>
        <w:t xml:space="preserve"> </w:t>
      </w:r>
      <w:r>
        <w:t xml:space="preserve">Alice protests:</w:t>
      </w:r>
      <w:r>
        <w:t xml:space="preserve"> </w:t>
      </w:r>
      <w:r>
        <w:t xml:space="preserve">“</w:t>
      </w:r>
      <w:r>
        <w:t xml:space="preserve">a hill ca’n’t 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 have been under this tree the whole time! Everything is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4"/>
      </w:r>
      <w:r>
        <w:t xml:space="preserve">. 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 (Bayley 2009, 2010). Along these lines, mathematician Sanderson M. Smith has suggested that</w:t>
      </w:r>
      <w:r>
        <w:t xml:space="preserve"> </w:t>
      </w:r>
      <w:hyperlink r:id="rId95">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 (Van Valen 1973). It thus seems reasonable to suggest that both antagonists must run (coevolve) as fast as they can to prevent extinction. Graham Bell repurposed the phrase to mean within-population oscillations in host and parasite genotypes (Bell 1982).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6"/>
      </w:r>
    </w:p>
    <w:bookmarkEnd w:id="97"/>
    <w:bookmarkStart w:id="103"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 (1975). Hamilton was reviewing the books by Williams (1975) and Ghiselin (1974) for the</w:t>
      </w:r>
      <w:r>
        <w:t xml:space="preserve"> </w:t>
      </w:r>
      <w:r>
        <w:rPr>
          <w:iCs/>
          <w:i/>
        </w:rPr>
        <w:t xml:space="preserve">Quarterly Review of Biology</w:t>
      </w:r>
      <w:r>
        <w:t xml:space="preserve">. Throughout the review, the reader can feel Hamilton’s frustration with their arguments. Towards the end, he makes this very abstract suggestion:</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 (Hamilton 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 (Levin 1975):</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 (1978)</w:t>
      </w:r>
      <w:r>
        <w:rPr>
          <w:rStyle w:val="FootnoteReference"/>
        </w:rPr>
        <w:footnoteReference w:id="98"/>
      </w:r>
      <w:r>
        <w:t xml:space="preserve">, Jaenike (1978)</w:t>
      </w:r>
      <w:r>
        <w:rPr>
          <w:rStyle w:val="FootnoteReference"/>
        </w:rPr>
        <w:footnoteReference w:id="99"/>
      </w:r>
      <w:r>
        <w:t xml:space="preserve">, and Lloyd (1980). In particular, Lloyd writes:</w:t>
      </w:r>
      <w:r>
        <w:t xml:space="preserve"> </w:t>
      </w:r>
      <w:r>
        <w:t xml:space="preserve">“</w:t>
      </w:r>
      <w:r>
        <w:t xml:space="preserve">… 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0"/>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1"/>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 and</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 (review in Otto 2021). I will cover some special cases of this latter idea in</w:t>
      </w:r>
      <w:r>
        <w:t xml:space="preserve"> </w:t>
      </w:r>
      <w:hyperlink w:anchor="sec-chap6">
        <w:r>
          <w:rPr>
            <w:rStyle w:val="Hyperlink"/>
          </w:rPr>
          <w:t xml:space="preserve">Chapter 4</w:t>
        </w:r>
      </w:hyperlink>
      <w:r>
        <w:t xml:space="preserve">.</w:t>
      </w:r>
      <w:r>
        <w:rPr>
          <w:rStyle w:val="FootnoteReference"/>
        </w:rPr>
        <w:footnoteReference w:id="102"/>
      </w:r>
    </w:p>
    <w:bookmarkEnd w:id="103"/>
    <w:bookmarkEnd w:id="104"/>
    <w:bookmarkStart w:id="111"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 (following Bell 1982).</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5" name="Picture"/>
                  <a:graphic>
                    <a:graphicData uri="http://schemas.openxmlformats.org/drawingml/2006/picture">
                      <pic:pic>
                        <pic:nvPicPr>
                          <pic:cNvPr descr="C:\Users\amazel\AppData\Local\Programs\Quarto\share\formats\docx\note.png" id="106"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The paper is not easy to follow, even 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1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1.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when,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tbl>
            <w:tblPr>
              <w:tblStyle w:val="Table"/>
              <w:tblW w:type="pct" w:w="5000"/>
              <w:tblLook w:firstRow="1" w:lastRow="0" w:firstColumn="0" w:lastColumn="0" w:noHBand="0" w:noVBand="0" w:val="0020"/>
              <w:jc w:val="start"/>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1</w:t>
                  </w:r>
                </w:p>
              </w:tc>
              <w:tc>
                <w:tcPr/>
                <w:p>
                  <w:pPr>
                    <w:pStyle w:val="Compact"/>
                    <w:jc w:val="left"/>
                  </w:pPr>
                  <w:r>
                    <w:rPr>
                      <w:bCs/>
                      <w:b/>
                    </w:rPr>
                    <w:t xml:space="preserve">Fitness Niche 2</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 (Prout 1968). However, Timothy Prout showed that a polymorphism could be stable, even if one allele is dominate, thus ruling out any kind of overdominance (Prout 1968). Let both the AA and AB genotypes have a fitness of 1 in both niches. Let the BB genotype have a fitness of 0.5 in niche 1 and a fitness of 1.67 in niche 2. Assuming as above that both patches are equally common, we get the following table.</w:t>
            </w:r>
          </w:p>
          <w:tbl>
            <w:tblPr>
              <w:tblStyle w:val="Table"/>
              <w:tblW w:type="pct" w:w="5000"/>
              <w:tblLook w:firstRow="1" w:lastRow="0" w:firstColumn="0" w:lastColumn="0" w:noHBand="0" w:noVBand="0" w:val="0020"/>
              <w:jc w:val="start"/>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1</w:t>
                  </w:r>
                </w:p>
              </w:tc>
              <w:tc>
                <w:tcPr/>
                <w:p>
                  <w:pPr>
                    <w:pStyle w:val="Compact"/>
                    <w:jc w:val="left"/>
                  </w:pPr>
                  <w:r>
                    <w:rPr>
                      <w:bCs/>
                      <w:b/>
                    </w:rPr>
                    <w:t xml:space="preserve">Fitness Niche 2</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p>
            <w:pPr>
              <w:pStyle w:val="BodyText"/>
            </w:pPr>
            <w:r>
              <w:t xml:space="preserve">Prout showed that there would be a stable multiple niche polymorphism, even under complete dominance, provided that the arithmetic mean fitness for BB is greater than 1, and that the harmonic mean fitness for the BB genotype is less than 1. So, clearly, overdominance for harmonic mean fitness is not required for a stable polymorphism.</w:t>
            </w:r>
            <w:r>
              <w:rPr>
                <w:rStyle w:val="FootnoteReference"/>
              </w:rPr>
              <w:footnoteReference w:id="107"/>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1.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09" name="Picture"/>
                        <a:graphic>
                          <a:graphicData uri="http://schemas.openxmlformats.org/drawingml/2006/picture">
                            <pic:pic>
                              <pic:nvPicPr>
                                <pic:cNvPr descr="images/fig2-5.jpg" id="110" name="Picture"/>
                                <pic:cNvPicPr>
                                  <a:picLocks noChangeArrowheads="1" noChangeAspect="1"/>
                                </pic:cNvPicPr>
                              </pic:nvPicPr>
                              <pic:blipFill>
                                <a:blip r:embed="rId108"/>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1"/>
    <w:bookmarkEnd w:id="112"/>
    <w:bookmarkStart w:id="164"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4" name="Picture"/>
                  <a:graphic>
                    <a:graphicData uri="http://schemas.openxmlformats.org/drawingml/2006/picture">
                      <pic:pic>
                        <pic:nvPicPr>
                          <pic:cNvPr descr="images/fig3-1.jpeg" id="115" name="Picture"/>
                          <pic:cNvPicPr>
                            <a:picLocks noChangeArrowheads="1" noChangeAspect="1"/>
                          </pic:cNvPicPr>
                        </pic:nvPicPr>
                        <pic:blipFill>
                          <a:blip r:embed="rId113"/>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16"/>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 (Lively 1986c).</w:t>
      </w:r>
      <w:r>
        <w:rPr>
          <w:rStyle w:val="FootnoteReference"/>
        </w:rPr>
        <w:footnoteReference w:id="117"/>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 (Lively 1986b).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 (Lively 1986b).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 (Lloyd 1984).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1" w:name="fig-3-2"/>
          <w:p>
            <w:pPr>
              <w:jc w:val="center"/>
            </w:pPr>
            <w:r>
              <w:drawing>
                <wp:inline>
                  <wp:extent cx="2377440" cy="3076687"/>
                  <wp:effectExtent b="0" l="0" r="0" t="0"/>
                  <wp:docPr descr="" title="" id="119" name="Picture"/>
                  <a:graphic>
                    <a:graphicData uri="http://schemas.openxmlformats.org/drawingml/2006/picture">
                      <pic:pic>
                        <pic:nvPicPr>
                          <pic:cNvPr descr="images/fig3-2.jpeg" id="120" name="Picture"/>
                          <pic:cNvPicPr>
                            <a:picLocks noChangeArrowheads="1" noChangeAspect="1"/>
                          </pic:cNvPicPr>
                        </pic:nvPicPr>
                        <pic:blipFill>
                          <a:blip r:embed="rId118"/>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1"/>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5" w:name="fig-3-3"/>
          <w:p>
            <w:pPr>
              <w:jc w:val="center"/>
            </w:pPr>
            <w:r>
              <w:drawing>
                <wp:inline>
                  <wp:extent cx="2377440" cy="2657717"/>
                  <wp:effectExtent b="0" l="0" r="0" t="0"/>
                  <wp:docPr descr="" title="" id="123" name="Picture"/>
                  <a:graphic>
                    <a:graphicData uri="http://schemas.openxmlformats.org/drawingml/2006/picture">
                      <pic:pic>
                        <pic:nvPicPr>
                          <pic:cNvPr descr="images/fig3-3.jpeg" id="124" name="Picture"/>
                          <pic:cNvPicPr>
                            <a:picLocks noChangeArrowheads="1" noChangeAspect="1"/>
                          </pic:cNvPicPr>
                        </pic:nvPicPr>
                        <pic:blipFill>
                          <a:blip r:embed="rId122"/>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5"/>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26"/>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 (e.g., Clark 1976).</w:t>
      </w:r>
    </w:p>
    <w:p>
      <w:pPr>
        <w:pStyle w:val="BodyText"/>
      </w:pPr>
      <w:r>
        <w:t xml:space="preserve">I began looking for natural systems to study facultative parthenogenesis.</w:t>
      </w:r>
      <w:r>
        <w:rPr>
          <w:rStyle w:val="FootnoteReference"/>
        </w:rPr>
        <w:footnoteReference w:id="127"/>
      </w:r>
      <w:r>
        <w:t xml:space="preserve"> </w:t>
      </w:r>
      <w:r>
        <w:t xml:space="preserve">To this end, I was reading Graham Bell’s incredible book on the evolution and genetics of sexual reproduction (Bell 1982). Searching the index, I found a reference to</w:t>
      </w:r>
      <w:r>
        <w:t xml:space="preserve"> </w:t>
      </w:r>
      <w:r>
        <w:rPr>
          <w:iCs/>
          <w:i/>
        </w:rPr>
        <w:t xml:space="preserve">Potamopyrgus antipodarum</w:t>
      </w:r>
      <w:r>
        <w:t xml:space="preserve">, a New Zealand freshwater snail. Bell had cited Mike Winterbourn’s dissertation work on this snail (Winterbourn 1970).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28"/>
      </w:r>
    </w:p>
    <w:bookmarkStart w:id="137"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 (Chamberlin 1890, Platt 1964).</w:t>
      </w:r>
      <w:r>
        <w:rPr>
          <w:rStyle w:val="FootnoteReference"/>
        </w:rPr>
        <w:footnoteReference w:id="129"/>
      </w:r>
      <w:r>
        <w:t xml:space="preserve"> </w:t>
      </w:r>
      <w:r>
        <w:t xml:space="preserve">The idea is that multiple hypotheses should be simultaneously considered. Then, to the extent possible, the alternatives are forced to make different a priori 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 (Platt 1964). Thus, the focus is on falsifying one or more of the alternatives, rather than proving one of them (Popper 1959). Graham Bell used this same method to contrast the ecological models for sex by using data on the geographic distribution of asexual individuals across many plant and animal taxa (Bell 1982).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4" w:name="fig-3-4"/>
          <w:p>
            <w:pPr>
              <w:jc w:val="center"/>
            </w:pPr>
            <w:r>
              <w:drawing>
                <wp:inline>
                  <wp:extent cx="5943600" cy="3965495"/>
                  <wp:effectExtent b="0" l="0" r="0" t="0"/>
                  <wp:docPr descr="" title="" id="131" name="Picture"/>
                  <a:graphic>
                    <a:graphicData uri="http://schemas.openxmlformats.org/drawingml/2006/picture">
                      <pic:pic>
                        <pic:nvPicPr>
                          <pic:cNvPr descr="images/fig3-4.jpeg" id="132" name="Picture"/>
                          <pic:cNvPicPr>
                            <a:picLocks noChangeArrowheads="1" noChangeAspect="1"/>
                          </pic:cNvPicPr>
                        </pic:nvPicPr>
                        <pic:blipFill>
                          <a:blip r:embed="rId130"/>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 (Phillips and Lambert 1990).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 (Lively and Johnson 1994).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3">
              <w:r>
                <w:rPr>
                  <w:rStyle w:val="Hyperlink"/>
                </w:rPr>
                <w:t xml:space="preserve">Bart Zijlstra</w:t>
              </w:r>
            </w:hyperlink>
            <w:r>
              <w:t xml:space="preserve">.</w:t>
            </w:r>
          </w:p>
          <w:bookmarkEnd w:id="134"/>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 (Winterbourn et al. 1981).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 (1983).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36"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5"/>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36"/>
    <w:bookmarkEnd w:id="137"/>
    <w:bookmarkStart w:id="152"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 (1973) described. I reasoned that the frequency of males in a population must be strongly correlated with the frequency of sexual females simply because males are only produced by sexual females.</w:t>
      </w:r>
      <w:r>
        <w:rPr>
          <w:rStyle w:val="FootnoteReference"/>
        </w:rPr>
        <w:footnoteReference w:id="138"/>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(Lively 1987).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(Lively 1987).</w:t>
      </w:r>
      <w:r>
        <w:rPr>
          <w:rStyle w:val="FootnoteReference"/>
        </w:rPr>
        <w:footnoteReference w:id="139"/>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 (Burt and Bell 1987).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0"/>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 (1987) 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 (1980) and others (e.g., Glesener and Tilman 1978, Bell 1982).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 (Gould 1991, Stolley 1991).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 (1966) was correct when he wrote, “Hence our truth is the intersection of independent lies.</w:t>
      </w:r>
      <w:r>
        <w:rPr>
          <w:rStyle w:val="FootnoteReference"/>
        </w:rPr>
        <w:footnoteReference w:id="141"/>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2"/>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 (Anderson and May 1979, May and Anderson 1979). Second, there might be more sex in dense populations because asexual reproduction is favored in sparse populations as a way for individuals to ensure reproduction even in the absence of conspecific mates (Tomlinson 1966, Gerritsen 1980, Lloyd 1980).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 (Lively 1992).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3"/>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47" w:name="fig-3-5"/>
          <w:p>
            <w:pPr>
              <w:jc w:val="center"/>
            </w:pPr>
            <w:r>
              <w:drawing>
                <wp:inline>
                  <wp:extent cx="5772150" cy="6019800"/>
                  <wp:effectExtent b="0" l="0" r="0" t="0"/>
                  <wp:docPr descr="" title="" id="145" name="Picture"/>
                  <a:graphic>
                    <a:graphicData uri="http://schemas.openxmlformats.org/drawingml/2006/picture">
                      <pic:pic>
                        <pic:nvPicPr>
                          <pic:cNvPr descr="images/fig3-5.JPG" id="146" name="Picture"/>
                          <pic:cNvPicPr>
                            <a:picLocks noChangeArrowheads="1" noChangeAspect="1"/>
                          </pic:cNvPicPr>
                        </pic:nvPicPr>
                        <pic:blipFill>
                          <a:blip r:embed="rId144"/>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 (Lively 1987) plus two river samples. Gray triangles represent lake populations (Lively 1987). Black triangles represent lake and tarn populations (Lively 1992). The correlation is positive and statistically significant.</w:t>
            </w:r>
          </w:p>
          <w:bookmarkEnd w:id="147"/>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 (Lively 2001). For example, infected snails might die at a faster rate than uninfected snails because of the energetic demands of infection. In addition, infected snails are more likely than uninfected snails to forage after sunrise, which exposes them to predation by their final hosts, ducks (Levri and Lively 1996, Levri and Fisher 2000). Prevalence of infection might also fluctuate over time as the genetic diversity in the host population changes and/or as the final hosts move among locations. We now know that the prevalence of infection varies greatly among years and among sites in the same lake (Gibson et al. 2016). Thus, detecting a significant correlation between sex and infection could be dicey, even if parasites were solely responsible for the short-term maintenance of sex in mixed populations.</w:t>
      </w:r>
      <w:r>
        <w:rPr>
          <w:rStyle w:val="FootnoteReference"/>
        </w:rPr>
        <w:footnoteReference w:id="148"/>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49"/>
      </w:r>
      <w:r>
        <w:t xml:space="preserve"> </w:t>
      </w:r>
      <w:r>
        <w:t xml:space="preserve">We resampled all 20 lakes 10 – 15 years after my original samples. We found that prevalence of infection was highly correlated between sample periods as was male frequency (Lively and Jokela 2002).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0"/>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1"/>
      </w:r>
      <w:r>
        <w:t xml:space="preserve"> </w:t>
      </w:r>
      <w:r>
        <w:t xml:space="preserve">But the results do imply that the Red Queen Hypothesis was (and still is) worthy of further study.</w:t>
      </w:r>
    </w:p>
    <w:bookmarkEnd w:id="152"/>
    <w:bookmarkStart w:id="163"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56" w:name="fig-3-6"/>
          <w:p>
            <w:pPr>
              <w:jc w:val="center"/>
            </w:pPr>
            <w:r>
              <w:drawing>
                <wp:inline>
                  <wp:extent cx="4895850" cy="5819775"/>
                  <wp:effectExtent b="0" l="0" r="0" t="0"/>
                  <wp:docPr descr="" title="" id="154" name="Picture"/>
                  <a:graphic>
                    <a:graphicData uri="http://schemas.openxmlformats.org/drawingml/2006/picture">
                      <pic:pic>
                        <pic:nvPicPr>
                          <pic:cNvPr descr="images/fig3-6.JPG" id="155" name="Picture"/>
                          <pic:cNvPicPr>
                            <a:picLocks noChangeArrowheads="1" noChangeAspect="1"/>
                          </pic:cNvPicPr>
                        </pic:nvPicPr>
                        <pic:blipFill>
                          <a:blip r:embed="rId153"/>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 (Redrawn from Lively (1992).)</w:t>
            </w:r>
          </w:p>
          <w:bookmarkEnd w:id="156"/>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7" name="Picture"/>
                  <a:graphic>
                    <a:graphicData uri="http://schemas.openxmlformats.org/drawingml/2006/picture">
                      <pic:pic>
                        <pic:nvPicPr>
                          <pic:cNvPr descr="C:\Users\amazel\AppData\Local\Programs\Quarto\share\formats\docx\note.png" id="158"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 (Lively 1986a).</w:t>
            </w:r>
          </w:p>
          <w:p>
            <w:pPr>
              <w:pStyle w:val="BodyText"/>
            </w:pPr>
            <w:r>
              <w:t xml:space="preserve">An example of the output is shown below. The results show that any of the three strategies can be an ESS in part of the parameter space.</w:t>
            </w:r>
            <w:r>
              <w:rPr>
                <w:rStyle w:val="FootnoteReference"/>
              </w:rPr>
              <w:footnoteReference w:id="159"/>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 (Levinton 1988). Also note that the conditions for a genetic polymorphism are relatively narrow. Redrawn from (Lively 1999b) 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1" name="Picture"/>
                        <a:graphic>
                          <a:graphicData uri="http://schemas.openxmlformats.org/drawingml/2006/picture">
                            <pic:pic>
                              <pic:nvPicPr>
                                <pic:cNvPr descr="images/fig3-7.JPG" id="162" name="Picture"/>
                                <pic:cNvPicPr>
                                  <a:picLocks noChangeArrowheads="1" noChangeAspect="1"/>
                                </pic:cNvPicPr>
                              </pic:nvPicPr>
                              <pic:blipFill>
                                <a:blip r:embed="rId160"/>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3"/>
    <w:bookmarkEnd w:id="164"/>
    <w:bookmarkStart w:id="166" w:name="sec-chap6"/>
    <w:p>
      <w:pPr>
        <w:pStyle w:val="Heading1"/>
      </w:pPr>
      <w:r>
        <w:t xml:space="preserve">4.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65" w:name="the-problem-1"/>
    <w:p>
      <w:pPr>
        <w:pStyle w:val="Heading2"/>
      </w:pPr>
      <w:r>
        <w:t xml:space="preserve">4.1 The Problem</w:t>
      </w:r>
    </w:p>
    <w:bookmarkEnd w:id="165"/>
    <w:bookmarkEnd w:id="166"/>
    <w:bookmarkStart w:id="194" w:name="references"/>
    <w:p>
      <w:pPr>
        <w:pStyle w:val="Heading1"/>
      </w:pPr>
      <w:r>
        <w:t xml:space="preserve">References</w:t>
      </w:r>
    </w:p>
    <w:bookmarkStart w:id="193" w:name="refs"/>
    <w:bookmarkStart w:id="167" w:name="ref-bell1982a"/>
    <w:p>
      <w:pPr>
        <w:pStyle w:val="Bibliography"/>
      </w:pPr>
      <w:r>
        <w:t xml:space="preserve">Bell, G. 1982.</w:t>
      </w:r>
      <w:r>
        <w:t xml:space="preserve"> </w:t>
      </w:r>
      <w:r>
        <w:rPr>
          <w:iCs/>
          <w:i/>
        </w:rPr>
        <w:t xml:space="preserve">The Masterpiece of Nature: The Evolution and Genetics of Sexuality</w:t>
      </w:r>
      <w:r>
        <w:t xml:space="preserve">. Berkeley: University of California Press.</w:t>
      </w:r>
    </w:p>
    <w:bookmarkEnd w:id="167"/>
    <w:bookmarkStart w:id="168" w:name="ref-churchill1979a"/>
    <w:p>
      <w:pPr>
        <w:pStyle w:val="Bibliography"/>
      </w:pPr>
      <w:r>
        <w:t xml:space="preserve">Churchill, F. B. 1979.</w:t>
      </w:r>
      <w:r>
        <w:t xml:space="preserve"> </w:t>
      </w:r>
      <w:r>
        <w:t xml:space="preserve">“Sex and the Single Organism: Biological Theories of Sex in Mid Nineteenth Century.”</w:t>
      </w:r>
      <w:r>
        <w:t xml:space="preserve"> </w:t>
      </w:r>
      <w:r>
        <w:rPr>
          <w:iCs/>
          <w:i/>
        </w:rPr>
        <w:t xml:space="preserve">Studies in the History of Biology</w:t>
      </w:r>
      <w:r>
        <w:t xml:space="preserve"> </w:t>
      </w:r>
      <w:r>
        <w:t xml:space="preserve">3: 139–77.</w:t>
      </w:r>
    </w:p>
    <w:bookmarkEnd w:id="168"/>
    <w:bookmarkStart w:id="170" w:name="ref-dagg2016a"/>
    <w:p>
      <w:pPr>
        <w:pStyle w:val="Bibliography"/>
      </w:pPr>
      <w:r>
        <w:t xml:space="preserve">Dagg, Joachim. 2016.</w:t>
      </w:r>
      <w:r>
        <w:t xml:space="preserve"> </w:t>
      </w:r>
      <w:r>
        <w:t xml:space="preserve">“On Recognising the Paradox of Sex.”</w:t>
      </w:r>
      <w:r>
        <w:t xml:space="preserve"> </w:t>
      </w:r>
      <w:r>
        <w:rPr>
          <w:iCs/>
          <w:i/>
        </w:rPr>
        <w:t xml:space="preserve">Philosophy and Theory in Biology</w:t>
      </w:r>
      <w:r>
        <w:t xml:space="preserve"> </w:t>
      </w:r>
      <w:r>
        <w:t xml:space="preserve">8.</w:t>
      </w:r>
      <w:r>
        <w:t xml:space="preserve"> </w:t>
      </w:r>
      <w:hyperlink r:id="rId169">
        <w:r>
          <w:rPr>
            <w:rStyle w:val="Hyperlink"/>
          </w:rPr>
          <w:t xml:space="preserve">http://philsci-archive.pitt.edu/12255/</w:t>
        </w:r>
      </w:hyperlink>
      <w:r>
        <w:t xml:space="preserve">.</w:t>
      </w:r>
    </w:p>
    <w:bookmarkEnd w:id="170"/>
    <w:bookmarkStart w:id="172" w:name="ref-darwin1862a"/>
    <w:p>
      <w:pPr>
        <w:pStyle w:val="Bibliography"/>
      </w:pPr>
      <w:r>
        <w:t xml:space="preserve">Darwin, Charles. 1862.</w:t>
      </w:r>
      <w:r>
        <w:t xml:space="preserve"> </w:t>
      </w:r>
      <w:r>
        <w:t xml:space="preserve">“On the Two Forms, or Dimorphic Condition, in the Species of Primula, and on Their Remarkable Sexual Relations.”</w:t>
      </w:r>
      <w:r>
        <w:t xml:space="preserve"> </w:t>
      </w:r>
      <w:r>
        <w:rPr>
          <w:iCs/>
          <w:i/>
        </w:rPr>
        <w:t xml:space="preserve">Journal of the Proceedings of the Linnean Society of London. Botany</w:t>
      </w:r>
      <w:r>
        <w:t xml:space="preserve"> </w:t>
      </w:r>
      <w:r>
        <w:t xml:space="preserve">6 (22): 77–96.</w:t>
      </w:r>
      <w:r>
        <w:t xml:space="preserve"> </w:t>
      </w:r>
      <w:hyperlink r:id="rId171">
        <w:r>
          <w:rPr>
            <w:rStyle w:val="Hyperlink"/>
          </w:rPr>
          <w:t xml:space="preserve">https://doi.org/10.1111/j.1095-8312.1862.tb01218.x</w:t>
        </w:r>
      </w:hyperlink>
      <w:r>
        <w:t xml:space="preserve">.</w:t>
      </w:r>
    </w:p>
    <w:bookmarkEnd w:id="172"/>
    <w:bookmarkStart w:id="173" w:name="ref-darwin1868a"/>
    <w:p>
      <w:pPr>
        <w:pStyle w:val="Bibliography"/>
      </w:pPr>
      <w:r>
        <w:t xml:space="preserve">———. 1868.</w:t>
      </w:r>
      <w:r>
        <w:t xml:space="preserve"> </w:t>
      </w:r>
      <w:r>
        <w:t xml:space="preserve">“The Variation of Plants and Animals Under Domestication.”</w:t>
      </w:r>
      <w:r>
        <w:t xml:space="preserve"> </w:t>
      </w:r>
      <w:r>
        <w:t xml:space="preserve">London: John Murray.</w:t>
      </w:r>
    </w:p>
    <w:bookmarkEnd w:id="173"/>
    <w:bookmarkStart w:id="175" w:name="ref-darwin1860a"/>
    <w:p>
      <w:pPr>
        <w:pStyle w:val="Bibliography"/>
      </w:pPr>
      <w:r>
        <w:t xml:space="preserve">———. n.d.</w:t>
      </w:r>
      <w:r>
        <w:t xml:space="preserve"> </w:t>
      </w:r>
      <w:r>
        <w:t xml:space="preserve">“Letter No. 2869.”</w:t>
      </w:r>
      <w:r>
        <w:t xml:space="preserve"> </w:t>
      </w:r>
      <w:r>
        <w:t xml:space="preserve">Darwin Correspondence Project.</w:t>
      </w:r>
      <w:r>
        <w:t xml:space="preserve"> </w:t>
      </w:r>
      <w:hyperlink r:id="rId174">
        <w:r>
          <w:rPr>
            <w:rStyle w:val="Hyperlink"/>
          </w:rPr>
          <w:t xml:space="preserve">https://www.darwinproject.ac.uk/letter/?docId=letters/DCP-LETT-2869.xml</w:t>
        </w:r>
      </w:hyperlink>
      <w:r>
        <w:t xml:space="preserve">.</w:t>
      </w:r>
    </w:p>
    <w:bookmarkEnd w:id="175"/>
    <w:bookmarkStart w:id="176" w:name="ref-fisher1941a"/>
    <w:p>
      <w:pPr>
        <w:pStyle w:val="Bibliography"/>
      </w:pPr>
      <w:r>
        <w:t xml:space="preserve">Fisher, R. A. 1941.</w:t>
      </w:r>
      <w:r>
        <w:t xml:space="preserve"> </w:t>
      </w:r>
      <w:r>
        <w:t xml:space="preserve">“Average Excess and Average Effect of a Gene Substitution.”</w:t>
      </w:r>
      <w:r>
        <w:t xml:space="preserve"> </w:t>
      </w:r>
      <w:r>
        <w:rPr>
          <w:iCs/>
          <w:i/>
        </w:rPr>
        <w:t xml:space="preserve">Annals of Eugenics</w:t>
      </w:r>
      <w:r>
        <w:t xml:space="preserve"> </w:t>
      </w:r>
      <w:r>
        <w:t xml:space="preserve">11: 53–63.</w:t>
      </w:r>
    </w:p>
    <w:bookmarkEnd w:id="176"/>
    <w:bookmarkStart w:id="177" w:name="ref-hamilton1975a"/>
    <w:p>
      <w:pPr>
        <w:pStyle w:val="Bibliography"/>
      </w:pPr>
      <w:r>
        <w:t xml:space="preserve">Hamilton, W. D. 1975.</w:t>
      </w:r>
      <w:r>
        <w:t xml:space="preserve"> </w:t>
      </w:r>
      <w:r>
        <w:t xml:space="preserve">“Innate Social Aptitudes of Man: An Approach from Evolutionary Genetics.”</w:t>
      </w:r>
      <w:r>
        <w:t xml:space="preserve"> </w:t>
      </w:r>
      <w:r>
        <w:t xml:space="preserve">In</w:t>
      </w:r>
      <w:r>
        <w:t xml:space="preserve"> </w:t>
      </w:r>
      <w:r>
        <w:rPr>
          <w:iCs/>
          <w:i/>
        </w:rPr>
        <w:t xml:space="preserve">Biosocial Anthropology</w:t>
      </w:r>
      <w:r>
        <w:t xml:space="preserve">, edited by R. Fox, 133–53. London: Malaby Press.</w:t>
      </w:r>
    </w:p>
    <w:bookmarkEnd w:id="177"/>
    <w:bookmarkStart w:id="178" w:name="ref-kuhn1970a"/>
    <w:p>
      <w:pPr>
        <w:pStyle w:val="Bibliography"/>
      </w:pPr>
      <w:r>
        <w:t xml:space="preserve">Kuhn, T. S. 1970.</w:t>
      </w:r>
      <w:r>
        <w:t xml:space="preserve"> </w:t>
      </w:r>
      <w:r>
        <w:rPr>
          <w:iCs/>
          <w:i/>
        </w:rPr>
        <w:t xml:space="preserve">The Structure of Scientific Revolutions</w:t>
      </w:r>
      <w:r>
        <w:t xml:space="preserve">. 2nd ed. University of Chicago Press.</w:t>
      </w:r>
    </w:p>
    <w:bookmarkEnd w:id="178"/>
    <w:bookmarkStart w:id="179" w:name="ref-lehtonen2012a"/>
    <w:p>
      <w:pPr>
        <w:pStyle w:val="Bibliography"/>
      </w:pPr>
      <w:r>
        <w:t xml:space="preserve">Lehtonen, J., M. D. Jennions, and H. Kokko. 2012.</w:t>
      </w:r>
      <w:r>
        <w:t xml:space="preserve"> </w:t>
      </w:r>
      <w:r>
        <w:t xml:space="preserve">“The Many Costs of Sex.”</w:t>
      </w:r>
      <w:r>
        <w:t xml:space="preserve"> </w:t>
      </w:r>
      <w:r>
        <w:rPr>
          <w:iCs/>
          <w:i/>
        </w:rPr>
        <w:t xml:space="preserve">Trends in Ecology &amp; Evolution</w:t>
      </w:r>
      <w:r>
        <w:t xml:space="preserve"> </w:t>
      </w:r>
      <w:r>
        <w:t xml:space="preserve">27: 172–78.</w:t>
      </w:r>
    </w:p>
    <w:bookmarkEnd w:id="179"/>
    <w:bookmarkStart w:id="181" w:name="ref-lewontin1971a"/>
    <w:p>
      <w:pPr>
        <w:pStyle w:val="Bibliography"/>
      </w:pPr>
      <w:r>
        <w:t xml:space="preserve">Lewontin, R. C. 1971.</w:t>
      </w:r>
      <w:r>
        <w:t xml:space="preserve"> </w:t>
      </w:r>
      <w:r>
        <w:t xml:space="preserve">“The Effect of Genetic Linkage on the Mean Fitness of a Population.”</w:t>
      </w:r>
      <w:r>
        <w:t xml:space="preserve"> </w:t>
      </w:r>
      <w:r>
        <w:t xml:space="preserve">In</w:t>
      </w:r>
      <w:r>
        <w:t xml:space="preserve"> </w:t>
      </w:r>
      <w:r>
        <w:rPr>
          <w:iCs/>
          <w:i/>
        </w:rPr>
        <w:t xml:space="preserve">Proceedings of the National Academy of Sciences of the United States of America</w:t>
      </w:r>
      <w:r>
        <w:t xml:space="preserve">, 68:984–86. 5.</w:t>
      </w:r>
      <w:r>
        <w:t xml:space="preserve"> </w:t>
      </w:r>
      <w:hyperlink r:id="rId180">
        <w:r>
          <w:rPr>
            <w:rStyle w:val="Hyperlink"/>
          </w:rPr>
          <w:t xml:space="preserve">https://doi.org/10.1073/pnas.68.5.984</w:t>
        </w:r>
      </w:hyperlink>
      <w:r>
        <w:t xml:space="preserve">.</w:t>
      </w:r>
    </w:p>
    <w:bookmarkEnd w:id="181"/>
    <w:bookmarkStart w:id="182" w:name="ref-lively1996a"/>
    <w:p>
      <w:pPr>
        <w:pStyle w:val="Bibliography"/>
      </w:pPr>
      <w:r>
        <w:t xml:space="preserve">Lively, C. M. 1996.</w:t>
      </w:r>
      <w:r>
        <w:t xml:space="preserve"> </w:t>
      </w:r>
      <w:r>
        <w:t xml:space="preserve">“Host-Parasite Coevolution and Sex.”</w:t>
      </w:r>
      <w:r>
        <w:t xml:space="preserve"> </w:t>
      </w:r>
      <w:r>
        <w:rPr>
          <w:iCs/>
          <w:i/>
        </w:rPr>
        <w:t xml:space="preserve">Bioscience</w:t>
      </w:r>
      <w:r>
        <w:t xml:space="preserve"> </w:t>
      </w:r>
      <w:r>
        <w:t xml:space="preserve">46: 107–9.</w:t>
      </w:r>
    </w:p>
    <w:bookmarkEnd w:id="182"/>
    <w:bookmarkStart w:id="183" w:name="ref-lively2009a"/>
    <w:p>
      <w:pPr>
        <w:pStyle w:val="Bibliography"/>
      </w:pPr>
      <w:r>
        <w:t xml:space="preserve">———. 2009.</w:t>
      </w:r>
      <w:r>
        <w:t xml:space="preserve"> </w:t>
      </w:r>
      <w:r>
        <w:t xml:space="preserve">“The Maintenance of Sex: Host-Parasite Coevolution with Density-Dependent Virulence.”</w:t>
      </w:r>
      <w:r>
        <w:t xml:space="preserve"> </w:t>
      </w:r>
      <w:r>
        <w:rPr>
          <w:iCs/>
          <w:i/>
        </w:rPr>
        <w:t xml:space="preserve">Journal of Evolutionary Biology</w:t>
      </w:r>
      <w:r>
        <w:t xml:space="preserve"> </w:t>
      </w:r>
      <w:r>
        <w:t xml:space="preserve">22: 2086–93.</w:t>
      </w:r>
    </w:p>
    <w:bookmarkEnd w:id="183"/>
    <w:bookmarkStart w:id="184" w:name="ref-lively1990b"/>
    <w:p>
      <w:pPr>
        <w:pStyle w:val="Bibliography"/>
      </w:pPr>
      <w:r>
        <w:t xml:space="preserve">Lively, C. M., and D. G. Lloyd. 1990.</w:t>
      </w:r>
      <w:r>
        <w:t xml:space="preserve"> </w:t>
      </w:r>
      <w:r>
        <w:t xml:space="preserve">“The Cost of Biparental Sex Under Individual Selection.”</w:t>
      </w:r>
      <w:r>
        <w:t xml:space="preserve"> </w:t>
      </w:r>
      <w:r>
        <w:rPr>
          <w:iCs/>
          <w:i/>
        </w:rPr>
        <w:t xml:space="preserve">American Naturalist</w:t>
      </w:r>
      <w:r>
        <w:t xml:space="preserve"> </w:t>
      </w:r>
      <w:r>
        <w:t xml:space="preserve">135: 489–500.</w:t>
      </w:r>
    </w:p>
    <w:bookmarkEnd w:id="184"/>
    <w:bookmarkStart w:id="185" w:name="ref-maynard1971a"/>
    <w:p>
      <w:pPr>
        <w:pStyle w:val="Bibliography"/>
      </w:pPr>
      <w:r>
        <w:t xml:space="preserve">Maynard Smith, J. 1971.</w:t>
      </w:r>
      <w:r>
        <w:t xml:space="preserve"> </w:t>
      </w:r>
      <w:r>
        <w:t xml:space="preserve">“What Use Is Sex?”</w:t>
      </w:r>
      <w:r>
        <w:t xml:space="preserve"> </w:t>
      </w:r>
      <w:r>
        <w:rPr>
          <w:iCs/>
          <w:i/>
        </w:rPr>
        <w:t xml:space="preserve">Journal of Theoretical Biology</w:t>
      </w:r>
      <w:r>
        <w:t xml:space="preserve"> </w:t>
      </w:r>
      <w:r>
        <w:t xml:space="preserve">30: 319–35.</w:t>
      </w:r>
    </w:p>
    <w:bookmarkEnd w:id="185"/>
    <w:bookmarkStart w:id="186" w:name="ref-maynard1976a"/>
    <w:p>
      <w:pPr>
        <w:pStyle w:val="Bibliography"/>
      </w:pPr>
      <w:r>
        <w:t xml:space="preserve">———. 1976.</w:t>
      </w:r>
      <w:r>
        <w:t xml:space="preserve"> </w:t>
      </w:r>
      <w:r>
        <w:t xml:space="preserve">“A Short-Term Advantage for Sex and Recombination Through Sib-Competition.”</w:t>
      </w:r>
      <w:r>
        <w:t xml:space="preserve"> </w:t>
      </w:r>
      <w:r>
        <w:rPr>
          <w:iCs/>
          <w:i/>
        </w:rPr>
        <w:t xml:space="preserve">Journal of Theoretical Biology</w:t>
      </w:r>
      <w:r>
        <w:t xml:space="preserve"> </w:t>
      </w:r>
      <w:r>
        <w:t xml:space="preserve">63: 245–58.</w:t>
      </w:r>
    </w:p>
    <w:bookmarkEnd w:id="186"/>
    <w:bookmarkStart w:id="187" w:name="ref-maynard1978a"/>
    <w:p>
      <w:pPr>
        <w:pStyle w:val="Bibliography"/>
      </w:pPr>
      <w:r>
        <w:t xml:space="preserve">———. 1978.</w:t>
      </w:r>
      <w:r>
        <w:t xml:space="preserve"> </w:t>
      </w:r>
      <w:r>
        <w:rPr>
          <w:iCs/>
          <w:i/>
        </w:rPr>
        <w:t xml:space="preserve">The Evolution of Sex</w:t>
      </w:r>
      <w:r>
        <w:t xml:space="preserve">. Cambridge University Press.</w:t>
      </w:r>
    </w:p>
    <w:bookmarkEnd w:id="187"/>
    <w:bookmarkStart w:id="188" w:name="ref-meirmans2009a"/>
    <w:p>
      <w:pPr>
        <w:pStyle w:val="Bibliography"/>
      </w:pPr>
      <w:r>
        <w:t xml:space="preserve">Meirmans, S. 2009.</w:t>
      </w:r>
      <w:r>
        <w:t xml:space="preserve"> </w:t>
      </w:r>
      <w:r>
        <w:t xml:space="preserve">“The Evolution of the Problem of Sex.”</w:t>
      </w:r>
      <w:r>
        <w:t xml:space="preserve"> </w:t>
      </w:r>
      <w:r>
        <w:t xml:space="preserve">In</w:t>
      </w:r>
      <w:r>
        <w:t xml:space="preserve"> </w:t>
      </w:r>
      <w:r>
        <w:rPr>
          <w:iCs/>
          <w:i/>
        </w:rPr>
        <w:t xml:space="preserve">Lost Sex: The Evolutionary Biology of Parthenogenesis</w:t>
      </w:r>
      <w:r>
        <w:t xml:space="preserve">, edited by I. Schön, K. Martens, and P. van Dijk, 21–46. London: Springer.</w:t>
      </w:r>
    </w:p>
    <w:bookmarkEnd w:id="188"/>
    <w:bookmarkStart w:id="189" w:name="ref-siebold1856a"/>
    <w:p>
      <w:pPr>
        <w:pStyle w:val="Bibliography"/>
      </w:pPr>
      <w:r>
        <w:t xml:space="preserve">Siebold, C. T. E. von. 1856.</w:t>
      </w:r>
      <w:r>
        <w:t xml:space="preserve"> </w:t>
      </w:r>
      <w:r>
        <w:rPr>
          <w:iCs/>
          <w:i/>
        </w:rPr>
        <w:t xml:space="preserve">Wahre Parthenogenesis Bei Schmetterlingen Und Bienen. Ein Beitrag Zur Fortpflanzungsgeschichte Der Thiere</w:t>
      </w:r>
      <w:r>
        <w:t xml:space="preserve">. Leipzig: William Engelmann.</w:t>
      </w:r>
    </w:p>
    <w:bookmarkEnd w:id="189"/>
    <w:bookmarkStart w:id="190" w:name="ref-vrijenhoek1998a"/>
    <w:p>
      <w:pPr>
        <w:pStyle w:val="Bibliography"/>
      </w:pPr>
      <w:r>
        <w:t xml:space="preserve">Vrijenhoek, R. C. 1998.</w:t>
      </w:r>
      <w:r>
        <w:t xml:space="preserve"> </w:t>
      </w:r>
      <w:r>
        <w:t xml:space="preserve">“Animal Clones and Diversity.”</w:t>
      </w:r>
      <w:r>
        <w:t xml:space="preserve"> </w:t>
      </w:r>
      <w:r>
        <w:rPr>
          <w:iCs/>
          <w:i/>
        </w:rPr>
        <w:t xml:space="preserve">Bioscience</w:t>
      </w:r>
      <w:r>
        <w:t xml:space="preserve"> </w:t>
      </w:r>
      <w:r>
        <w:t xml:space="preserve">48: 617–28.</w:t>
      </w:r>
    </w:p>
    <w:bookmarkEnd w:id="190"/>
    <w:bookmarkStart w:id="191" w:name="ref-whitton2008a"/>
    <w:p>
      <w:pPr>
        <w:pStyle w:val="Bibliography"/>
      </w:pPr>
      <w:r>
        <w:t xml:space="preserve">Whitton, J., C. Sears, E. Baack, and S. Otto. 2008.</w:t>
      </w:r>
      <w:r>
        <w:t xml:space="preserve"> </w:t>
      </w:r>
      <w:r>
        <w:t xml:space="preserve">“The Dynamic Nature of Apomixis in the Angiosperms.”</w:t>
      </w:r>
      <w:r>
        <w:t xml:space="preserve"> </w:t>
      </w:r>
      <w:r>
        <w:rPr>
          <w:iCs/>
          <w:i/>
        </w:rPr>
        <w:t xml:space="preserve">International Journal of Plant Sciences</w:t>
      </w:r>
      <w:r>
        <w:t xml:space="preserve"> </w:t>
      </w:r>
      <w:r>
        <w:t xml:space="preserve">169: 169–82.</w:t>
      </w:r>
    </w:p>
    <w:bookmarkEnd w:id="191"/>
    <w:bookmarkStart w:id="192" w:name="ref-williams1975a"/>
    <w:p>
      <w:pPr>
        <w:pStyle w:val="Bibliography"/>
      </w:pPr>
      <w:r>
        <w:t xml:space="preserve">Williams, G. C. 1975.</w:t>
      </w:r>
      <w:r>
        <w:t xml:space="preserve"> </w:t>
      </w:r>
      <w:r>
        <w:rPr>
          <w:iCs/>
          <w:i/>
        </w:rPr>
        <w:t xml:space="preserve">Sex and Evolution</w:t>
      </w:r>
      <w:r>
        <w:t xml:space="preserve">. Princeton University Press.</w:t>
      </w:r>
    </w:p>
    <w:bookmarkEnd w:id="192"/>
    <w:bookmarkEnd w:id="193"/>
    <w:bookmarkEnd w:id="194"/>
    <w:sectPr w:rsidR="00DC3472" w:rsidRPr="004C2BE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39">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 (see also Lively et al. 2000, Hazel et al. 2004).</w:t>
      </w:r>
    </w:p>
  </w:footnote>
  <w:footnote w:id="48">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 (Churchill 1997).</w:t>
      </w:r>
    </w:p>
  </w:footnote>
  <w:footnote w:id="5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59">
    <w:p>
      <w:pPr>
        <w:pStyle w:val="FootnoteText"/>
      </w:pPr>
      <w:r>
        <w:rPr>
          <w:rStyle w:val="FootnoteReference"/>
        </w:rPr>
        <w:footnoteRef/>
      </w:r>
      <w:r>
        <w:t xml:space="preserve"> </w:t>
      </w:r>
      <w:r>
        <w:t xml:space="preserve">See also Elliott and Brook (2007).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6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 (1978, page 65) 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1">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72">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 (see also Lively et al. 2000, Hazel et al. 2004).</w:t>
      </w:r>
    </w:p>
  </w:footnote>
  <w:footnote w:id="73">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4">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 (Churchill 1997).</w:t>
      </w:r>
    </w:p>
  </w:footnote>
  <w:footnote w:id="76">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7">
    <w:p>
      <w:pPr>
        <w:pStyle w:val="FootnoteText"/>
      </w:pPr>
      <w:r>
        <w:rPr>
          <w:rStyle w:val="FootnoteReference"/>
        </w:rPr>
        <w:footnoteRef/>
      </w:r>
      <w:r>
        <w:t xml:space="preserve"> </w:t>
      </w:r>
      <w:r>
        <w:t xml:space="preserve">See also Elliott and Brook (2007).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82">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 (1978, page 65) 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5">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 (Soper et al. 2013).</w:t>
      </w:r>
    </w:p>
  </w:footnote>
  <w:footnote w:id="94">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6">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98">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 (Levins 1966).</w:t>
      </w:r>
    </w:p>
  </w:footnote>
  <w:footnote w:id="99">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 (Antonovics and Ellstrand 1984, Ellstrand and Antonovics 1985). Later studies showed that the rare advantage was likely due to escape from infection (Kelley et al. 1988, Kelley 1993, 1994).</w:t>
      </w:r>
    </w:p>
  </w:footnote>
  <w:footnote w:id="100">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1">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 (Lively et al. 2021).</w:t>
      </w:r>
    </w:p>
  </w:footnote>
  <w:footnote w:id="102">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07">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16">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117">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 (see also Lively et al. 2000, Hazel et al. 2004).</w:t>
      </w:r>
    </w:p>
  </w:footnote>
  <w:footnote w:id="126">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2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 (Churchill 1997).</w:t>
      </w:r>
    </w:p>
  </w:footnote>
  <w:footnote w:id="12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29">
    <w:p>
      <w:pPr>
        <w:pStyle w:val="FootnoteText"/>
      </w:pPr>
      <w:r>
        <w:rPr>
          <w:rStyle w:val="FootnoteReference"/>
        </w:rPr>
        <w:footnoteRef/>
      </w:r>
      <w:r>
        <w:t xml:space="preserve"> </w:t>
      </w:r>
      <w:r>
        <w:t xml:space="preserve">See also Elliott and Brook (2007).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13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 (1978, page 65) 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38">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 (Soper et al. 2013).</w:t>
      </w:r>
    </w:p>
  </w:footnote>
  <w:footnote w:id="139">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0">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1">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 (Levins 1966).</w:t>
      </w:r>
    </w:p>
  </w:footnote>
  <w:footnote w:id="142">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 (Antonovics and Ellstrand 1984, Ellstrand and Antonovics 1985). Later studies showed that the rare advantage was likely due to escape from infection (Kelley et al. 1988, Kelley 1993, 1994).</w:t>
      </w:r>
    </w:p>
  </w:footnote>
  <w:footnote w:id="143">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48">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 (Lively et al. 2021).</w:t>
      </w:r>
    </w:p>
  </w:footnote>
  <w:footnote w:id="149">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0">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1">
    <w:p>
      <w:pPr>
        <w:pStyle w:val="FootnoteText"/>
      </w:pPr>
      <w:r>
        <w:rPr>
          <w:rStyle w:val="FootnoteReference"/>
        </w:rPr>
        <w:footnoteRef/>
      </w:r>
      <w:r>
        <w:t xml:space="preserve"> </w:t>
      </w:r>
      <w:r>
        <w:t xml:space="preserve">I think density dependence is critically important. Disease transmission is certainly density dependent (Anderson and May 1979, May and Anderson 1979). Virulence may also be density dependent (Lively et al. 1995, Bell et al. 2006, Lively 2006). Habitat partitioning may also play a role in the distribution of sexual females among depth-stratified habitats (Negovetic and Jokela 2001).</w:t>
      </w:r>
    </w:p>
  </w:footnote>
  <w:footnote w:id="159">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35EFEF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F944274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8C208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E63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B7E54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9508E5D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82567CA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26888F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4FEDB3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FDEDD4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1" Target="media/rId41.jpg" /><Relationship Type="http://schemas.openxmlformats.org/officeDocument/2006/relationships/image" Id="rId52" Target="media/rId52.jpg" /><Relationship Type="http://schemas.openxmlformats.org/officeDocument/2006/relationships/image" Id="rId68" Target="media/rId68.jpg" /><Relationship Type="http://schemas.openxmlformats.org/officeDocument/2006/relationships/image" Id="rId78" Target="media/rId78.jpg" /><Relationship Type="http://schemas.openxmlformats.org/officeDocument/2006/relationships/image" Id="rId86" Target="media/rId86.jpg" /><Relationship Type="http://schemas.openxmlformats.org/officeDocument/2006/relationships/image" Id="rId90" Target="media/rId90.jpg" /><Relationship Type="http://schemas.openxmlformats.org/officeDocument/2006/relationships/image" Id="rId108" Target="media/rId108.jpg" /><Relationship Type="http://schemas.openxmlformats.org/officeDocument/2006/relationships/image" Id="rId113" Target="media/rId113.jpg" /><Relationship Type="http://schemas.openxmlformats.org/officeDocument/2006/relationships/image" Id="rId118" Target="media/rId118.jpg" /><Relationship Type="http://schemas.openxmlformats.org/officeDocument/2006/relationships/image" Id="rId122" Target="media/rId122.jpg" /><Relationship Type="http://schemas.openxmlformats.org/officeDocument/2006/relationships/image" Id="rId130" Target="media/rId130.jpg" /><Relationship Type="http://schemas.openxmlformats.org/officeDocument/2006/relationships/image" Id="rId144" Target="media/rId144.jpg" /><Relationship Type="http://schemas.openxmlformats.org/officeDocument/2006/relationships/image" Id="rId153" Target="media/rId153.jpg" /><Relationship Type="http://schemas.openxmlformats.org/officeDocument/2006/relationships/image" Id="rId160" Target="media/rId160.jpg" /><Relationship Type="http://schemas.openxmlformats.org/officeDocument/2006/relationships/hyperlink" Id="rId169" Target="http://philsci-archive.pitt.edu/12255/" TargetMode="External" /><Relationship Type="http://schemas.openxmlformats.org/officeDocument/2006/relationships/hyperlink" Id="rId95"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180" Target="https://doi.org/10.1073/pnas.68.5.984" TargetMode="External" /><Relationship Type="http://schemas.openxmlformats.org/officeDocument/2006/relationships/hyperlink" Id="rId171" Target="https://doi.org/10.1111/j.1095-8312.1862.tb01218.x" TargetMode="External" /><Relationship Type="http://schemas.openxmlformats.org/officeDocument/2006/relationships/hyperlink" Id="rId26" Target="https://doi.org/10.5967/GBD3-KA07" TargetMode="External" /><Relationship Type="http://schemas.openxmlformats.org/officeDocument/2006/relationships/hyperlink" Id="rId83"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3" Target="https://www.bartzijlstra.com" TargetMode="External" /><Relationship Type="http://schemas.openxmlformats.org/officeDocument/2006/relationships/hyperlink" Id="rId174" Target="https://www.darwinproject.ac.uk/letter/?docId=letters/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169" Target="http://philsci-archive.pitt.edu/12255/" TargetMode="External" /><Relationship Type="http://schemas.openxmlformats.org/officeDocument/2006/relationships/hyperlink" Id="rId95"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180" Target="https://doi.org/10.1073/pnas.68.5.984" TargetMode="External" /><Relationship Type="http://schemas.openxmlformats.org/officeDocument/2006/relationships/hyperlink" Id="rId171" Target="https://doi.org/10.1111/j.1095-8312.1862.tb01218.x" TargetMode="External" /><Relationship Type="http://schemas.openxmlformats.org/officeDocument/2006/relationships/hyperlink" Id="rId26" Target="https://doi.org/10.5967/GBD3-KA07" TargetMode="External" /><Relationship Type="http://schemas.openxmlformats.org/officeDocument/2006/relationships/hyperlink" Id="rId83"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3" Target="https://www.bartzijlstra.com" TargetMode="External" /><Relationship Type="http://schemas.openxmlformats.org/officeDocument/2006/relationships/hyperlink" Id="rId174" Target="https://www.darwinproject.ac.uk/letter/?docId=letters/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dc:title>
  <dc:creator>Curtis M. Lively</dc:creator>
  <dc:language>en-US</dc:language>
  <cp:keywords/>
  <dcterms:created xsi:type="dcterms:W3CDTF">2023-10-24T21:48:53Z</dcterms:created>
  <dcterms:modified xsi:type="dcterms:W3CDTF">2023-10-24T21:48:53Z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date">
    <vt:lpwstr>24 October 2023</vt:lpwstr>
  </property>
  <property fmtid="{D5CDD505-2E9C-101B-9397-08002B2CF9AE}" pid="12" name="date-format">
    <vt:lpwstr>DD MMMM YYYY</vt:lpwstr>
  </property>
  <property fmtid="{D5CDD505-2E9C-101B-9397-08002B2CF9AE}" pid="13" name="doi">
    <vt:lpwstr>10.5967/gbd3-ka07</vt:lpwstr>
  </property>
  <property fmtid="{D5CDD505-2E9C-101B-9397-08002B2CF9AE}" pid="14" name="fig-cap-location">
    <vt:lpwstr>margin</vt:lpwstr>
  </property>
  <property fmtid="{D5CDD505-2E9C-101B-9397-08002B2CF9AE}" pid="15" name="google-scholar">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labels">
    <vt:lpwstr/>
  </property>
  <property fmtid="{D5CDD505-2E9C-101B-9397-08002B2CF9AE}" pid="20" name="subtitle">
    <vt:lpwstr>I. Why Cross-Fertilize?</vt:lpwstr>
  </property>
  <property fmtid="{D5CDD505-2E9C-101B-9397-08002B2CF9AE}" pid="21" name="toc-title">
    <vt:lpwstr>Contents</vt:lpwstr>
  </property>
</Properties>
</file>