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8.png" ContentType="image/png"/>
  <Override PartName="/word/media/rId28.png" ContentType="image/png"/>
  <Override PartName="/word/media/rId34.jpg" ContentType="image/jpeg"/>
  <Override PartName="/word/media/rId40.jpg" ContentType="image/jpeg"/>
  <Override PartName="/word/media/rId51.jpg" ContentType="image/jpeg"/>
  <Override PartName="/word/media/rId68.jpg" ContentType="image/jpeg"/>
  <Override PartName="/word/media/rId78.jpg" ContentType="image/jpeg"/>
  <Override PartName="/word/media/rId85.jpg" ContentType="image/jpeg"/>
  <Override PartName="/word/media/rId89.jpg" ContentType="image/jpeg"/>
  <Override PartName="/word/media/rId10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24</w:t>
      </w:r>
      <w:r>
        <w:t xml:space="preserve"> </w:t>
      </w:r>
      <w:r>
        <w:t xml:space="preserve">August</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7"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Bloomington Libraries</w:t>
        </w:r>
      </w:hyperlink>
    </w:p>
    <w:bookmarkEnd w:id="25"/>
    <w:bookmarkStart w:id="26" w:name="how-to-cite"/>
    <w:p>
      <w:pPr>
        <w:pStyle w:val="Heading2"/>
      </w:pPr>
      <w:r>
        <w:t xml:space="preserve">How to Cite</w:t>
      </w:r>
    </w:p>
    <w:p>
      <w:pPr>
        <w:pStyle w:val="FirstParagraph"/>
      </w:pPr>
      <w:r>
        <w:t xml:space="preserve">Lively, C. M. (2023, June ??). Through the Looking Glass: I. Why Cross-Fertilize? Indiana University Bloomington Libraries https://doi.org/</w:t>
      </w:r>
    </w:p>
    <w:bookmarkEnd w:id="26"/>
    <w:bookmarkEnd w:id="27"/>
    <w:bookmarkStart w:id="67"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29" name="Picture"/>
                  <a:graphic>
                    <a:graphicData uri="http://schemas.openxmlformats.org/drawingml/2006/picture">
                      <pic:pic>
                        <pic:nvPicPr>
                          <pic:cNvPr descr="images/Picture1.png" id="30" name="Picture"/>
                          <pic:cNvPicPr>
                            <a:picLocks noChangeArrowheads="1" noChangeAspect="1"/>
                          </pic:cNvPicPr>
                        </pic:nvPicPr>
                        <pic:blipFill>
                          <a:blip r:embed="rId28"/>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1"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 (Williams 1975):</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r>
        <w:t xml:space="preserve">”</w:t>
      </w:r>
    </w:p>
    <w:p>
      <w:pPr>
        <w:pStyle w:val="BodyText"/>
      </w:pPr>
      <w:r>
        <w:t xml:space="preserve">The question was something like this:</w:t>
      </w:r>
      <w:r>
        <w:t xml:space="preserve"> </w:t>
      </w:r>
      <w:r>
        <w:rPr>
          <w:iCs/>
          <w:i/>
        </w:rPr>
        <w:t xml:space="preserve">Why does Williams think that sexual reproduction poses a crisis for evolutionary biology, and what is the solution</w:t>
      </w:r>
      <w:r>
        <w:t xml:space="preserve">? 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t xml:space="preserve">“</w:t>
      </w:r>
      <w:r>
        <w:t xml:space="preserve">The Structure of Scientific Revolutions</w:t>
      </w:r>
      <w:r>
        <w:t xml:space="preserve">”</w:t>
      </w:r>
      <w:r>
        <w:t xml:space="preserve"> </w:t>
      </w:r>
      <w:r>
        <w:t xml:space="preserve">as an undergraduate (Kuhn 1970).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1"/>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 (review in Lehtonen et al. 2012). However, while important,</w:t>
      </w:r>
      <w:r>
        <w:t xml:space="preserve"> </w:t>
      </w:r>
      <w:r>
        <w:t xml:space="preserve">these costs do not form the core of the paradox. Historically, the paradox of sex stems from two things: (1) the cost of meiosis, and (2) the cost of producing males.</w:t>
      </w:r>
    </w:p>
    <w:bookmarkStart w:id="33"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 (1975). His idea was simply that females are only half as related to their outcrossed offspring as they are to their self-fertilized or parthenogenetic offspring.</w:t>
      </w:r>
      <w:r>
        <w:rPr>
          <w:rStyle w:val="FootnoteReference"/>
        </w:rPr>
        <w:footnoteReference w:id="32"/>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 (Fisher 1941). So, why cross-fertilize? The persistence of cross-fertilization despite the cost of meiosis formed a paradox. This paradox created the crisis that Williams saw in evolutionary biology.</w:t>
      </w:r>
    </w:p>
    <w:bookmarkEnd w:id="33"/>
    <w:bookmarkStart w:id="39" w:name="the-cost-of-males"/>
    <w:p>
      <w:pPr>
        <w:pStyle w:val="Heading3"/>
      </w:pPr>
      <w:r>
        <w:t xml:space="preserve">1.2.2 The cost of males</w:t>
      </w:r>
    </w:p>
    <w:p>
      <w:pPr>
        <w:pStyle w:val="FirstParagraph"/>
      </w:pPr>
      <w:r>
        <w:t xml:space="preserve">The other way to look at the problem was proposed by John Maynard Smith (Maynard Smith 1971, 1978).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 (Lively 1996).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7" w:name="fig-1.1"/>
          <w:p>
            <w:pPr>
              <w:jc w:val="center"/>
            </w:pPr>
            <w:r>
              <w:drawing>
                <wp:inline>
                  <wp:extent cx="3721608" cy="4559808"/>
                  <wp:effectExtent b="0" l="0" r="0" t="0"/>
                  <wp:docPr descr="" title="" id="35" name="Picture"/>
                  <a:graphic>
                    <a:graphicData uri="http://schemas.openxmlformats.org/drawingml/2006/picture">
                      <pic:pic>
                        <pic:nvPicPr>
                          <pic:cNvPr descr="images/fig1-1.jpg" id="36" name="Picture"/>
                          <pic:cNvPicPr>
                            <a:picLocks noChangeArrowheads="1" noChangeAspect="1"/>
                          </pic:cNvPicPr>
                        </pic:nvPicPr>
                        <pic:blipFill>
                          <a:blip r:embed="rId34"/>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 (Whitton et al. 2008) and animals (Vrijenhoek 1998). Hence the paradox. Why is sexual reproduction so costly and yet so common?</w:t>
            </w:r>
          </w:p>
          <w:bookmarkEnd w:id="37"/>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8"/>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39"/>
    <w:bookmarkStart w:id="46"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 (Lively and Lloyd 1990).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5" w:name="fig-1-2"/>
          <w:p>
            <w:pPr>
              <w:jc w:val="center"/>
            </w:pPr>
            <w:r>
              <w:drawing>
                <wp:inline>
                  <wp:extent cx="4572000" cy="6543675"/>
                  <wp:effectExtent b="0" l="0" r="0" t="0"/>
                  <wp:docPr descr="" title="" id="41" name="Picture"/>
                  <a:graphic>
                    <a:graphicData uri="http://schemas.openxmlformats.org/drawingml/2006/picture">
                      <pic:pic>
                        <pic:nvPicPr>
                          <pic:cNvPr descr="images/fig1-2.jpg" id="42" name="Picture"/>
                          <pic:cNvPicPr>
                            <a:picLocks noChangeArrowheads="1" noChangeAspect="1"/>
                          </pic:cNvPicPr>
                        </pic:nvPicPr>
                        <pic:blipFill>
                          <a:blip r:embed="rId40"/>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 (Lively 2009b).</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3">
              <w:r>
                <w:rPr>
                  <w:rStyle w:val="Hyperlink"/>
                </w:rPr>
                <w:t xml:space="preserve">here</w:t>
              </w:r>
            </w:hyperlink>
            <w:r>
              <w:t xml:space="preserve">. The interactive graph can also be run</w:t>
            </w:r>
            <w:r>
              <w:t xml:space="preserve"> </w:t>
            </w:r>
            <w:hyperlink r:id="rId44">
              <w:r>
                <w:rPr>
                  <w:rStyle w:val="Hyperlink"/>
                </w:rPr>
                <w:t xml:space="preserve">here</w:t>
              </w:r>
            </w:hyperlink>
            <w:r>
              <w:t xml:space="preserve"> </w:t>
            </w:r>
            <w:r>
              <w:t xml:space="preserve">for users without R.</w:t>
            </w:r>
          </w:p>
          <w:bookmarkEnd w:id="45"/>
        </w:tc>
      </w:tr>
    </w:tbl>
    <w:bookmarkEnd w:id="46"/>
    <w:bookmarkStart w:id="55"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 (1971) formally showed that:</w:t>
      </w:r>
      <w:r>
        <w:t xml:space="preserve"> </w:t>
      </w:r>
      <w:r>
        <w:rPr>
          <w:iCs/>
          <w:i/>
        </w:rPr>
        <w:t xml:space="preserve">… the mean fitness of the population at equilibrium is a maximum in the absence of recombination</w:t>
      </w:r>
      <w:r>
        <w:t xml:space="preserve">.</w:t>
      </w:r>
      <w:r>
        <w:rPr>
          <w:rStyle w:val="FootnoteReference"/>
        </w:rPr>
        <w:footnoteReference w:id="47"/>
      </w:r>
      <w:r>
        <w:t xml:space="preserve"> </w:t>
      </w:r>
      <w:r>
        <w:t xml:space="preserve">Hence, there are two interrelated anomalies: cross-fertilization per se 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C:\Users\amazel\AppData\Local\Programs\Quarto\share\formats\docx\tip.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The exchange of gametes between different individuals, which may or may not be related.</w:t>
            </w:r>
          </w:p>
          <w:p>
            <w:pPr>
              <w:pStyle w:val="BodyText"/>
            </w:pPr>
            <w:r>
              <w:rPr>
                <w:bCs/>
                <w:b/>
              </w:rPr>
              <w:t xml:space="preserve">Outcrossing</w:t>
            </w:r>
            <w:r>
              <w:t xml:space="preserve">. A form of cross-fertilization, which specifies crossing between unrelated individuals.</w:t>
            </w:r>
          </w:p>
          <w:p>
            <w:pPr>
              <w:pStyle w:val="BodyText"/>
            </w:pPr>
            <w:r>
              <w:rPr>
                <w:bCs/>
                <w:b/>
              </w:rPr>
              <w:t xml:space="preserve">Parthenogenesis</w:t>
            </w:r>
            <w:r>
              <w:t xml:space="preserve">. Any form of asexual reproduction through ova.</w:t>
            </w:r>
          </w:p>
          <w:p>
            <w:pPr>
              <w:pStyle w:val="BodyText"/>
            </w:pPr>
            <w:r>
              <w:rPr>
                <w:bCs/>
                <w:b/>
              </w:rPr>
              <w:t xml:space="preserve">Recombination</w:t>
            </w:r>
            <w:r>
              <w:t xml:space="preserve">. 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The fusion of gametes from the same individual.</w:t>
            </w:r>
          </w:p>
          <w:p>
            <w:pPr>
              <w:pStyle w:val="BodyText"/>
            </w:pPr>
            <w:r>
              <w:rPr>
                <w:bCs/>
                <w:b/>
              </w:rPr>
              <w:t xml:space="preserve">Sex/rec</w:t>
            </w:r>
            <w:r>
              <w:t xml:space="preserve">. Shorthand for sexual reproduction and recombination.</w:t>
            </w:r>
          </w:p>
          <w:p>
            <w:pPr>
              <w:pStyle w:val="BodyText"/>
            </w:pPr>
            <w:pPr>
              <w:spacing w:after="16"/>
            </w:pPr>
            <w:r>
              <w:rPr>
                <w:bCs/>
                <w:b/>
              </w:rPr>
              <w:t xml:space="preserve">Sexual reproduction</w:t>
            </w:r>
            <w:r>
              <w:t xml:space="preserve">. 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4" w:name="fig-1.3"/>
          <w:p>
            <w:pPr>
              <w:jc w:val="center"/>
            </w:pPr>
            <w:r>
              <w:drawing>
                <wp:inline>
                  <wp:extent cx="7429500" cy="3312682"/>
                  <wp:effectExtent b="0" l="0" r="0" t="0"/>
                  <wp:docPr descr="" title="" id="52" name="Picture"/>
                  <a:graphic>
                    <a:graphicData uri="http://schemas.openxmlformats.org/drawingml/2006/picture">
                      <pic:pic>
                        <pic:nvPicPr>
                          <pic:cNvPr descr="images/fig1-3.jpg" id="53" name="Picture"/>
                          <pic:cNvPicPr>
                            <a:picLocks noChangeArrowheads="1" noChangeAspect="1"/>
                          </pic:cNvPicPr>
                        </pic:nvPicPr>
                        <pic:blipFill>
                          <a:blip r:embed="rId51"/>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 (1862) by ZMD.</w:t>
            </w:r>
          </w:p>
          <w:bookmarkEnd w:id="54"/>
        </w:tc>
      </w:tr>
    </w:tbl>
    <w:bookmarkEnd w:id="55"/>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 (reviews in Meirmans 2009, Dagg 2016).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 (Darwin 1862).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6"/>
      </w:r>
      <w:r>
        <w:t xml:space="preserve">.</w:t>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 (review in Bell 1982).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 (1862) paper on</w:t>
      </w:r>
      <w:r>
        <w:t xml:space="preserve"> </w:t>
      </w:r>
      <w:r>
        <w:rPr>
          <w:iCs/>
          <w:i/>
        </w:rPr>
        <w:t xml:space="preserve">Primula</w:t>
      </w:r>
      <w:r>
        <w:t xml:space="preserve">, Carl Theodor Ernst von Siebold (1856) 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rPr>
          <w:iCs/>
          <w:i/>
        </w:rPr>
        <w:t xml:space="preserve">There is no greater mystery in the whole world, as it seems to me, than the existence of sexes, – more especially since the discovery of Parthenogenesis</w:t>
      </w:r>
      <w:r>
        <w:t xml:space="preserve">. Letter to J. S. Henslow. See</w:t>
      </w:r>
      <w:r>
        <w:t xml:space="preserve"> </w:t>
      </w:r>
      <w:hyperlink r:id="rId57">
        <w:r>
          <w:rPr>
            <w:rStyle w:val="Hyperlink"/>
          </w:rPr>
          <w:t xml:space="preserve">Darwin Correspondence Project</w:t>
        </w:r>
      </w:hyperlink>
      <w:r>
        <w:t xml:space="preserve">.</w:t>
      </w:r>
    </w:p>
    <w:p>
      <w:pPr>
        <w:pStyle w:val="BodyText"/>
      </w:pPr>
      <w:r>
        <w:t xml:space="preserve">However, the discovery of parthenogenesis</w:t>
      </w:r>
      <w:r>
        <w:rPr>
          <w:rStyle w:val="FootnoteReference"/>
        </w:rPr>
        <w:footnoteReference w:id="58"/>
      </w:r>
      <w:r>
        <w:t xml:space="preserve"> </w:t>
      </w:r>
      <w:r>
        <w:t xml:space="preserve">was met with some hostility. Consider, for example, the following statement by Rudolf Wagner in his 1857 review of von Siebold’s book on parthenogenesis [as translated from the original German by Churchill (1979)]:</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 (1868) wrote:</w:t>
      </w:r>
      <w:r>
        <w:t xml:space="preserve"> </w:t>
      </w:r>
      <w:r>
        <w:rPr>
          <w:iCs/>
          <w:i/>
        </w:rP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 (1975) 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 (1976) 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6"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 (1978) 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1, while</w:t>
            </w:r>
            <w:r>
              <w:t xml:space="preserve"> </w:t>
            </w:r>
            <m:oMath>
              <m:sSub>
                <m:e>
                  <m:r>
                    <m:t>N</m:t>
                  </m:r>
                </m:e>
                <m:sub>
                  <m:r>
                    <m:t>s</m:t>
                  </m:r>
                  <m:r>
                    <m:t>e</m:t>
                  </m:r>
                  <m:r>
                    <m:t>x</m:t>
                  </m:r>
                </m:sub>
              </m:sSub>
            </m:oMath>
            <w:r>
              <w:t xml:space="preserve"> </w:t>
            </w:r>
            <w:r>
              <w:t xml:space="preserve">gives the total number of sexual individuals (males plus females) at time 1.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2 can then be calculated as is the table below. (Note, we do not assume that the population is at carrying capacity).</w:t>
            </w:r>
          </w:p>
          <w:tbl>
            <w:tblPr>
              <w:tblStyle w:val="Table"/>
              <w:tblW w:type="pct" w:w="5000"/>
              <w:tblLook w:firstRow="1" w:lastRow="0" w:firstColumn="0" w:lastColumn="0" w:noHBand="0" w:noVBand="0" w:val="0020"/>
              <w:jc w:val="start"/>
            </w:tblPr>
            <w:tblGrid>
              <w:gridCol w:w="1272"/>
              <w:gridCol w:w="1791"/>
              <w:gridCol w:w="4855"/>
            </w:tblGrid>
            <w:tr>
              <w:trPr>
                <w:tblHeader w:val="true"/>
              </w:trPr>
              <w:tc>
                <w:tcPr/>
                <w:p>
                  <w:pPr>
                    <w:pStyle w:val="Compact"/>
                  </w:pPr>
                </w:p>
              </w:tc>
              <w:tc>
                <w:tcPr/>
                <w:p>
                  <w:pPr>
                    <w:pStyle w:val="Compact"/>
                    <w:jc w:val="center"/>
                  </w:pPr>
                  <w:r>
                    <w:rPr>
                      <w:bCs/>
                      <w:b/>
                    </w:rPr>
                    <w:t xml:space="preserve">Time 1</w:t>
                  </w:r>
                </w:p>
              </w:tc>
              <w:tc>
                <w:tcPr/>
                <w:p>
                  <w:pPr>
                    <w:pStyle w:val="Compact"/>
                    <w:jc w:val="center"/>
                  </w:pPr>
                  <w:r>
                    <w:rPr>
                      <w:bCs/>
                      <w:b/>
                    </w:rPr>
                    <w:t xml:space="preserve">Time 2</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p>
            <w:pPr>
              <w:pStyle w:val="BodyText"/>
            </w:pPr>
            <w:r>
              <w:t xml:space="preserve">The fold increase in frequency of asexuals,</w:t>
            </w:r>
            <w:r>
              <w:t xml:space="preserve"> </w:t>
            </w:r>
            <m:oMath>
              <m:r>
                <m:t>F</m:t>
              </m:r>
            </m:oMath>
            <w:r>
              <w:t xml:space="preserve">, is the ratio of the frequency of asexuals at time 2 divided by the frequency of asexuals at time 1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1,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2-fold.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6"/>
    <w:bookmarkEnd w:id="67"/>
    <w:bookmarkStart w:id="111" w:name="the-ecological-hypotheses"/>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69" name="Picture"/>
                  <a:graphic>
                    <a:graphicData uri="http://schemas.openxmlformats.org/drawingml/2006/picture">
                      <pic:pic>
                        <pic:nvPicPr>
                          <pic:cNvPr descr="images/fig2-1.jpeg" id="70" name="Picture"/>
                          <pic:cNvPicPr>
                            <a:picLocks noChangeArrowheads="1" noChangeAspect="1"/>
                          </pic:cNvPicPr>
                        </pic:nvPicPr>
                        <pic:blipFill>
                          <a:blip r:embed="rId68"/>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 (Kondrashov 1993). In what follows, I first focus on the ecological hypotheses. The ideas underlying these hypotheses provide a handle for understanding some of the foundational concepts in evolutionary ecology.</w:t>
      </w:r>
    </w:p>
    <w:bookmarkStart w:id="75" w:name="the-lottery-model"/>
    <w:p>
      <w:pPr>
        <w:pStyle w:val="Heading2"/>
      </w:pPr>
      <w:r>
        <w:t xml:space="preserve">2.1 The Lottery Model</w:t>
      </w:r>
    </w:p>
    <w:p>
      <w:pPr>
        <w:pStyle w:val="FirstParagraph"/>
      </w:pPr>
      <w:r>
        <w:t xml:space="preserve">As part of his book on the evolution of sex, Williams (1975) suggested that sex could be favored in fluctuating abiotic environments. The idea is intuitive: cross-fertilization generates variation among offspring. Hence, in fluctuating environments, sex could increase the probability that some offspring might survive. Williams likened the idea to a unique kind of lottery. For example, he wrote:</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referred to the idea as the aphid-rotifer model, but the idea has since come to be known as the Lottery Model (following Bell 1982), which is a more descriptive phrase.</w:t>
      </w:r>
      <w:r>
        <w:rPr>
          <w:rStyle w:val="FootnoteReference"/>
        </w:rPr>
        <w:footnoteReference w:id="71"/>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bet-hedging in evolutionary theory is that selection can act to reduce the variance in reproductive success over time, even if it also reduces the arithmetic mean across years (review in Philippi and Seger 1989).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2"/>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3"/>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 (Stearns 2000):</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4"/>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that under a two-fold cost of sex, asexuals can replace large populations of sexuals in tens of generations (see chapter 1). So, if the Lottery Model is correct, significant environmental change must occur very rapidly. The many thousands of years between ice ages, for example, would be too long.</w:t>
      </w:r>
    </w:p>
    <w:bookmarkEnd w:id="75"/>
    <w:bookmarkStart w:id="83"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 (Vrijenhoek 1979). This kind of process could explain those situations in which sexual and asexual females coexist, which was a major advance.</w:t>
      </w:r>
      <w:r>
        <w:rPr>
          <w:rStyle w:val="FootnoteReference"/>
        </w:rPr>
        <w:footnoteReference w:id="76"/>
      </w:r>
    </w:p>
    <w:p>
      <w:pPr>
        <w:pStyle w:val="BodyText"/>
      </w:pPr>
      <w:r>
        <w:t xml:space="preserve">A conceptually similar model was independently developed by Graham Bell: the Tangled Bank Hypothesis (Bell 1982).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(1953) pioneering model, which showed that polymorphism could be maintained in a spatially heterogeneous environment provided that different genotypes specialize on different resources.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rPr>
          <w:iCs/>
          <w:i/>
        </w:rPr>
        <w:t xml:space="preserve">frequency-dependent selection</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 (Wallace 1975).</w:t>
      </w:r>
      <w:r>
        <w:rPr>
          <w:rStyle w:val="FootnoteReference"/>
        </w:rPr>
        <w:footnoteReference w:id="77"/>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1" w:name="fig-2-2"/>
          <w:p>
            <w:pPr>
              <w:jc w:val="center"/>
            </w:pPr>
            <w:r>
              <w:drawing>
                <wp:inline>
                  <wp:extent cx="3980688" cy="4069079"/>
                  <wp:effectExtent b="0" l="0" r="0" t="0"/>
                  <wp:docPr descr="" title="" id="79" name="Picture"/>
                  <a:graphic>
                    <a:graphicData uri="http://schemas.openxmlformats.org/drawingml/2006/picture">
                      <pic:pic>
                        <pic:nvPicPr>
                          <pic:cNvPr descr="images/fig2-2.jpeg" id="80" name="Picture"/>
                          <pic:cNvPicPr>
                            <a:picLocks noChangeArrowheads="1" noChangeAspect="1"/>
                          </pic:cNvPicPr>
                        </pic:nvPicPr>
                        <pic:blipFill>
                          <a:blip r:embed="rId78"/>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 (1975).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1"/>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2"/>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 (Maynard Smith and Hoekstra 1980, Lively 1986a) (see also</w:t>
      </w:r>
      <w:r>
        <w:t xml:space="preserve"> </w:t>
      </w:r>
      <w:hyperlink w:anchor="callout-3.1">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 (Bell 1982, Vrijenhoek and Parker 2009).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 (Vrijenhoek and Parker 2009). Coexistence, however, is also compatible with the Red Queen hypothesis, which we will now consider.</w:t>
      </w:r>
    </w:p>
    <w:bookmarkEnd w:id="83"/>
    <w:bookmarkStart w:id="103"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4"/>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was a single genotype, while the sexual population was composed of multiple recombining genotypes, only one of which was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88" w:name="fig-2-3"/>
          <w:p>
            <w:pPr>
              <w:jc w:val="center"/>
            </w:pPr>
            <w:r>
              <w:drawing>
                <wp:inline>
                  <wp:extent cx="5943600" cy="7768311"/>
                  <wp:effectExtent b="0" l="0" r="0" t="0"/>
                  <wp:docPr descr="" title="" id="86" name="Picture"/>
                  <a:graphic>
                    <a:graphicData uri="http://schemas.openxmlformats.org/drawingml/2006/picture">
                      <pic:pic>
                        <pic:nvPicPr>
                          <pic:cNvPr descr="images/fig2-3.jpg" id="87" name="Picture"/>
                          <pic:cNvPicPr>
                            <a:picLocks noChangeArrowheads="1" noChangeAspect="1"/>
                          </pic:cNvPicPr>
                        </pic:nvPicPr>
                        <pic:blipFill>
                          <a:blip r:embed="rId85"/>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 (2009), which treats parasite virulence as a positive function of host density.</w:t>
            </w:r>
          </w:p>
          <w:bookmarkEnd w:id="88"/>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 (Peters and Lively 1999, Schmid-Hempel and Jokela 2002, Peters and Lively 2007, Salathe et al. 2008). These related ideas are now called the Red Queen Hypothesis (following Bell 1982).</w:t>
      </w:r>
    </w:p>
    <w:tbl>
      <w:tblPr>
        <w:tblStyle w:val="Table"/>
        <w:tblW w:type="pct" w:w="5000"/>
        <w:tblLook w:firstRow="0" w:lastRow="0" w:firstColumn="0" w:lastColumn="0" w:noHBand="0" w:noVBand="0" w:val="0000"/>
        <w:jc w:val="start"/>
      </w:tblPr>
      <w:tblGrid>
        <w:gridCol w:w="7920"/>
      </w:tblGrid>
      <w:tr>
        <w:tc>
          <w:tcPr/>
          <w:bookmarkStart w:id="92" w:name="fig-2-4"/>
          <w:p>
            <w:pPr>
              <w:jc w:val="center"/>
            </w:pPr>
            <w:r>
              <w:drawing>
                <wp:inline>
                  <wp:extent cx="5943600" cy="3814028"/>
                  <wp:effectExtent b="0" l="0" r="0" t="0"/>
                  <wp:docPr descr="" title="" id="90" name="Picture"/>
                  <a:graphic>
                    <a:graphicData uri="http://schemas.openxmlformats.org/drawingml/2006/picture">
                      <pic:pic>
                        <pic:nvPicPr>
                          <pic:cNvPr descr="images/fig2-4.JPG" id="91" name="Picture"/>
                          <pic:cNvPicPr>
                            <a:picLocks noChangeArrowheads="1" noChangeAspect="1"/>
                          </pic:cNvPicPr>
                        </pic:nvPicPr>
                        <pic:blipFill>
                          <a:blip r:embed="rId89"/>
                          <a:stretch>
                            <a:fillRect/>
                          </a:stretch>
                        </pic:blipFill>
                        <pic:spPr bwMode="auto">
                          <a:xfrm>
                            <a:off x="0" y="0"/>
                            <a:ext cx="5943600" cy="38140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 Lively (2009). The dashed line shows the average genotype frequency for hosts and parasites.</w:t>
            </w:r>
          </w:p>
          <w:bookmarkEnd w:id="92"/>
        </w:tc>
      </w:tr>
    </w:tbl>
    <w:bookmarkStart w:id="96"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rPr>
          <w:iCs/>
          <w:i/>
        </w:rPr>
        <w:t xml:space="preserve">Are there more people in the garden besides me?</w:t>
      </w:r>
      <w:r>
        <w:t xml:space="preserve"> </w:t>
      </w:r>
      <w:r>
        <w:t xml:space="preserve">The rose answers</w:t>
      </w:r>
      <w:r>
        <w:t xml:space="preserve"> </w:t>
      </w:r>
      <w:r>
        <w:rPr>
          <w:iCs/>
          <w:i/>
        </w:rPr>
        <w:t xml:space="preserve">yes, there is someone like you.</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t xml:space="preserve">I 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the hill.</w:t>
      </w:r>
      <w:r>
        <w:t xml:space="preserve">”</w:t>
      </w:r>
      <w:r>
        <w:t xml:space="preserve"> </w:t>
      </w:r>
      <w:r>
        <w:t xml:space="preserve">The Red Queen replies:</w:t>
      </w:r>
      <w:r>
        <w:t xml:space="preserve"> </w:t>
      </w:r>
      <w:r>
        <w:t xml:space="preserve">“</w:t>
      </w:r>
      <w:r>
        <w:t xml:space="preserve">I could show you hills in comparison with which you’d call that a valley.</w:t>
      </w:r>
      <w:r>
        <w:t xml:space="preserve">”</w:t>
      </w:r>
      <w:r>
        <w:t xml:space="preserve"> </w:t>
      </w:r>
      <w:r>
        <w:t xml:space="preserve">Alice protests:</w:t>
      </w:r>
      <w:r>
        <w:t xml:space="preserve"> </w:t>
      </w:r>
      <w:r>
        <w:t xml:space="preserve">“</w:t>
      </w:r>
      <w:r>
        <w:t xml:space="preserve">a hill ca’n’t 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 have been under this tree the whole time! Everything is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3"/>
      </w:r>
      <w:r>
        <w:t xml:space="preserve">. 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 (Bayley 2009, 2010). Along these lines, mathematician Sanderson M. Smith has suggested that</w:t>
      </w:r>
      <w:r>
        <w:t xml:space="preserve"> </w:t>
      </w:r>
      <w:hyperlink r:id="rId94">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 (Van Valen 1973). It thus seems reasonable to suggest that both antagonists must run (coevolve) as fast as they can to prevent extinction. Graham Bell repurposed the phrase to mean within-population oscillations in host and parasite genotypes (Bell 1982).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5"/>
      </w:r>
    </w:p>
    <w:bookmarkEnd w:id="96"/>
    <w:bookmarkStart w:id="102"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 (1975). Hamilton was reviewing the books by Williams (1975) and Ghiselin (1974) for the</w:t>
      </w:r>
      <w:r>
        <w:t xml:space="preserve"> </w:t>
      </w:r>
      <w:r>
        <w:rPr>
          <w:iCs/>
          <w:i/>
        </w:rPr>
        <w:t xml:space="preserve">Quarterly Review of Biology</w:t>
      </w:r>
      <w:r>
        <w:t xml:space="preserve">. Throughout the review, the reader can feel Hamilton’s frustration with their arguments. Towards the end, he makes this very abstract suggestion:</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 (Hamilton 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 (Levin 1975):</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 (1978)</w:t>
      </w:r>
      <w:r>
        <w:rPr>
          <w:rStyle w:val="FootnoteReference"/>
        </w:rPr>
        <w:footnoteReference w:id="97"/>
      </w:r>
      <w:r>
        <w:t xml:space="preserve">, Jaenike (1978)</w:t>
      </w:r>
      <w:r>
        <w:rPr>
          <w:rStyle w:val="FootnoteReference"/>
        </w:rPr>
        <w:footnoteReference w:id="98"/>
      </w:r>
      <w:r>
        <w:t xml:space="preserve">, and Lloyd (1980). In particular, Lloyd writes:</w:t>
      </w:r>
      <w:r>
        <w:t xml:space="preserve"> </w:t>
      </w:r>
      <w:r>
        <w:t xml:space="preserve">“</w:t>
      </w:r>
      <w:r>
        <w:t xml:space="preserve">… 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99"/>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0"/>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 and</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 (review in Otto 2021). I will cover some special cases of this latter idea in</w:t>
      </w:r>
      <w:r>
        <w:t xml:space="preserve"> </w:t>
      </w:r>
      <w:hyperlink w:anchor="sec-chap6">
        <w:r>
          <w:rPr>
            <w:rStyle w:val="Hyperlink"/>
          </w:rPr>
          <w:t xml:space="preserve">Chapter 3</w:t>
        </w:r>
      </w:hyperlink>
      <w:r>
        <w:t xml:space="preserve">.</w:t>
      </w:r>
      <w:r>
        <w:rPr>
          <w:rStyle w:val="FootnoteReference"/>
        </w:rPr>
        <w:footnoteReference w:id="101"/>
      </w:r>
    </w:p>
    <w:bookmarkEnd w:id="102"/>
    <w:bookmarkEnd w:id="103"/>
    <w:bookmarkStart w:id="110"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 (following Bell 1982).</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C:\Users\amazel\AppData\Local\Programs\Quarto\share\formats\docx\note.png" id="105"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The paper is not easy to follow, even 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1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1.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when,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1</w:t>
                  </w:r>
                </w:p>
              </w:tc>
              <w:tc>
                <w:tcPr/>
                <w:p>
                  <w:pPr>
                    <w:pStyle w:val="Compact"/>
                    <w:jc w:val="left"/>
                  </w:pPr>
                  <w:r>
                    <w:rPr>
                      <w:bCs/>
                      <w:b/>
                    </w:rPr>
                    <w:t xml:space="preserve">Fitness Niche 2</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 (Prout 1968). However, Timothy Prout showed that a polymorphism could be stable, even if one allele is dominate, thus ruling out any kind of overdominance (Prout 1968). Let both the AA and AB genotypes have a fitness of 1 in both niches. Let the BB genotype have a fitness of 0.5 in niche 1 and a fitness of 1.67 in niche 2. Assuming as above that both patches are equally common, we get the following table.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1</w:t>
                  </w:r>
                </w:p>
              </w:tc>
              <w:tc>
                <w:tcPr/>
                <w:p>
                  <w:pPr>
                    <w:pStyle w:val="Compact"/>
                    <w:jc w:val="left"/>
                  </w:pPr>
                  <w:r>
                    <w:rPr>
                      <w:bCs/>
                      <w:b/>
                    </w:rPr>
                    <w:t xml:space="preserve">Fitness Niche 2</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p>
            <w:pPr>
              <w:pStyle w:val="BodyText"/>
            </w:pPr>
            <w:pPr>
              <w:spacing w:after="16"/>
            </w:pPr>
            <w:r>
              <w:t xml:space="preserve">Prout showed that there would be a stable multiple niche polymorphism, even under complete dominance, provided that the arithmetic mean fitness for BB is greater than 1, and that the harmonic mean fitness for the BB genotype is less than 1. So, clearly, overdominance for harmonic mean fitness is not required for a stable polymorphism.</w:t>
            </w: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07" name="Picture"/>
                  <a:graphic>
                    <a:graphicData uri="http://schemas.openxmlformats.org/drawingml/2006/picture">
                      <pic:pic>
                        <pic:nvPicPr>
                          <pic:cNvPr descr="images/fig2-5.jpg" id="108" name="Picture"/>
                          <pic:cNvPicPr>
                            <a:picLocks noChangeArrowheads="1" noChangeAspect="1"/>
                          </pic:cNvPicPr>
                        </pic:nvPicPr>
                        <pic:blipFill>
                          <a:blip r:embed="rId106"/>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r>
              <w:t xml:space="preserve">Plot showing</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1. There is an interior equilibrium near</w:t>
            </w:r>
            <w:r>
              <w:t xml:space="preserve"> </w:t>
            </w:r>
            <m:oMath>
              <m:r>
                <m:t>q</m:t>
              </m:r>
              <m:r>
                <m:rPr>
                  <m:sty m:val="p"/>
                </m:rPr>
                <m:t>=</m:t>
              </m:r>
              <m:r>
                <m:t>0.5</m:t>
              </m:r>
            </m:oMath>
            <w:r>
              <w:t xml:space="preserve">.</w:t>
            </w:r>
          </w:p>
        </w:tc>
      </w:tr>
    </w:tbl>
    <w:p>
      <w:pPr>
        <w:pStyle w:val="BodyText"/>
      </w:pPr>
      <w:r>
        <w:t xml:space="preserve">The papers by Levene (1953) and Prout (1968) helped to lay the foundation for the fusion of population genetics and population ecology.</w:t>
      </w:r>
      <w:r>
        <w:rPr>
          <w:rStyle w:val="FootnoteReference"/>
        </w:rPr>
        <w:footnoteReference w:id="109"/>
      </w:r>
    </w:p>
    <w:bookmarkEnd w:id="110"/>
    <w:bookmarkEnd w:id="111"/>
    <w:bookmarkStart w:id="113" w:name="sec-chap6"/>
    <w:p>
      <w:pPr>
        <w:pStyle w:val="Heading1"/>
      </w:pPr>
      <w:r>
        <w:t xml:space="preserve">3.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12" w:name="the-problem-1"/>
    <w:p>
      <w:pPr>
        <w:pStyle w:val="Heading2"/>
      </w:pPr>
      <w:r>
        <w:t xml:space="preserve">3.1 The Problem</w:t>
      </w:r>
    </w:p>
    <w:bookmarkEnd w:id="112"/>
    <w:bookmarkEnd w:id="113"/>
    <w:bookmarkStart w:id="115" w:name="references"/>
    <w:p>
      <w:pPr>
        <w:pStyle w:val="Heading1"/>
      </w:pPr>
      <w:r>
        <w:t xml:space="preserve">References</w:t>
      </w:r>
    </w:p>
    <w:bookmarkStart w:id="114" w:name="refs"/>
    <w:bookmarkEnd w:id="114"/>
    <w:bookmarkEnd w:id="115"/>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2">
    <w:p>
      <w:pPr>
        <w:pStyle w:val="FootnoteText"/>
      </w:pPr>
      <w:r>
        <w:rPr>
          <w:rStyle w:val="FootnoteReference"/>
        </w:rPr>
        <w:footnoteRef/>
      </w:r>
      <w:r>
        <w:t xml:space="preserve"> </w:t>
      </w:r>
      <w:r>
        <w:t xml:space="preserve">See Bell (1982) for a deeper historical view of the Lottery Model, which involves contributions by Maynard Smith and others, including Williams. I have tried to distill it down to a simple bet-hedging model here. The original formulation is more complex.</w:t>
      </w:r>
    </w:p>
  </w:footnote>
  <w:footnote w:id="38">
    <w:p>
      <w:pPr>
        <w:pStyle w:val="FootnoteText"/>
      </w:pPr>
      <w:r>
        <w:rPr>
          <w:rStyle w:val="FootnoteReference"/>
        </w:rPr>
        <w:footnoteRef/>
      </w:r>
      <w:r>
        <w:t xml:space="preserve"> </w:t>
      </w:r>
      <w:r>
        <w:t xml:space="preserve">The variance in</w:t>
      </w:r>
      <w:r>
        <w:t xml:space="preserve"> </w:t>
      </w:r>
      <m:oMath>
        <m:r>
          <m:t>x</m:t>
        </m:r>
      </m:oMath>
      <w:r>
        <w:t xml:space="preserve"> </w:t>
      </w:r>
      <w:r>
        <w:t xml:space="preserve">is equal to the average of the squared deviations from the mean:</w:t>
      </w:r>
      <w:r>
        <w:t xml:space="preserve"> </w:t>
      </w:r>
      <m:oMath>
        <m:r>
          <m:t>v</m:t>
        </m:r>
        <m:r>
          <m:t>a</m:t>
        </m:r>
        <m:r>
          <m:t>r</m:t>
        </m:r>
        <m:d>
          <m:dPr>
            <m:begChr m:val="("/>
            <m:endChr m:val=")"/>
            <m:sepChr m:val=""/>
            <m:grow/>
          </m:dPr>
          <m:e>
            <m:r>
              <m:t>x</m:t>
            </m:r>
          </m:e>
        </m:d>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bar>
                      <m:barPr>
                        <m:pos m:val="top"/>
                      </m:barPr>
                      <m:e>
                        <m:r>
                          <m:t>x</m:t>
                        </m:r>
                      </m:e>
                    </m:bar>
                  </m:e>
                </m:d>
              </m:e>
              <m:sup>
                <m:r>
                  <m:t>2</m:t>
                </m:r>
              </m:sup>
            </m:sSup>
          </m:e>
        </m:nary>
      </m:oMath>
    </w:p>
  </w:footnote>
  <w:footnote w:id="47">
    <w:p>
      <w:pPr>
        <w:pStyle w:val="FootnoteText"/>
      </w:pPr>
      <w:r>
        <w:rPr>
          <w:rStyle w:val="FootnoteReference"/>
        </w:rPr>
        <w:footnoteRef/>
      </w:r>
      <w:r>
        <w:t xml:space="preserve"> </w:t>
      </w:r>
      <w:r>
        <w:t xml:space="preserve">The geometric mean is the</w:t>
      </w:r>
      <w:r>
        <w:t xml:space="preserve"> </w:t>
      </w:r>
      <m:oMath>
        <m:sSup>
          <m:e>
            <m:r>
              <m:t>N</m:t>
            </m:r>
          </m:e>
          <m:sup>
            <m:r>
              <m:t>t</m:t>
            </m:r>
            <m:r>
              <m:t>h</m:t>
            </m:r>
          </m:sup>
        </m:sSup>
      </m:oMath>
      <w:r>
        <w:t xml:space="preserve"> </w:t>
      </w:r>
      <w:r>
        <w:t xml:space="preserve">root of the product of</w:t>
      </w:r>
      <w:r>
        <w:t xml:space="preserve"> </w:t>
      </w:r>
      <m:oMath>
        <m:r>
          <m:t>N</m:t>
        </m:r>
      </m:oMath>
      <w:r>
        <w:t xml:space="preserve"> </w:t>
      </w:r>
      <w:r>
        <w:t xml:space="preserve">observations. Compared to the arithmetic mean, the geometric mean gives more weight to small values.</w:t>
      </w:r>
    </w:p>
  </w:footnote>
  <w:footnote w:id="56">
    <w:p>
      <w:pPr>
        <w:pStyle w:val="FootnoteText"/>
      </w:pPr>
      <w:r>
        <w:rPr>
          <w:rStyle w:val="FootnoteReference"/>
        </w:rPr>
        <w:footnoteRef/>
      </w:r>
      <w:r>
        <w:t xml:space="preserve"> </w:t>
      </w:r>
      <w:r>
        <w:t xml:space="preserve">The bet-hedging idea dates to Daniel Bernoulli, a mathematical physicist, writing in 1738. Steve Stearns (2000) provides an important, fascinating review of how evolutionary biologists (beginning with Cohen (1966)) and economists, have borrowed from Bernoulli’s conceptual framework.</w:t>
      </w:r>
    </w:p>
  </w:footnote>
  <w:footnote w:id="58">
    <w:p>
      <w:pPr>
        <w:pStyle w:val="FootnoteText"/>
      </w:pPr>
      <w:r>
        <w:rPr>
          <w:rStyle w:val="FootnoteReference"/>
        </w:rPr>
        <w:footnoteRef/>
      </w:r>
      <w:r>
        <w:t xml:space="preserve"> </w:t>
      </w:r>
      <w:r>
        <w:t xml:space="preserve">Vrijenhoek studied the coexistence of sexual fish with multiple clonal genotypes of asexual congeners in natural populations. He mainly envisioned the Frozen Niche Hypothesis as a model to explain the coexistence of multiple clones, but it can also explain the coexistence of sexual and asexual modes of reproduction if clonal diversity is low, and the clones do not compete strongly. See, for example pages 112-113 in Vrijenhoek and Parker (2009): “The Frozen Niche-Variation Model (Vrijenhoek 1978, 1979) was directly stimulated by Roughgarden’s (1972) ideas and a need to explain the stable coexistence of* Poeciliopsis *fish clones in spatially heterogeneous desert streams (Vrijenhoek 1978).”</w:t>
      </w:r>
    </w:p>
  </w:footnote>
  <w:footnote w:id="59">
    <w:p>
      <w:pPr>
        <w:pStyle w:val="FootnoteText"/>
      </w:pPr>
      <w:r>
        <w:rPr>
          <w:rStyle w:val="FootnoteReference"/>
        </w:rPr>
        <w:footnoteRef/>
      </w:r>
      <w:r>
        <w:t xml:space="preserve"> </w:t>
      </w:r>
      <w:r>
        <w:t xml:space="preserve">Soft selection in theoretical population genetics can also mean that the contribution of offspring from different demes in a metapopulation is unrelated to differences in mean fitness among demes.</w:t>
      </w:r>
    </w:p>
  </w:footnote>
  <w:footnote w:id="65">
    <w:p>
      <w:pPr>
        <w:pStyle w:val="FootnoteText"/>
      </w:pPr>
      <w:r>
        <w:rPr>
          <w:rStyle w:val="FootnoteReference"/>
        </w:rPr>
        <w:footnoteRef/>
      </w:r>
      <w:r>
        <w:t xml:space="preserve"> </w:t>
      </w:r>
      <w:r>
        <w:t xml:space="preserve">Wallace (1975) explains that the source of the terms</w:t>
      </w:r>
      <w:r>
        <w:t xml:space="preserve"> </w:t>
      </w:r>
      <w:r>
        <w:t xml:space="preserve">“</w:t>
      </w:r>
      <w:r>
        <w:t xml:space="preserve">soft</w:t>
      </w:r>
      <w:r>
        <w:t xml:space="preserve">”</w:t>
      </w:r>
      <w:r>
        <w:t xml:space="preserve"> </w:t>
      </w:r>
      <w:r>
        <w:t xml:space="preserve">and</w:t>
      </w:r>
      <w:r>
        <w:t xml:space="preserve"> </w:t>
      </w:r>
      <w:r>
        <w:t xml:space="preserve">“</w:t>
      </w:r>
      <w:r>
        <w:t xml:space="preserve">hard</w:t>
      </w:r>
      <w:r>
        <w:t xml:space="preserve">”</w:t>
      </w:r>
      <w:r>
        <w:t xml:space="preserve"> </w:t>
      </w:r>
      <w:r>
        <w:t xml:space="preserve">stem from financial discussions of soft currencies vs hard currencies in monetary exchanges. Soft currencies only have value within their home country. In contrast, hard currencies can be exchanged overseas for currencies with similar buying power.</w:t>
      </w:r>
    </w:p>
  </w:footnote>
  <w:footnote w:id="71">
    <w:p>
      <w:pPr>
        <w:pStyle w:val="FootnoteText"/>
      </w:pPr>
      <w:r>
        <w:rPr>
          <w:rStyle w:val="FootnoteReference"/>
        </w:rPr>
        <w:footnoteRef/>
      </w:r>
      <w:r>
        <w:t xml:space="preserve"> </w:t>
      </w:r>
      <w:r>
        <w:t xml:space="preserve">See Bell (1982) for a deeper historical view of the Lottery Model, which involves contributions by Maynard Smith and others, including Williams. I have tried to distill it down to a simple bet-hedging model here. The original formulation is more complex.</w:t>
      </w:r>
    </w:p>
  </w:footnote>
  <w:footnote w:id="72">
    <w:p>
      <w:pPr>
        <w:pStyle w:val="FootnoteText"/>
      </w:pPr>
      <w:r>
        <w:rPr>
          <w:rStyle w:val="FootnoteReference"/>
        </w:rPr>
        <w:footnoteRef/>
      </w:r>
      <w:r>
        <w:t xml:space="preserve"> </w:t>
      </w:r>
      <w:r>
        <w:t xml:space="preserve">The variance in</w:t>
      </w:r>
      <w:r>
        <w:t xml:space="preserve"> </w:t>
      </w:r>
      <m:oMath>
        <m:r>
          <m:t>x</m:t>
        </m:r>
      </m:oMath>
      <w:r>
        <w:t xml:space="preserve"> </w:t>
      </w:r>
      <w:r>
        <w:t xml:space="preserve">is equal to the average of the squared deviations from the mean:</w:t>
      </w:r>
      <w:r>
        <w:t xml:space="preserve"> </w:t>
      </w:r>
      <m:oMath>
        <m:r>
          <m:t>v</m:t>
        </m:r>
        <m:r>
          <m:t>a</m:t>
        </m:r>
        <m:r>
          <m:t>r</m:t>
        </m:r>
        <m:d>
          <m:dPr>
            <m:begChr m:val="("/>
            <m:endChr m:val=")"/>
            <m:sepChr m:val=""/>
            <m:grow/>
          </m:dPr>
          <m:e>
            <m:r>
              <m:t>x</m:t>
            </m:r>
          </m:e>
        </m:d>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bar>
                      <m:barPr>
                        <m:pos m:val="top"/>
                      </m:barPr>
                      <m:e>
                        <m:r>
                          <m:t>x</m:t>
                        </m:r>
                      </m:e>
                    </m:bar>
                  </m:e>
                </m:d>
              </m:e>
              <m:sup>
                <m:r>
                  <m:t>2</m:t>
                </m:r>
              </m:sup>
            </m:sSup>
          </m:e>
        </m:nary>
      </m:oMath>
    </w:p>
  </w:footnote>
  <w:footnote w:id="73">
    <w:p>
      <w:pPr>
        <w:pStyle w:val="FootnoteText"/>
      </w:pPr>
      <w:r>
        <w:rPr>
          <w:rStyle w:val="FootnoteReference"/>
        </w:rPr>
        <w:footnoteRef/>
      </w:r>
      <w:r>
        <w:t xml:space="preserve"> </w:t>
      </w:r>
      <w:r>
        <w:t xml:space="preserve">The geometric mean is the</w:t>
      </w:r>
      <w:r>
        <w:t xml:space="preserve"> </w:t>
      </w:r>
      <m:oMath>
        <m:sSup>
          <m:e>
            <m:r>
              <m:t>N</m:t>
            </m:r>
          </m:e>
          <m:sup>
            <m:r>
              <m:t>t</m:t>
            </m:r>
            <m:r>
              <m:t>h</m:t>
            </m:r>
          </m:sup>
        </m:sSup>
      </m:oMath>
      <w:r>
        <w:t xml:space="preserve"> </w:t>
      </w:r>
      <w:r>
        <w:t xml:space="preserve">root of the product of</w:t>
      </w:r>
      <w:r>
        <w:t xml:space="preserve"> </w:t>
      </w:r>
      <m:oMath>
        <m:r>
          <m:t>N</m:t>
        </m:r>
      </m:oMath>
      <w:r>
        <w:t xml:space="preserve"> </w:t>
      </w:r>
      <w:r>
        <w:t xml:space="preserve">observations. Compared to the arithmetic mean, the geometric mean gives more weight to small values.</w:t>
      </w:r>
    </w:p>
  </w:footnote>
  <w:footnote w:id="74">
    <w:p>
      <w:pPr>
        <w:pStyle w:val="FootnoteText"/>
      </w:pPr>
      <w:r>
        <w:rPr>
          <w:rStyle w:val="FootnoteReference"/>
        </w:rPr>
        <w:footnoteRef/>
      </w:r>
      <w:r>
        <w:t xml:space="preserve"> </w:t>
      </w:r>
      <w:r>
        <w:t xml:space="preserve">The bet-hedging idea dates to Daniel Bernoulli, a mathematical physicist, writing in 1738. Steve Stearns (2000) provides an important, fascinating review of how evolutionary biologists (beginning with Cohen (1966)) and economists, have borrowed from Bernoulli’s conceptual framework.</w:t>
      </w:r>
    </w:p>
  </w:footnote>
  <w:footnote w:id="76">
    <w:p>
      <w:pPr>
        <w:pStyle w:val="FootnoteText"/>
      </w:pPr>
      <w:r>
        <w:rPr>
          <w:rStyle w:val="FootnoteReference"/>
        </w:rPr>
        <w:footnoteRef/>
      </w:r>
      <w:r>
        <w:t xml:space="preserve"> </w:t>
      </w:r>
      <w:r>
        <w:t xml:space="preserve">Vrijenhoek studied the coexistence of sexual fish with multiple clonal genotypes of asexual congeners in natural populations. He mainly envisioned the Frozen Niche Hypothesis as a model to explain the coexistence of multiple clones, but it can also explain the coexistence of sexual and asexual modes of reproduction if clonal diversity is low, and the clones do not compete strongly. See, for example pages 112-113 in Vrijenhoek and Parker (2009): “The Frozen Niche-Variation Model (Vrijenhoek 1978, 1979) was directly stimulated by Roughgarden’s (1972) ideas and a need to explain the stable coexistence of* Poeciliopsis *fish clones in spatially heterogeneous desert streams (Vrijenhoek 1978).”</w:t>
      </w:r>
    </w:p>
  </w:footnote>
  <w:footnote w:id="77">
    <w:p>
      <w:pPr>
        <w:pStyle w:val="FootnoteText"/>
      </w:pPr>
      <w:r>
        <w:rPr>
          <w:rStyle w:val="FootnoteReference"/>
        </w:rPr>
        <w:footnoteRef/>
      </w:r>
      <w:r>
        <w:t xml:space="preserve"> </w:t>
      </w:r>
      <w:r>
        <w:t xml:space="preserve">Soft selection in theoretical population genetics can also mean that the contribution of offspring from different demes in a metapopulation is unrelated to differences in mean fitness among demes.</w:t>
      </w:r>
    </w:p>
  </w:footnote>
  <w:footnote w:id="82">
    <w:p>
      <w:pPr>
        <w:pStyle w:val="FootnoteText"/>
      </w:pPr>
      <w:r>
        <w:rPr>
          <w:rStyle w:val="FootnoteReference"/>
        </w:rPr>
        <w:footnoteRef/>
      </w:r>
      <w:r>
        <w:t xml:space="preserve"> </w:t>
      </w:r>
      <w:r>
        <w:t xml:space="preserve">Wallace (1975) explains that the source of the terms</w:t>
      </w:r>
      <w:r>
        <w:t xml:space="preserve"> </w:t>
      </w:r>
      <w:r>
        <w:t xml:space="preserve">“</w:t>
      </w:r>
      <w:r>
        <w:t xml:space="preserve">soft</w:t>
      </w:r>
      <w:r>
        <w:t xml:space="preserve">”</w:t>
      </w:r>
      <w:r>
        <w:t xml:space="preserve"> </w:t>
      </w:r>
      <w:r>
        <w:t xml:space="preserve">and</w:t>
      </w:r>
      <w:r>
        <w:t xml:space="preserve"> </w:t>
      </w:r>
      <w:r>
        <w:t xml:space="preserve">“</w:t>
      </w:r>
      <w:r>
        <w:t xml:space="preserve">hard</w:t>
      </w:r>
      <w:r>
        <w:t xml:space="preserve">”</w:t>
      </w:r>
      <w:r>
        <w:t xml:space="preserve"> </w:t>
      </w:r>
      <w:r>
        <w:t xml:space="preserve">stem from financial discussions of soft currencies vs hard currencies in monetary exchanges. Soft currencies only have value within their home country. In contrast, hard currencies can be exchanged overseas for currencies with similar buying power.</w:t>
      </w:r>
    </w:p>
  </w:footnote>
  <w:footnote w:id="84">
    <w:p>
      <w:pPr>
        <w:pStyle w:val="FootnoteText"/>
      </w:pPr>
      <w:r>
        <w:rPr>
          <w:rStyle w:val="FootnoteReference"/>
        </w:rPr>
        <w:footnoteRef/>
      </w:r>
      <w:r>
        <w:t xml:space="preserve"> </w:t>
      </w:r>
      <w:r>
        <w:t xml:space="preserve">I use</w:t>
      </w:r>
      <w:r>
        <w:t xml:space="preserve"> </w:t>
      </w:r>
      <w:r>
        <w:t xml:space="preserve">“</w:t>
      </w:r>
      <w:r>
        <w:t xml:space="preserve">parasite</w:t>
      </w:r>
      <w:r>
        <w:t xml:space="preserve">”</w:t>
      </w:r>
      <w:r>
        <w:t xml:space="preserve"> </w:t>
      </w:r>
      <w:r>
        <w:t xml:space="preserve">here in the ecological sense to include any organism that lives in, or on, its host, provided it reduces the survivorship and/or fecundity of its host. As such, the term includes both macroparasites (such as worms) and microparasites (such as protozoans, bacteria, and viruses).</w:t>
      </w:r>
    </w:p>
  </w:footnote>
  <w:footnote w:id="93">
    <w:p>
      <w:pPr>
        <w:pStyle w:val="FootnoteText"/>
      </w:pPr>
      <w:r>
        <w:rPr>
          <w:rStyle w:val="FootnoteReference"/>
        </w:rPr>
        <w:footnoteRef/>
      </w:r>
      <w:r>
        <w:t xml:space="preserve"> </w:t>
      </w:r>
      <w:r>
        <w:t xml:space="preserve">The intersection between science and literature is not restricted to selection for or against sex. For a fascinating essay on how the biology of parasites meets literature, see Justyna Jajszczok’s dissertation (Jajszczok 2017).</w:t>
      </w:r>
    </w:p>
  </w:footnote>
  <w:footnote w:id="95">
    <w:p>
      <w:pPr>
        <w:pStyle w:val="FootnoteText"/>
      </w:pPr>
      <w:r>
        <w:rPr>
          <w:rStyle w:val="FootnoteReference"/>
        </w:rPr>
        <w:footnoteRef/>
      </w:r>
      <w:r>
        <w:t xml:space="preserve"> </w:t>
      </w:r>
      <w:r>
        <w:t xml:space="preserve">I. M. Lerner used the Red Queen metaphor as early as 1954, with respect to the selection needed to maintain genetic homeostasis:</w:t>
      </w:r>
      <w:r>
        <w:t xml:space="preserve"> </w:t>
      </w:r>
      <w:r>
        <w:t xml:space="preserve">“</w:t>
      </w:r>
      <w:r>
        <w:t xml:space="preserve">The</w:t>
      </w:r>
      <w:r>
        <w:t xml:space="preserve"> </w:t>
      </w:r>
      <w:r>
        <w:rPr>
          <w:iCs/>
          <w:i/>
        </w:rPr>
        <w:t xml:space="preserve">Alice in Wonderland</w:t>
      </w:r>
      <w:r>
        <w:t xml:space="preserve"> </w:t>
      </w:r>
      <w:r>
        <w:t xml:space="preserve">situation in which</w:t>
      </w:r>
      <w:r>
        <w:t xml:space="preserve"> </w:t>
      </w:r>
      <w:r>
        <w:t xml:space="preserve">‘</w:t>
      </w:r>
      <w:r>
        <w:t xml:space="preserve">it takes all the running you can do to stay in the same place</w:t>
      </w:r>
      <w:r>
        <w:t xml:space="preserve">’</w:t>
      </w:r>
      <w:r>
        <w:t xml:space="preserve"> </w:t>
      </w:r>
      <w:r>
        <w:t xml:space="preserve">arises when a stationary level of performance can be maintained only by application of the maximum selection possible…</w:t>
      </w:r>
      <w:r>
        <w:t xml:space="preserve">”</w:t>
      </w:r>
      <w:r>
        <w:t xml:space="preserve"> </w:t>
      </w:r>
      <w:r>
        <w:t xml:space="preserve">(See page 117 in Lerner (1954)).</w:t>
      </w:r>
    </w:p>
  </w:footnote>
  <w:footnote w:id="97">
    <w:p>
      <w:pPr>
        <w:pStyle w:val="FootnoteText"/>
      </w:pPr>
      <w:r>
        <w:rPr>
          <w:rStyle w:val="FootnoteReference"/>
        </w:rPr>
        <w:footnoteRef/>
      </w:r>
      <w:r>
        <w:t xml:space="preserve"> </w:t>
      </w:r>
      <w:r>
        <w:t xml:space="preserve">For example, Glesener and Tilman write:</w:t>
      </w:r>
      <w:r>
        <w:t xml:space="preserve"> </w:t>
      </w:r>
      <w:r>
        <w:t xml:space="preserve">“</w:t>
      </w:r>
      <w:r>
        <w:t xml:space="preserve">Thus, sexuality not only is favored under changed conditions but is, itself, capable of changing the conditions. The sexuality of an organism’s competitors, predators, parasites, etc., will greatly increase the selective pressure for sexuality on that organism as well.</w:t>
      </w:r>
      <w:r>
        <w:t xml:space="preserve">”</w:t>
      </w:r>
    </w:p>
  </w:footnote>
  <w:footnote w:id="98">
    <w:p>
      <w:pPr>
        <w:pStyle w:val="FootnoteText"/>
      </w:pPr>
      <w:r>
        <w:rPr>
          <w:rStyle w:val="FootnoteReference"/>
        </w:rPr>
        <w:footnoteRef/>
      </w:r>
      <w:r>
        <w:t xml:space="preserve"> </w:t>
      </w:r>
      <w:r>
        <w:t xml:space="preserve">Jaenike focuses more on the recycling of genotypes:</w:t>
      </w:r>
      <w:r>
        <w:t xml:space="preserve"> </w:t>
      </w:r>
      <w:r>
        <w:t xml:space="preserve">“</w:t>
      </w:r>
      <w:r>
        <w:t xml:space="preserve">My hypothesis differs from Levin’s in that sex and recombination are advantageous not to produce novel genotypes as such, but to produce rare genotypes, of which novel ones are only a subset.</w:t>
      </w:r>
      <w:r>
        <w:t xml:space="preserve">”</w:t>
      </w:r>
    </w:p>
  </w:footnote>
  <w:footnote w:id="99">
    <w:p>
      <w:pPr>
        <w:pStyle w:val="FootnoteText"/>
      </w:pPr>
      <w:r>
        <w:rPr>
          <w:rStyle w:val="FootnoteReference"/>
        </w:rPr>
        <w:footnoteRef/>
      </w:r>
      <w:r>
        <w:t xml:space="preserve"> </w:t>
      </w:r>
      <w:r>
        <w:t xml:space="preserve">I use</w:t>
      </w:r>
      <w:r>
        <w:t xml:space="preserve"> </w:t>
      </w:r>
      <w:r>
        <w:t xml:space="preserve">“</w:t>
      </w:r>
      <w:r>
        <w:t xml:space="preserve">frequency-dependent</w:t>
      </w:r>
      <w:r>
        <w:t xml:space="preserve">”</w:t>
      </w:r>
      <w:r>
        <w:t xml:space="preserve"> </w:t>
      </w:r>
      <w:r>
        <w:t xml:space="preserve">selection here to mean selection against common genotypes. A more accurate phrase would be</w:t>
      </w:r>
      <w:r>
        <w:t xml:space="preserve"> </w:t>
      </w:r>
      <w:r>
        <w:t xml:space="preserve">“</w:t>
      </w:r>
      <w:r>
        <w:t xml:space="preserve">negative frequency-dependent</w:t>
      </w:r>
      <w:r>
        <w:t xml:space="preserve">”</w:t>
      </w:r>
      <w:r>
        <w:t xml:space="preserve"> </w:t>
      </w:r>
      <w:r>
        <w:t xml:space="preserve">selection.</w:t>
      </w:r>
    </w:p>
  </w:footnote>
  <w:footnote w:id="100">
    <w:p>
      <w:pPr>
        <w:pStyle w:val="FootnoteText"/>
      </w:pPr>
      <w:r>
        <w:rPr>
          <w:rStyle w:val="FootnoteReference"/>
        </w:rPr>
        <w:footnoteRef/>
      </w:r>
      <w:r>
        <w:t xml:space="preserve"> </w:t>
      </w:r>
      <w:r>
        <w:t xml:space="preserve">This is not meant to imply, however, that the strength of parasite-mediated selection under the Red Queen Hypothesis must be independent of population size. Indeed, as we will see, there are good reasons to think that the strength of parasite-mediated selection depends on host density.</w:t>
      </w:r>
    </w:p>
  </w:footnote>
  <w:footnote w:id="101">
    <w:p>
      <w:pPr>
        <w:pStyle w:val="FootnoteText"/>
      </w:pPr>
      <w:r>
        <w:rPr>
          <w:rStyle w:val="FootnoteReference"/>
        </w:rPr>
        <w:footnoteRef/>
      </w:r>
      <w:r>
        <w:t xml:space="preserve"> </w:t>
      </w:r>
      <w:r>
        <w:t xml:space="preserve">The basic idea comes from a paper by Hill and Robertson (1966), and is often called the Hill-Robertson effect (following Felsenstein 1974). A broader framework, housed under the more intuitive phrase</w:t>
      </w:r>
      <w:r>
        <w:t xml:space="preserve"> </w:t>
      </w:r>
      <w:r>
        <w:t xml:space="preserve">“</w:t>
      </w:r>
      <w:r>
        <w:t xml:space="preserve">selective interference,</w:t>
      </w:r>
      <w:r>
        <w:t xml:space="preserve">”</w:t>
      </w:r>
      <w:r>
        <w:t xml:space="preserve"> </w:t>
      </w:r>
      <w:r>
        <w:t xml:space="preserve">was recently given by Sarah Otto as part of a keynote lecture given to the American Genetic Association (Otto 2021).</w:t>
      </w:r>
    </w:p>
  </w:footnote>
  <w:footnote w:id="109">
    <w:p>
      <w:pPr>
        <w:pStyle w:val="FootnoteText"/>
      </w:pPr>
      <w:r>
        <w:rPr>
          <w:rStyle w:val="FootnoteReference"/>
        </w:rPr>
        <w:footnoteRef/>
      </w:r>
      <w:r>
        <w:t xml:space="preserve"> </w:t>
      </w:r>
      <w:r>
        <w:t xml:space="preserve">The harmonic mean is not intuitive to most Biology students. So, I ask them this question: if you had a score of 100 on your first exam, and a score of 60 on your second exam, would you rather have your final grade calculated as the arithmetic mean or the harmonic mean of the two scores? After some thought, they all pick the arithmetic mean.</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34" Target="media/rId34.jpg" /><Relationship Type="http://schemas.openxmlformats.org/officeDocument/2006/relationships/image" Id="rId40" Target="media/rId40.jpg" /><Relationship Type="http://schemas.openxmlformats.org/officeDocument/2006/relationships/image" Id="rId51" Target="media/rId51.jpg" /><Relationship Type="http://schemas.openxmlformats.org/officeDocument/2006/relationships/image" Id="rId68" Target="media/rId68.jpg" /><Relationship Type="http://schemas.openxmlformats.org/officeDocument/2006/relationships/image" Id="rId78" Target="media/rId78.jpg" /><Relationship Type="http://schemas.openxmlformats.org/officeDocument/2006/relationships/image" Id="rId85" Target="media/rId85.jpg" /><Relationship Type="http://schemas.openxmlformats.org/officeDocument/2006/relationships/image" Id="rId89" Target="media/rId89.jpg" /><Relationship Type="http://schemas.openxmlformats.org/officeDocument/2006/relationships/image" Id="rId106" Target="media/rId106.jpg" /><Relationship Type="http://schemas.openxmlformats.org/officeDocument/2006/relationships/hyperlink" Id="rId94" Target="http://www.herkimershideaway.org/writings/carroll.htm" TargetMode="External" /><Relationship Type="http://schemas.openxmlformats.org/officeDocument/2006/relationships/hyperlink" Id="rId44" Target="https://connect.posit.iu.edu/clonal-invasion-dynamics/" TargetMode="External" /><Relationship Type="http://schemas.openxmlformats.org/officeDocument/2006/relationships/hyperlink" Id="rId24" Target="https://libraries.indiana.edu/" TargetMode="External" /><Relationship Type="http://schemas.openxmlformats.org/officeDocument/2006/relationships/hyperlink" Id="rId43" Target="https://raw.githubusercontent.com/IULibScholComm/through-the-looking-glass/main/sim%20for%20fig%201.2(ZMD).R" TargetMode="External" /><Relationship Type="http://schemas.openxmlformats.org/officeDocument/2006/relationships/hyperlink" Id="rId57" Target="https://www.darwinproject.ac.uk/letter/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4" Target="http://www.herkimershideaway.org/writings/carroll.htm" TargetMode="External" /><Relationship Type="http://schemas.openxmlformats.org/officeDocument/2006/relationships/hyperlink" Id="rId44" Target="https://connect.posit.iu.edu/clonal-invasion-dynamics/" TargetMode="External" /><Relationship Type="http://schemas.openxmlformats.org/officeDocument/2006/relationships/hyperlink" Id="rId24" Target="https://libraries.indiana.edu/" TargetMode="External" /><Relationship Type="http://schemas.openxmlformats.org/officeDocument/2006/relationships/hyperlink" Id="rId43" Target="https://raw.githubusercontent.com/IULibScholComm/through-the-looking-glass/main/sim%20for%20fig%201.2(ZMD).R" TargetMode="External" /><Relationship Type="http://schemas.openxmlformats.org/officeDocument/2006/relationships/hyperlink" Id="rId57" Target="https://www.darwinproject.ac.uk/letter/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2023-08-24T19:23:36Z</dcterms:created>
  <dcterms:modified xsi:type="dcterms:W3CDTF">2023-08-24T19:23:36Z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24 August 2023</vt:lpwstr>
  </property>
  <property fmtid="{D5CDD505-2E9C-101B-9397-08002B2CF9AE}" pid="12" name="date-format">
    <vt:lpwstr>DD MMMM YYYY</vt:lpwstr>
  </property>
  <property fmtid="{D5CDD505-2E9C-101B-9397-08002B2CF9AE}" pid="13" name="doi">
    <vt:lpwstr>TK</vt:lpwstr>
  </property>
  <property fmtid="{D5CDD505-2E9C-101B-9397-08002B2CF9AE}" pid="14" name="fig-cap-location">
    <vt:lpwstr>margin</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subtitle">
    <vt:lpwstr>I. Why Cross-Fertilize?</vt:lpwstr>
  </property>
  <property fmtid="{D5CDD505-2E9C-101B-9397-08002B2CF9AE}" pid="20" name="toc-title">
    <vt:lpwstr>Contents</vt:lpwstr>
  </property>
</Properties>
</file>