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7.png" ContentType="image/png"/>
  <Override PartName="/word/media/rId27.jpg" ContentType="image/jpeg"/>
  <Override PartName="/word/media/rId33.jpg" ContentType="image/jpeg"/>
  <Override PartName="/word/media/rId39.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01</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bookmarkEnd w:id="23"/>
    <w:bookmarkStart w:id="24" w:name="how-to-cite"/>
    <w:p>
      <w:pPr>
        <w:pStyle w:val="Heading2"/>
      </w:pPr>
      <w:r>
        <w:t xml:space="preserve">How to Cite</w:t>
      </w:r>
    </w:p>
    <w:p>
      <w:pPr>
        <w:pStyle w:val="FirstParagraph"/>
      </w:pPr>
      <w:r>
        <w:t xml:space="preserve">Lively, C. M. (2023, June ??). Through the Looking Glass: I. Why Cross-Fertilize? https://doi.org/*********</w:t>
      </w:r>
    </w:p>
    <w:bookmarkEnd w:id="24"/>
    <w:bookmarkStart w:id="25" w:name="how-to-use"/>
    <w:p>
      <w:pPr>
        <w:pStyle w:val="Heading2"/>
      </w:pPr>
      <w:r>
        <w:t xml:space="preserve">How to Use</w:t>
      </w:r>
    </w:p>
    <w:bookmarkEnd w:id="25"/>
    <w:bookmarkEnd w:id="26"/>
    <w:bookmarkStart w:id="64" w:name="sec-why-sex"/>
    <w:p>
      <w:pPr>
        <w:pStyle w:val="Heading1"/>
      </w:pPr>
      <w:r>
        <w:t xml:space="preserve">1. Why Sex?</w:t>
      </w:r>
    </w:p>
    <w:p>
      <w:pPr>
        <w:pStyle w:val="FirstParagraph"/>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6"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t xml:space="preserve">(</w:t>
      </w:r>
      <w:r>
        <w:rPr>
          <w:bCs/>
          <w:b/>
        </w:rPr>
        <w:t xml:space="preserve">box1.1?</w:t>
      </w:r>
      <w:r>
        <w:t xml:space="preserve">)</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w:r>
        <w:rPr>
          <w:iCs/>
          <w:i/>
        </w:rPr>
        <w:t xml:space="preserve">K</w:t>
      </w:r>
      <w:r>
        <w:rPr>
          <w:vertAlign w:val="subscript"/>
        </w:rPr>
        <w:t xml:space="preserve">sex</w:t>
      </w:r>
      <w:r>
        <w:t xml:space="preserve">). At</w:t>
      </w:r>
      <w:r>
        <w:t xml:space="preserve"> </w:t>
      </w:r>
      <w:r>
        <w:rPr>
          <w:iCs/>
          <w:i/>
        </w:rPr>
        <w:t xml:space="preserve">K</w:t>
      </w:r>
      <w:r>
        <w:rPr>
          <w:vertAlign w:val="subscript"/>
        </w:rPr>
        <w:t xml:space="preserve">sex</w:t>
      </w:r>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w:r>
              <w:rPr>
                <w:iCs/>
                <w:i/>
              </w:rPr>
              <w:t xml:space="preserve">K</w:t>
            </w:r>
            <w:r>
              <w:rPr>
                <w:vertAlign w:val="subscript"/>
              </w:rPr>
              <w:t xml:space="preserve">sex</w:t>
            </w:r>
            <w:r>
              <w:t xml:space="preserve">. At</w:t>
            </w:r>
            <w:r>
              <w:t xml:space="preserve"> </w:t>
            </w:r>
            <w:r>
              <w:rPr>
                <w:iCs/>
                <w:i/>
              </w:rPr>
              <w:t xml:space="preserve">K</w:t>
            </w:r>
            <w:r>
              <w:rPr>
                <w:vertAlign w:val="subscript"/>
              </w:rPr>
              <w:t xml:space="preserve">sex</w:t>
            </w:r>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 "all-else-equal assumption." Unfortunately, some authors have taken the phrase "all-else-equal" 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t xml:space="preserve">(</w:t>
      </w:r>
      <w:r>
        <w:rPr>
          <w:bCs/>
          <w:b/>
        </w:rPr>
        <w:t xml:space="preserve">box1.2?</w:t>
      </w:r>
      <w:r>
        <w:t xml:space="preserve">)</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1.2"/>
          <w:p>
            <w:pPr>
              <w:jc w:val="center"/>
            </w:pPr>
            <w:r>
              <w:drawing>
                <wp:inline>
                  <wp:extent cx="2946400" cy="1682750"/>
                  <wp:effectExtent b="0" l="0" r="0" t="0"/>
                  <wp:docPr descr="" title="" id="40" name="Picture"/>
                  <a:graphic>
                    <a:graphicData uri="http://schemas.openxmlformats.org/drawingml/2006/picture">
                      <pic:pic>
                        <pic:nvPicPr>
                          <pic:cNvPr descr="images/fig1-2.jpg" id="41" name="Picture"/>
                          <pic:cNvPicPr>
                            <a:picLocks noChangeArrowheads="1" noChangeAspect="1"/>
                          </pic:cNvPicPr>
                        </pic:nvPicPr>
                        <pic:blipFill>
                          <a:blip r:embed="rId39"/>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w:r>
              <w:rPr>
                <w:iCs/>
                <w:i/>
              </w:rPr>
              <w:t xml:space="preserve">K</w:t>
            </w:r>
            <w:r>
              <w:rPr>
                <w:vertAlign w:val="subscript"/>
              </w:rPr>
              <w:t xml:space="preserve">sex</w:t>
            </w:r>
            <w:r>
              <w:t xml:space="preserve"> </w:t>
            </w:r>
            <w:r>
              <w:t xml:space="preserve">= 10000. Note that the asexual lineage replaces the sexual population in about 25 generations. The asexual population then attains a new carrying capacity at</w:t>
            </w:r>
            <w:r>
              <w:t xml:space="preserve"> </w:t>
            </w:r>
            <w:r>
              <w:rPr>
                <w:iCs/>
                <w:i/>
              </w:rPr>
              <w:t xml:space="preserve">K</w:t>
            </w:r>
            <w:r>
              <w:rPr>
                <w:vertAlign w:val="subscript"/>
              </w:rPr>
              <w:t xml:space="preserve">asex</w:t>
            </w:r>
            <w:r>
              <w:t xml:space="preserve"> </w:t>
            </w:r>
            <w:r>
              <w:t xml:space="preserve">= 20000 individuals. The frequency of males in the sexual population was assumed to be 1/2. Annual reproduction, with non-overlapping generations, was also assumed.</w:t>
            </w:r>
          </w:p>
          <w:bookmarkEnd w:id="42"/>
        </w:tc>
      </w:tr>
    </w:tbl>
    <w:bookmarkEnd w:id="43"/>
    <w:bookmarkStart w:id="49"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48" w:name="fig-1.3"/>
          <w:p>
            <w:pPr>
              <w:jc w:val="center"/>
            </w:pPr>
            <w:r>
              <w:drawing>
                <wp:inline>
                  <wp:extent cx="5334000" cy="2508039"/>
                  <wp:effectExtent b="0" l="0" r="0" t="0"/>
                  <wp:docPr descr="" title="Hand pollination experiment on *Primula*: a contrivance for cross-fertilization?" id="46" name="Picture"/>
                  <a:graphic>
                    <a:graphicData uri="http://schemas.openxmlformats.org/drawingml/2006/picture">
                      <pic:pic>
                        <pic:nvPicPr>
                          <pic:cNvPr descr="images/fig1-3.jpg" id="47" name="Picture"/>
                          <pic:cNvPicPr>
                            <a:picLocks noChangeArrowheads="1" noChangeAspect="1"/>
                          </pic:cNvPicPr>
                        </pic:nvPicPr>
                        <pic:blipFill>
                          <a:blip r:embed="rId45"/>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48"/>
        </w:tc>
      </w:tr>
    </w:tbl>
    <w:bookmarkEnd w:id="49"/>
    <w:bookmarkStart w:id="55"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0"/>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1"/>
      </w:r>
      <w:r>
        <w:t xml:space="preserve">. However, von Siebold's discovery of parthenogenesis</w:t>
      </w:r>
      <w:r>
        <w:rPr>
          <w:rStyle w:val="FootnoteReference"/>
        </w:rPr>
        <w:footnoteReference w:id="53"/>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4"/>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5"/>
    <w:bookmarkEnd w:id="56"/>
    <w:bookmarkStart w:id="63"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amazel\AppData\Local\Programs\Quarto\share\formats\docx\tip.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Short definitions of terms, as used in this book. These definitions do not include all possible nuances for the terms.</w:t>
            </w:r>
          </w:p>
        </w:tc>
      </w:tr>
      <w:tr>
        <w:trPr>
          <w:cantSplit/>
        </w:trPr>
        <w:tc>
          <w:tcPr>
            <w:tcMar>
              <w:top w:w="108" w:type="dxa"/>
              <w:bottom w:w="108" w:type="dxa"/>
            </w:tcMar>
          </w:tcPr>
          <w:p>
            <w:pPr>
              <w:pStyle w:val="BodyText"/>
            </w:pPr>
            <w:pPr>
              <w:spacing w:before="16"/>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 Let</w:t>
            </w:r>
            <w:r>
              <w:t xml:space="preserve"> </w:t>
            </w:r>
            <w:r>
              <w:rPr>
                <w:iCs/>
                <w:i/>
              </w:rPr>
              <w:t xml:space="preserve">N</w:t>
            </w:r>
            <w:r>
              <w:rPr>
                <w:vertAlign w:val="subscript"/>
                <w:iCs/>
                <w:i/>
              </w:rPr>
              <w:t xml:space="preserve">asex</w:t>
            </w:r>
            <w:r>
              <w:t xml:space="preserve"> </w:t>
            </w:r>
            <w:r>
              <w:t xml:space="preserve">be the number of asexual females at time 1, while</w:t>
            </w:r>
            <w:r>
              <w:t xml:space="preserve"> </w:t>
            </w:r>
            <w:r>
              <w:rPr>
                <w:iCs/>
                <w:i/>
              </w:rPr>
              <w:t xml:space="preserve">N</w:t>
            </w:r>
            <w:r>
              <w:rPr>
                <w:vertAlign w:val="subscript"/>
                <w:iCs/>
                <w:i/>
              </w:rPr>
              <w:t xml:space="preserve">sex</w:t>
            </w:r>
            <w:r>
              <w:t xml:space="preserve"> </w:t>
            </w:r>
            <w:r>
              <w:t xml:space="preserve">gives the total number of sexual individuals (males plus females) at time 1. Let</w:t>
            </w:r>
            <w:r>
              <w:t xml:space="preserve"> </w:t>
            </w:r>
            <w:r>
              <w:rPr>
                <w:iCs/>
                <w:i/>
              </w:rPr>
              <w:t xml:space="preserve">B</w:t>
            </w:r>
            <w:r>
              <w:rPr>
                <w:vertAlign w:val="subscript"/>
                <w:iCs/>
                <w:i/>
              </w:rPr>
              <w:t xml:space="preserve">asex</w:t>
            </w:r>
            <w:r>
              <w:t xml:space="preserve"> </w:t>
            </w:r>
            <w:r>
              <w:t xml:space="preserve">give the number of offspring produced by asexual females, and</w:t>
            </w:r>
            <w:r>
              <w:t xml:space="preserve"> </w:t>
            </w:r>
            <w:r>
              <w:rPr>
                <w:iCs/>
                <w:i/>
              </w:rPr>
              <w:t xml:space="preserve">S</w:t>
            </w:r>
            <w:r>
              <w:rPr>
                <w:vertAlign w:val="subscript"/>
                <w:iCs/>
                <w:i/>
              </w:rPr>
              <w:t xml:space="preserve">asex</w:t>
            </w:r>
            <w:r>
              <w:t xml:space="preserve"> </w:t>
            </w:r>
            <w:r>
              <w:t xml:space="preserve">gives the survival probability of asexual offspring to maturity. The number of surviving asexual offspring is then =</w:t>
            </w:r>
            <w:r>
              <w:t xml:space="preserve"> </w:t>
            </w:r>
            <w:r>
              <w:rPr>
                <w:iCs/>
                <w:i/>
              </w:rPr>
              <w:t xml:space="preserve">B</w:t>
            </w:r>
            <w:r>
              <w:rPr>
                <w:vertAlign w:val="subscript"/>
                <w:iCs/>
                <w:i/>
              </w:rPr>
              <w:t xml:space="preserve">asex</w:t>
            </w:r>
            <w:r>
              <w:rPr>
                <w:iCs/>
                <w:i/>
              </w:rPr>
              <w:t xml:space="preserve">S</w:t>
            </w:r>
            <w:r>
              <w:rPr>
                <w:vertAlign w:val="subscript"/>
                <w:iCs/>
                <w:i/>
              </w:rPr>
              <w:t xml:space="preserve">asex</w:t>
            </w:r>
            <w:r>
              <w:rPr>
                <w:iCs/>
                <w:i/>
              </w:rPr>
              <w:t xml:space="preserve">.</w:t>
            </w:r>
            <w:r>
              <w:t xml:space="preserve"> </w:t>
            </w:r>
            <w:r>
              <w:t xml:space="preserve">Similarly, let</w:t>
            </w:r>
            <w:r>
              <w:t xml:space="preserve"> </w:t>
            </w:r>
            <w:r>
              <w:rPr>
                <w:iCs/>
                <w:i/>
              </w:rPr>
              <w:t xml:space="preserve">B</w:t>
            </w:r>
            <w:r>
              <w:rPr>
                <w:vertAlign w:val="subscript"/>
                <w:iCs/>
                <w:i/>
              </w:rPr>
              <w:t xml:space="preserve">sex</w:t>
            </w:r>
            <w:r>
              <w:t xml:space="preserve"> </w:t>
            </w:r>
            <w:r>
              <w:t xml:space="preserve">be the number offspring produced by sexual females, and let</w:t>
            </w:r>
            <w:r>
              <w:t xml:space="preserve"> </w:t>
            </w:r>
            <w:r>
              <w:rPr>
                <w:iCs/>
                <w:i/>
              </w:rPr>
              <w:t xml:space="preserve">S</w:t>
            </w:r>
            <w:r>
              <w:rPr>
                <w:vertAlign w:val="subscript"/>
                <w:iCs/>
                <w:i/>
              </w:rPr>
              <w:t xml:space="preserve">sex</w:t>
            </w:r>
            <w:r>
              <w:t xml:space="preserve"> </w:t>
            </w:r>
            <w:r>
              <w:t xml:space="preserve">give the survival probability of sexually produced offspring. Maynard Smith assumed that all individuals reproduce once and then die. Let</w:t>
            </w:r>
            <w:r>
              <w:t xml:space="preserve"> </w:t>
            </w:r>
            <w:r>
              <w:rPr>
                <w:iCs/>
                <w:i/>
              </w:rPr>
              <w:t xml:space="preserve">r</w:t>
            </w:r>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Para>
                    <m:oMathParaPr>
                      <m:jc m:val="center"/>
                    </m:oMathParaPr>
                    <m:oMath>
                      <m:r>
                        <m:t>N</m:t>
                      </m:r>
                      <m:r>
                        <m:t> </m:t>
                      </m:r>
                      <m:r>
                        <m:t>a</m:t>
                      </m:r>
                      <m:r>
                        <m:t>s</m:t>
                      </m:r>
                      <m:r>
                        <m:t>e</m:t>
                      </m:r>
                      <m:r>
                        <m:t>x</m:t>
                      </m:r>
                      <m:r>
                        <m:t> </m:t>
                      </m:r>
                    </m:oMath>
                  </m:oMathPara>
                </w:p>
              </w:tc>
              <w:tc>
                <w:tcPr/>
                <w:p>
                  <w:pPr>
                    <w:pStyle w:val="Compact"/>
                    <w:jc w:val="center"/>
                  </w:pPr>
                  <m:oMathPara>
                    <m:oMathParaPr>
                      <m:jc m:val="center"/>
                    </m:oMathPara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m:oMathPara>
                </w:p>
              </w:tc>
            </w:tr>
            <w:tr>
              <w:tc>
                <w:tcPr/>
                <w:p>
                  <w:pPr>
                    <w:pStyle w:val="Compact"/>
                    <w:jc w:val="center"/>
                  </w:pPr>
                  <w:r>
                    <w:rPr>
                      <w:bCs/>
                      <w:b/>
                    </w:rPr>
                    <w:t xml:space="preserve">Number of sexuals</w:t>
                  </w:r>
                </w:p>
              </w:tc>
              <w:tc>
                <w:tcPr/>
                <w:p>
                  <w:pPr>
                    <w:pStyle w:val="Compact"/>
                    <w:jc w:val="center"/>
                  </w:pPr>
                  <m:oMathPara>
                    <m:oMathParaPr>
                      <m:jc m:val="center"/>
                    </m:oMathParaPr>
                    <m:oMath>
                      <m:r>
                        <m:t>N</m:t>
                      </m:r>
                      <m:r>
                        <m:t> </m:t>
                      </m:r>
                      <m:r>
                        <m:t>s</m:t>
                      </m:r>
                      <m:r>
                        <m:t>e</m:t>
                      </m:r>
                      <m:r>
                        <m:t>x</m:t>
                      </m:r>
                      <m:r>
                        <m:t> </m:t>
                      </m:r>
                    </m:oMath>
                  </m:oMathPara>
                </w:p>
              </w:tc>
              <w:tc>
                <w:tcPr/>
                <w:p>
                  <w:pPr>
                    <w:pStyle w:val="Compact"/>
                    <w:jc w:val="center"/>
                  </w:pPr>
                  <m:oMathPara>
                    <m:oMathParaPr>
                      <m:jc m:val="center"/>
                    </m:oMathPara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m:oMathPara>
                </w:p>
              </w:tc>
            </w:tr>
            <w:tr>
              <w:tc>
                <w:tcPr/>
                <w:p>
                  <w:pPr>
                    <w:pStyle w:val="Compact"/>
                    <w:jc w:val="center"/>
                  </w:pPr>
                  <w:r>
                    <w:rPr>
                      <w:bCs/>
                      <w:b/>
                    </w:rPr>
                    <w:t xml:space="preserve">Frequency of asexuals</w:t>
                  </w:r>
                </w:p>
              </w:tc>
              <w:tc>
                <w:tcPr/>
                <w:p>
                  <w:pPr>
                    <w:pStyle w:val="Compact"/>
                    <w:jc w:val="center"/>
                  </w:pPr>
                  <m:oMathPara>
                    <m:oMathParaPr>
                      <m:jc m:val="center"/>
                    </m:oMathPara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tc>
              <w:tc>
                <w:tcPr/>
                <w:p>
                  <w:pPr>
                    <w:pStyle w:val="Compact"/>
                    <w:jc w:val="center"/>
                  </w:pPr>
                  <m:oMathPara>
                    <m:oMathParaPr>
                      <m:jc m:val="center"/>
                    </m:oMathPara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sSub>
                            <m:e>
                              <m:r>
                                <m:t>r</m:t>
                              </m:r>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m:oMathPara>
                </w:p>
              </w:tc>
            </w:tr>
          </w:tbl>
          <w:p>
            <w:pPr>
              <w:pStyle w:val="FirstParagraph"/>
            </w:pPr>
            <w:r>
              <w:t xml:space="preserve">The fold increase in frequency of asexuals,</w:t>
            </w:r>
            <w:r>
              <w:t xml:space="preserve"> </w:t>
            </w:r>
            <w:r>
              <w:rPr>
                <w:iCs/>
                <w:i/>
              </w:rPr>
              <w:t xml:space="preserve">F</w:t>
            </w:r>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d>
                      <m:dPr>
                        <m:begChr m:val="("/>
                        <m:endChr m:val=")"/>
                        <m:sepChr m:val=""/>
                        <m:grow/>
                      </m:dPr>
                      <m:e>
                        <m:sSub>
                          <m:e>
                            <m:r>
                              <m:t>r</m:t>
                            </m:r>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r</m:t>
                        </m:r>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sSub>
                      <m:e>
                        <m:r>
                          <m:t>r</m:t>
                        </m:r>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sSub>
                      <m:e>
                        <m:r>
                          <m:t>r</m:t>
                        </m:r>
                        <m:r>
                          <m:t>N</m:t>
                        </m:r>
                      </m:e>
                      <m:sub>
                        <m:r>
                          <m:t>s</m:t>
                        </m:r>
                        <m:r>
                          <m:t>e</m:t>
                        </m:r>
                        <m:r>
                          <m:t>x</m:t>
                        </m:r>
                      </m:sub>
                    </m:sSub>
                  </m:den>
                </m:f>
              </m:oMath>
            </m:oMathPara>
          </w:p>
          <w:p>
            <w:pPr>
              <w:pStyle w:val="FirstParagraph"/>
            </w:pPr>
            <w:r>
              <w:t xml:space="preserve">If</w:t>
            </w:r>
            <w:r>
              <w:t xml:space="preserve"> </w:t>
            </w:r>
            <w:r>
              <w:rPr>
                <w:iCs/>
                <w:i/>
              </w:rPr>
              <w:t xml:space="preserve">N</w:t>
            </w:r>
            <w:r>
              <w:rPr>
                <w:vertAlign w:val="subscript"/>
                <w:iCs/>
                <w:i/>
              </w:rPr>
              <w:t xml:space="preserve">sex</w:t>
            </w:r>
            <w:r>
              <w:t xml:space="preserve"> </w:t>
            </w:r>
            <w:r>
              <w:t xml:space="preserve">is very large, the solution reduces to</w:t>
            </w:r>
            <w:r>
              <w:t xml:space="preserve"> </w:t>
            </w:r>
            <w:r>
              <w:rPr>
                <w:iCs/>
                <w:i/>
              </w:rPr>
              <w:t xml:space="preserve">F</w:t>
            </w:r>
            <w:r>
              <w:t xml:space="preserve"> </w:t>
            </w:r>
            <m:oMath>
              <m:r>
                <m:rPr>
                  <m:sty m:val="p"/>
                </m:rPr>
                <m:t>≈</m:t>
              </m:r>
            </m:oMath>
            <w:r>
              <w:t xml:space="preserve"> </w:t>
            </w:r>
            <w:r>
              <w:t xml:space="preserve">1/</w:t>
            </w:r>
            <w:r>
              <w:rPr>
                <w:iCs/>
                <w:i/>
              </w:rPr>
              <w:t xml:space="preserve">r.</w:t>
            </w:r>
            <w:r>
              <w:t xml:space="preserve"> </w:t>
            </w:r>
            <w:r>
              <w:t xml:space="preserve">Hence, the fold increase in the frequency of asexuals,</w:t>
            </w:r>
            <w:r>
              <w:t xml:space="preserve"> </w:t>
            </w:r>
            <w:r>
              <w:rPr>
                <w:iCs/>
                <w:i/>
              </w:rPr>
              <w:t xml:space="preserve">F</w:t>
            </w:r>
            <w:r>
              <w:t xml:space="preserve">, is inversely related to the frequency of females (</w:t>
            </w:r>
            <w:r>
              <w:rPr>
                <w:iCs/>
                <w:i/>
              </w:rPr>
              <w:t xml:space="preserve">r</w:t>
            </w:r>
            <w:r>
              <w:t xml:space="preserve">) in the sexual subpopulation. Assuming a 1:1 sex ratio,</w:t>
            </w:r>
            <w:r>
              <w:t xml:space="preserve"> </w:t>
            </w:r>
            <w:r>
              <w:rPr>
                <w:iCs/>
                <w:i/>
              </w:rPr>
              <w:t xml:space="preserve">r</w:t>
            </w:r>
            <w:r>
              <w:t xml:space="preserve"> </w:t>
            </w:r>
            <w:r>
              <w:t xml:space="preserve">= 0.5.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p>
            <w:pPr>
              <w:pStyle w:val="BodyText"/>
            </w:pPr>
            <w:pPr>
              <w:spacing w:after="16"/>
            </w:pPr>
            <w:r>
              <w:t xml:space="preserve">*I used slightly different variable names, and I tried to simplify JMS’s original model.</w:t>
            </w:r>
          </w:p>
        </w:tc>
      </w:tr>
    </w:tbl>
    <w:bookmarkEnd w:id="63"/>
    <w:bookmarkEnd w:id="64"/>
    <w:bookmarkStart w:id="66" w:name="references"/>
    <w:p>
      <w:pPr>
        <w:pStyle w:val="Heading1"/>
      </w:pPr>
      <w:r>
        <w:t xml:space="preserve">References</w:t>
      </w:r>
    </w:p>
    <w:bookmarkStart w:id="65" w:name="refs"/>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w:r>
        <w:rPr>
          <w:iCs/>
          <w:i/>
        </w:rPr>
        <w:t xml:space="preserve">r</w:t>
      </w:r>
      <w:r>
        <w:t xml:space="preserve"> </w:t>
      </w:r>
      <w:r>
        <w:t xml:space="preserve">= 0.5), rather than in self-fertilized kin with a high level of relatedness (</w:t>
      </w:r>
      <w:r>
        <w:rPr>
          <w:iCs/>
          <w:i/>
        </w:rPr>
        <w:t xml:space="preserve">r</w:t>
      </w:r>
      <w:r>
        <w:t xml:space="preserve"> </w:t>
      </w:r>
      <w:r>
        <w:t xml:space="preserve">= 1)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0">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1">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2">
        <w:r>
          <w:rPr>
            <w:rStyle w:val="Hyperlink"/>
          </w:rPr>
          <w:t xml:space="preserve">Darwin Correspondence Project</w:t>
        </w:r>
      </w:hyperlink>
    </w:p>
  </w:footnote>
  <w:footnote w:id="53">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4">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2023-06-01T22:28:20Z</dcterms:created>
  <dcterms:modified xsi:type="dcterms:W3CDTF">2023-06-01T22:28:20Z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01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