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2.jpg" ContentType="image/jpeg"/>
  <Override PartName="/word/media/rId68.jpg" ContentType="image/jpeg"/>
  <Override PartName="/word/media/rId78.jpg" ContentType="image/jpeg"/>
  <Override PartName="/word/media/rId86.jpg" ContentType="image/jpeg"/>
  <Override PartName="/word/media/rId90.jpg" ContentType="image/jpeg"/>
  <Override PartName="/word/media/rId108.jpg" ContentType="image/jpeg"/>
  <Override PartName="/word/media/rId113.jpg" ContentType="image/jpeg"/>
  <Override PartName="/word/media/rId118.jpg" ContentType="image/jpeg"/>
  <Override PartName="/word/media/rId122.jpg" ContentType="image/jpeg"/>
  <Override PartName="/word/media/rId130.jpg" ContentType="image/jpeg"/>
  <Override PartName="/word/media/rId144.jpg" ContentType="image/jpeg"/>
  <Override PartName="/word/media/rId153.jpg" ContentType="image/jpeg"/>
  <Override PartName="/word/media/rId16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p>
    <w:p>
      <w:pPr>
        <w:pStyle w:val="Subtitle"/>
      </w:pP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25</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7"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Picture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 Jennions, and Kokko 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 id="36" name="Picture"/>
                  <a:graphic>
                    <a:graphicData uri="http://schemas.openxmlformats.org/drawingml/2006/picture">
                      <pic:pic>
                        <pic:nvPicPr>
                          <pic:cNvPr descr="images/fig1-1.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 et al. 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and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2.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6"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tbl>
      <w:tblPr>
        <w:tblStyle w:val="Table"/>
        <w:tblW w:type="pct" w:w="5000"/>
        <w:tblLook w:firstRow="0" w:lastRow="0" w:firstColumn="0" w:lastColumn="0" w:noHBand="0" w:noVBand="0" w:val="0000"/>
        <w:jc w:val="start"/>
      </w:tblPr>
      <w:tblGrid>
        <w:gridCol w:w="7920"/>
      </w:tblGrid>
      <w:tr>
        <w:tc>
          <w:tcPr/>
          <w:bookmarkStart w:id="55" w:name="fig-1.3"/>
          <w:p>
            <w:pPr>
              <w:jc w:val="center"/>
            </w:pPr>
            <w:r>
              <w:drawing>
                <wp:inline>
                  <wp:extent cx="7429500" cy="3312682"/>
                  <wp:effectExtent b="0" l="0" r="0" t="0"/>
                  <wp:docPr descr="" title="" id="53" name="Picture"/>
                  <a:graphic>
                    <a:graphicData uri="http://schemas.openxmlformats.org/drawingml/2006/picture">
                      <pic:pic>
                        <pic:nvPicPr>
                          <pic:cNvPr descr="images/fig1-3.jpg" id="54" name="Picture"/>
                          <pic:cNvPicPr>
                            <a:picLocks noChangeArrowheads="1" noChangeAspect="1"/>
                          </pic:cNvPicPr>
                        </pic:nvPicPr>
                        <pic:blipFill>
                          <a:blip r:embed="rId52"/>
                          <a:stretch>
                            <a:fillRect/>
                          </a:stretch>
                        </pic:blipFill>
                        <pic:spPr bwMode="auto">
                          <a:xfrm>
                            <a:off x="0" y="0"/>
                            <a:ext cx="7429500" cy="3312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5"/>
        </w:tc>
      </w:tr>
    </w:tbl>
    <w:bookmarkEnd w:id="56"/>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(reviews in Meirmans 2009; Dagg 2016)</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6"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1,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tbl>
            <w:tblPr>
              <w:tblStyle w:val="Table"/>
              <w:tblW w:type="pct" w:w="5000"/>
              <w:tblLook w:firstRow="1" w:lastRow="0" w:firstColumn="0" w:lastColumn="0" w:noHBand="0" w:noVBand="0" w:val="0020"/>
              <w:jc w:val="start"/>
            </w:tblPr>
            <w:tblGrid>
              <w:gridCol w:w="1272"/>
              <w:gridCol w:w="1791"/>
              <w:gridCol w:w="4855"/>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6"/>
    <w:bookmarkEnd w:id="67"/>
    <w:bookmarkStart w:id="112"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69" name="Picture"/>
                  <a:graphic>
                    <a:graphicData uri="http://schemas.openxmlformats.org/drawingml/2006/picture">
                      <pic:pic>
                        <pic:nvPicPr>
                          <pic:cNvPr descr="images/fig2-1.jpeg" id="70" name="Picture"/>
                          <pic:cNvPicPr>
                            <a:picLocks noChangeArrowheads="1" noChangeAspect="1"/>
                          </pic:cNvPicPr>
                        </pic:nvPicPr>
                        <pic:blipFill>
                          <a:blip r:embed="rId68"/>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5"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Bell 1982)</w:t>
      </w:r>
      <w:r>
        <w:t xml:space="preserve">, which is a more descriptive phrase.</w:t>
      </w:r>
      <w:r>
        <w:rPr>
          <w:rStyle w:val="FootnoteReference"/>
        </w:rPr>
        <w:footnoteReference w:id="71"/>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bet-hedging in evolutionary theory is that selection can act to reduce the variance in reproductive success over time, even if it also reduces the arithmetic mean across years</w:t>
      </w:r>
      <w:r>
        <w:t xml:space="preserve"> </w:t>
      </w:r>
      <w:r>
        <w:t xml:space="preserve">(review in Philippi and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2"/>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3"/>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4"/>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5"/>
    <w:bookmarkStart w:id="84"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6"/>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7"/>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1" w:name="fig-2-2"/>
          <w:p>
            <w:pPr>
              <w:jc w:val="center"/>
            </w:pPr>
            <w:r>
              <w:drawing>
                <wp:inline>
                  <wp:extent cx="3980688" cy="4069079"/>
                  <wp:effectExtent b="0" l="0" r="0" t="0"/>
                  <wp:docPr descr="" title="" id="79" name="Picture"/>
                  <a:graphic>
                    <a:graphicData uri="http://schemas.openxmlformats.org/drawingml/2006/picture">
                      <pic:pic>
                        <pic:nvPicPr>
                          <pic:cNvPr descr="images/fig2-2.jpeg" id="80" name="Picture"/>
                          <pic:cNvPicPr>
                            <a:picLocks noChangeArrowheads="1" noChangeAspect="1"/>
                          </pic:cNvPicPr>
                        </pic:nvPicPr>
                        <pic:blipFill>
                          <a:blip r:embed="rId78"/>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1"/>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2"/>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(Smith and Hoekstra 1980; Lively 1986)</w:t>
      </w:r>
      <w:r>
        <w:t xml:space="preserve"> </w:t>
      </w:r>
      <w:r>
        <w:t xml:space="preserve">(see also</w:t>
      </w:r>
      <w:r>
        <w:t xml:space="preserve"> </w:t>
      </w:r>
      <w:hyperlink r:id="rId83">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(Bell 1982; Vrijenhoek and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and Parker 2009)</w:t>
      </w:r>
      <w:r>
        <w:t xml:space="preserve">. Coexistence, however, is also compatible with the Red Queen hypothesis, which we will now consider.</w:t>
      </w:r>
    </w:p>
    <w:bookmarkEnd w:id="84"/>
    <w:bookmarkStart w:id="104"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5"/>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89" w:name="fig-2-3"/>
          <w:p>
            <w:pPr>
              <w:jc w:val="center"/>
            </w:pPr>
            <w:r>
              <w:drawing>
                <wp:inline>
                  <wp:extent cx="5943600" cy="7768311"/>
                  <wp:effectExtent b="0" l="0" r="0" t="0"/>
                  <wp:docPr descr="" title="" id="87" name="Picture"/>
                  <a:graphic>
                    <a:graphicData uri="http://schemas.openxmlformats.org/drawingml/2006/picture">
                      <pic:pic>
                        <pic:nvPicPr>
                          <pic:cNvPr descr="images/fig2-3.jpg" id="88" name="Picture"/>
                          <pic:cNvPicPr>
                            <a:picLocks noChangeArrowheads="1" noChangeAspect="1"/>
                          </pic:cNvPicPr>
                        </pic:nvPicPr>
                        <pic:blipFill>
                          <a:blip r:embed="rId86"/>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89"/>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and Lively 1999, 2007; Schmid-Hempel and Jokela 2002; Salathe et al. 2008)</w:t>
      </w:r>
      <w:r>
        <w:t xml:space="preserve">. These related ideas are now called the Red Queen Hypothesis</w:t>
      </w:r>
      <w:r>
        <w:t xml:space="preserve"> </w:t>
      </w:r>
      <w:r>
        <w:t xml:space="preserve">(following Bell 1982)</w:t>
      </w:r>
      <w:r>
        <w:t xml:space="preserve">.</w:t>
      </w:r>
    </w:p>
    <w:tbl>
      <w:tblPr>
        <w:tblStyle w:val="Table"/>
        <w:tblW w:type="pct" w:w="5000"/>
        <w:tblLook w:firstRow="0" w:lastRow="0" w:firstColumn="0" w:lastColumn="0" w:noHBand="0" w:noVBand="0" w:val="0000"/>
        <w:jc w:val="start"/>
      </w:tblPr>
      <w:tblGrid>
        <w:gridCol w:w="7920"/>
      </w:tblGrid>
      <w:tr>
        <w:tc>
          <w:tcPr/>
          <w:bookmarkStart w:id="93" w:name="fig-2-4"/>
          <w:p>
            <w:pPr>
              <w:jc w:val="center"/>
            </w:pPr>
            <w:r>
              <w:drawing>
                <wp:inline>
                  <wp:extent cx="5943600" cy="4065198"/>
                  <wp:effectExtent b="0" l="0" r="0" t="0"/>
                  <wp:docPr descr="" title="" id="91" name="Picture"/>
                  <a:graphic>
                    <a:graphicData uri="http://schemas.openxmlformats.org/drawingml/2006/picture">
                      <pic:pic>
                        <pic:nvPicPr>
                          <pic:cNvPr descr="images/fig2-4.jpeg" id="92" name="Picture"/>
                          <pic:cNvPicPr>
                            <a:picLocks noChangeArrowheads="1" noChangeAspect="1"/>
                          </pic:cNvPicPr>
                        </pic:nvPicPr>
                        <pic:blipFill>
                          <a:blip r:embed="rId90"/>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3"/>
        </w:tc>
      </w:tr>
    </w:tbl>
    <w:bookmarkStart w:id="97"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4"/>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n.d.b, n.d.a)</w:t>
      </w:r>
      <w:r>
        <w:t xml:space="preserve">. Along these lines, mathematician Sanderson M. Smith has suggested that</w:t>
      </w:r>
      <w:r>
        <w:t xml:space="preserve"> </w:t>
      </w:r>
      <w:hyperlink r:id="rId95">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6"/>
      </w:r>
    </w:p>
    <w:bookmarkEnd w:id="97"/>
    <w:bookmarkStart w:id="103"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 [-</w:t>
      </w:r>
      <w:r>
        <w:t xml:space="preserve">Glesener and Tilman (1978)</w:t>
      </w:r>
      <w:r>
        <w:t xml:space="preserve">]</w:t>
      </w:r>
      <w:r>
        <w:rPr>
          <w:rStyle w:val="FootnoteReference"/>
        </w:rPr>
        <w:footnoteReference w:id="98"/>
      </w:r>
      <w:r>
        <w:t xml:space="preserve">, Jaenike [-</w:t>
      </w:r>
      <w:r>
        <w:t xml:space="preserve">Jaenike (1978)</w:t>
      </w:r>
      <w:r>
        <w:t xml:space="preserve">]</w:t>
      </w:r>
      <w:r>
        <w:rPr>
          <w:rStyle w:val="FootnoteReference"/>
        </w:rPr>
        <w:footnoteReference w:id="99"/>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0"/>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1"/>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2"/>
      </w:r>
    </w:p>
    <w:bookmarkEnd w:id="103"/>
    <w:bookmarkEnd w:id="104"/>
    <w:bookmarkStart w:id="111"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5" name="Picture"/>
                  <a:graphic>
                    <a:graphicData uri="http://schemas.openxmlformats.org/drawingml/2006/picture">
                      <pic:pic>
                        <pic:nvPicPr>
                          <pic:cNvPr descr="C:\Users\amazel\AppData\Local\Programs\Quarto\share\formats\docx\note.png" id="106"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tbl>
            <w:tblPr>
              <w:tblStyle w:val="Table"/>
              <w:tblW w:type="pct" w:w="5000"/>
              <w:tblLook w:firstRow="1" w:lastRow="0" w:firstColumn="0" w:lastColumn="0" w:noHBand="0" w:noVBand="0" w:val="0020"/>
              <w:jc w:val="start"/>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tbl>
            <w:tblPr>
              <w:tblStyle w:val="Table"/>
              <w:tblW w:type="pct" w:w="5000"/>
              <w:tblLook w:firstRow="1" w:lastRow="0" w:firstColumn="0" w:lastColumn="0" w:noHBand="0" w:noVBand="0" w:val="0020"/>
              <w:jc w:val="start"/>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07"/>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09" name="Picture"/>
                        <a:graphic>
                          <a:graphicData uri="http://schemas.openxmlformats.org/drawingml/2006/picture">
                            <pic:pic>
                              <pic:nvPicPr>
                                <pic:cNvPr descr="images/fig2-5.jpg" id="110" name="Picture"/>
                                <pic:cNvPicPr>
                                  <a:picLocks noChangeArrowheads="1" noChangeAspect="1"/>
                                </pic:cNvPicPr>
                              </pic:nvPicPr>
                              <pic:blipFill>
                                <a:blip r:embed="rId108"/>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1"/>
    <w:bookmarkEnd w:id="112"/>
    <w:bookmarkStart w:id="164"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4" name="Picture"/>
                  <a:graphic>
                    <a:graphicData uri="http://schemas.openxmlformats.org/drawingml/2006/picture">
                      <pic:pic>
                        <pic:nvPicPr>
                          <pic:cNvPr descr="images/fig3-1.jpeg" id="115" name="Picture"/>
                          <pic:cNvPicPr>
                            <a:picLocks noChangeArrowheads="1" noChangeAspect="1"/>
                          </pic:cNvPicPr>
                        </pic:nvPicPr>
                        <pic:blipFill>
                          <a:blip r:embed="rId113"/>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16"/>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 (Lively 1986c).</w:t>
      </w:r>
      <w:r>
        <w:rPr>
          <w:rStyle w:val="FootnoteReference"/>
        </w:rPr>
        <w:footnoteReference w:id="117"/>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 (Lively 1986b).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 (Lively 1986b).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 (Lloyd 1984).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1" w:name="fig-3-2"/>
          <w:p>
            <w:pPr>
              <w:jc w:val="center"/>
            </w:pPr>
            <w:r>
              <w:drawing>
                <wp:inline>
                  <wp:extent cx="2377440" cy="3076687"/>
                  <wp:effectExtent b="0" l="0" r="0" t="0"/>
                  <wp:docPr descr="" title="" id="119" name="Picture"/>
                  <a:graphic>
                    <a:graphicData uri="http://schemas.openxmlformats.org/drawingml/2006/picture">
                      <pic:pic>
                        <pic:nvPicPr>
                          <pic:cNvPr descr="images/fig3-2.jpeg" id="120" name="Picture"/>
                          <pic:cNvPicPr>
                            <a:picLocks noChangeArrowheads="1" noChangeAspect="1"/>
                          </pic:cNvPicPr>
                        </pic:nvPicPr>
                        <pic:blipFill>
                          <a:blip r:embed="rId118"/>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1"/>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5" w:name="fig-3-3"/>
          <w:p>
            <w:pPr>
              <w:jc w:val="center"/>
            </w:pPr>
            <w:r>
              <w:drawing>
                <wp:inline>
                  <wp:extent cx="2377440" cy="2657717"/>
                  <wp:effectExtent b="0" l="0" r="0" t="0"/>
                  <wp:docPr descr="" title="" id="123" name="Picture"/>
                  <a:graphic>
                    <a:graphicData uri="http://schemas.openxmlformats.org/drawingml/2006/picture">
                      <pic:pic>
                        <pic:nvPicPr>
                          <pic:cNvPr descr="images/fig3-3.jpeg" id="124" name="Picture"/>
                          <pic:cNvPicPr>
                            <a:picLocks noChangeArrowheads="1" noChangeAspect="1"/>
                          </pic:cNvPicPr>
                        </pic:nvPicPr>
                        <pic:blipFill>
                          <a:blip r:embed="rId122"/>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5"/>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26"/>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 (e.g., Clark 1976).</w:t>
      </w:r>
    </w:p>
    <w:p>
      <w:pPr>
        <w:pStyle w:val="BodyText"/>
      </w:pPr>
      <w:r>
        <w:t xml:space="preserve">I began looking for natural systems to study facultative parthenogenesis.</w:t>
      </w:r>
      <w:r>
        <w:rPr>
          <w:rStyle w:val="FootnoteReference"/>
        </w:rPr>
        <w:footnoteReference w:id="127"/>
      </w:r>
      <w:r>
        <w:t xml:space="preserve"> </w:t>
      </w:r>
      <w:r>
        <w:t xml:space="preserve">To this end, I was reading Graham Bell’s incredible book on the evolution and genetics of sexual reproduction (Bell 1982). Searching the index, I found a reference to</w:t>
      </w:r>
      <w:r>
        <w:t xml:space="preserve"> </w:t>
      </w:r>
      <w:r>
        <w:rPr>
          <w:iCs/>
          <w:i/>
        </w:rPr>
        <w:t xml:space="preserve">Potamopyrgus antipodarum</w:t>
      </w:r>
      <w:r>
        <w:t xml:space="preserve">, a New Zealand freshwater snail. Bell had cited Mike Winterbourn’s dissertation work on this snail (Winterbourn 1970).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28"/>
      </w:r>
    </w:p>
    <w:bookmarkStart w:id="137"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 (Chamberlin 1890, Platt 1964).</w:t>
      </w:r>
      <w:r>
        <w:rPr>
          <w:rStyle w:val="FootnoteReference"/>
        </w:rPr>
        <w:footnoteReference w:id="129"/>
      </w:r>
      <w:r>
        <w:t xml:space="preserve"> </w:t>
      </w:r>
      <w:r>
        <w:t xml:space="preserve">The idea is that multiple hypotheses should be simultaneously considered. Then, to the extent possible, the alternatives are forced to make different a priori 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 (Platt 1964). Thus, the focus is on falsifying one or more of the alternatives, rather than proving one of them (Popper 1959). Graham Bell used this same method to contrast the ecological models for sex by using data on the geographic distribution of asexual individuals across many plant and animal taxa (Bell 1982).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4" w:name="fig-3-4"/>
          <w:p>
            <w:pPr>
              <w:jc w:val="center"/>
            </w:pPr>
            <w:r>
              <w:drawing>
                <wp:inline>
                  <wp:extent cx="5943600" cy="3965495"/>
                  <wp:effectExtent b="0" l="0" r="0" t="0"/>
                  <wp:docPr descr="" title="" id="131" name="Picture"/>
                  <a:graphic>
                    <a:graphicData uri="http://schemas.openxmlformats.org/drawingml/2006/picture">
                      <pic:pic>
                        <pic:nvPicPr>
                          <pic:cNvPr descr="images/fig3-4.jpeg" id="132" name="Picture"/>
                          <pic:cNvPicPr>
                            <a:picLocks noChangeArrowheads="1" noChangeAspect="1"/>
                          </pic:cNvPicPr>
                        </pic:nvPicPr>
                        <pic:blipFill>
                          <a:blip r:embed="rId130"/>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 (Phillips and Lambert 1990).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 (Lively and Johnson 1994).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3">
              <w:r>
                <w:rPr>
                  <w:rStyle w:val="Hyperlink"/>
                </w:rPr>
                <w:t xml:space="preserve">Bart Zijlstra</w:t>
              </w:r>
            </w:hyperlink>
            <w:r>
              <w:t xml:space="preserve">.</w:t>
            </w:r>
          </w:p>
          <w:bookmarkEnd w:id="134"/>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 (Winterbourn et al. 1981).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 (1983).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36"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5"/>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36"/>
    <w:bookmarkEnd w:id="137"/>
    <w:bookmarkStart w:id="152"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 (1973) described. I reasoned that the frequency of males in a population must be strongly correlated with the frequency of sexual females simply because males are only produced by sexual females.</w:t>
      </w:r>
      <w:r>
        <w:rPr>
          <w:rStyle w:val="FootnoteReference"/>
        </w:rPr>
        <w:footnoteReference w:id="138"/>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(Lively 1987).</w:t>
      </w:r>
      <w:r>
        <w:rPr>
          <w:rStyle w:val="FootnoteReference"/>
        </w:rPr>
        <w:footnoteReference w:id="139"/>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 (Burt and Bell 1987).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0"/>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 (1987) 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 (1980) and others (e.g., Glesener and Tilman 1978, Bell 1982).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 (Gould 1991, Stolley 1991).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(1966) was correct when he wrote, “Hence our truth is the intersection of independent lies.</w:t>
      </w:r>
      <w:r>
        <w:rPr>
          <w:rStyle w:val="FootnoteReference"/>
        </w:rPr>
        <w:footnoteReference w:id="141"/>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2"/>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 (Anderson and May 1979, May and Anderson 1979). Second, there might be more sex in dense populations because asexual reproduction is favored in sparse populations as a way for individuals to ensure reproduction even in the absence of conspecific mates (Tomlinson 1966, Gerritsen 1980, Lloyd 1980).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 (Lively 1992).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3"/>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47" w:name="fig-3-5"/>
          <w:p>
            <w:pPr>
              <w:jc w:val="center"/>
            </w:pPr>
            <w:r>
              <w:drawing>
                <wp:inline>
                  <wp:extent cx="5772150" cy="6019800"/>
                  <wp:effectExtent b="0" l="0" r="0" t="0"/>
                  <wp:docPr descr="" title="" id="145" name="Picture"/>
                  <a:graphic>
                    <a:graphicData uri="http://schemas.openxmlformats.org/drawingml/2006/picture">
                      <pic:pic>
                        <pic:nvPicPr>
                          <pic:cNvPr descr="images/fig3-5.JPG" id="146" name="Picture"/>
                          <pic:cNvPicPr>
                            <a:picLocks noChangeArrowheads="1" noChangeAspect="1"/>
                          </pic:cNvPicPr>
                        </pic:nvPicPr>
                        <pic:blipFill>
                          <a:blip r:embed="rId144"/>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 (Lively 1987) plus two river samples. Gray triangles represent lake populations (Lively 1987). Black triangles represent lake and tarn populations (Lively 1992). The correlation is positive and statistically significant.</w:t>
            </w:r>
          </w:p>
          <w:bookmarkEnd w:id="147"/>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 (Lively 2001). For example, infected snails might die at a faster rate than uninfected snails because of the energetic demands of infection. In addition, infected snails are more likely than uninfected snails to forage after sunrise, which exposes them to predation by their final hosts, ducks (Levri and Lively 1996, Levri and Fisher 2000). Prevalence of infection might also fluctuate over time as the genetic diversity in the host population changes and/or as the final hosts move among locations. We now know that the prevalence of infection varies greatly among years and among sites in the same lake (Gibson et al. 2016). Thus, detecting a significant correlation between sex and infection could be dicey, even if parasites were solely responsible for the short-term maintenance of sex in mixed populations.</w:t>
      </w:r>
      <w:r>
        <w:rPr>
          <w:rStyle w:val="FootnoteReference"/>
        </w:rPr>
        <w:footnoteReference w:id="148"/>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49"/>
      </w:r>
      <w:r>
        <w:t xml:space="preserve"> </w:t>
      </w:r>
      <w:r>
        <w:t xml:space="preserve">We resampled all 20 lakes 10 – 15 years after my original samples. We found that prevalence of infection was highly correlated between sample periods as was male frequency (Lively and Jokela 2002).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0"/>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1"/>
      </w:r>
      <w:r>
        <w:t xml:space="preserve"> </w:t>
      </w:r>
      <w:r>
        <w:t xml:space="preserve">But the results do imply that the Red Queen Hypothesis was (and still is) worthy of further study.</w:t>
      </w:r>
    </w:p>
    <w:bookmarkEnd w:id="152"/>
    <w:bookmarkStart w:id="163"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56" w:name="fig-3-6"/>
          <w:p>
            <w:pPr>
              <w:jc w:val="center"/>
            </w:pPr>
            <w:r>
              <w:drawing>
                <wp:inline>
                  <wp:extent cx="4895850" cy="5819775"/>
                  <wp:effectExtent b="0" l="0" r="0" t="0"/>
                  <wp:docPr descr="" title="" id="154" name="Picture"/>
                  <a:graphic>
                    <a:graphicData uri="http://schemas.openxmlformats.org/drawingml/2006/picture">
                      <pic:pic>
                        <pic:nvPicPr>
                          <pic:cNvPr descr="images/fig3-6.JPG" id="155" name="Picture"/>
                          <pic:cNvPicPr>
                            <a:picLocks noChangeArrowheads="1" noChangeAspect="1"/>
                          </pic:cNvPicPr>
                        </pic:nvPicPr>
                        <pic:blipFill>
                          <a:blip r:embed="rId153"/>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 (Redrawn from Lively (1992).)</w:t>
            </w:r>
          </w:p>
          <w:bookmarkEnd w:id="156"/>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57" name="Picture"/>
                  <a:graphic>
                    <a:graphicData uri="http://schemas.openxmlformats.org/drawingml/2006/picture">
                      <pic:pic>
                        <pic:nvPicPr>
                          <pic:cNvPr descr="C:\Users\amazel\AppData\Local\Programs\Quarto\share\formats\docx\note.png" id="15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 (Lively 1986a).</w:t>
            </w:r>
          </w:p>
          <w:p>
            <w:pPr>
              <w:pStyle w:val="BodyText"/>
            </w:pPr>
            <w:r>
              <w:t xml:space="preserve">An example of the output is shown below. The results show that any of the three strategies can be an ESS in part of the parameter space.</w:t>
            </w:r>
            <w:r>
              <w:rPr>
                <w:rStyle w:val="FootnoteReference"/>
              </w:rPr>
              <w:footnoteReference w:id="159"/>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 (Levinton 1988). Also note that the conditions for a genetic polymorphism are relatively narrow. Redrawn from (Lively 1999b) 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1" name="Picture"/>
                        <a:graphic>
                          <a:graphicData uri="http://schemas.openxmlformats.org/drawingml/2006/picture">
                            <pic:pic>
                              <pic:nvPicPr>
                                <pic:cNvPr descr="images/fig3-7.JPG" id="162" name="Picture"/>
                                <pic:cNvPicPr>
                                  <a:picLocks noChangeArrowheads="1" noChangeAspect="1"/>
                                </pic:cNvPicPr>
                              </pic:nvPicPr>
                              <pic:blipFill>
                                <a:blip r:embed="rId160"/>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3"/>
    <w:bookmarkEnd w:id="164"/>
    <w:bookmarkStart w:id="166"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5" w:name="the-problem-1"/>
    <w:p>
      <w:pPr>
        <w:pStyle w:val="Heading2"/>
      </w:pPr>
      <w:r>
        <w:t xml:space="preserve">4.1 The Problem</w:t>
      </w:r>
    </w:p>
    <w:bookmarkEnd w:id="165"/>
    <w:bookmarkEnd w:id="166"/>
    <w:bookmarkStart w:id="219" w:name="references"/>
    <w:p>
      <w:pPr>
        <w:pStyle w:val="Heading1"/>
      </w:pPr>
      <w:r>
        <w:t xml:space="preserve">References</w:t>
      </w:r>
    </w:p>
    <w:bookmarkStart w:id="218" w:name="refs"/>
    <w:bookmarkStart w:id="167" w:name="ref-bayley2010a"/>
    <w:p>
      <w:pPr>
        <w:pStyle w:val="Bibliography"/>
      </w:pPr>
      <w:r>
        <w:t xml:space="preserve">Bayley, M. n.d.a.</w:t>
      </w:r>
      <w:r>
        <w:t xml:space="preserve"> </w:t>
      </w:r>
      <w:r>
        <w:t xml:space="preserve">“Algebra in Wonderland.”</w:t>
      </w:r>
      <w:r>
        <w:t xml:space="preserve"> </w:t>
      </w:r>
      <w:r>
        <w:rPr>
          <w:iCs/>
          <w:i/>
        </w:rPr>
        <w:t xml:space="preserve">New York Times</w:t>
      </w:r>
      <w:r>
        <w:t xml:space="preserve">.</w:t>
      </w:r>
    </w:p>
    <w:bookmarkEnd w:id="167"/>
    <w:bookmarkStart w:id="168" w:name="ref-bayley2009a"/>
    <w:p>
      <w:pPr>
        <w:pStyle w:val="Bibliography"/>
      </w:pPr>
      <w:r>
        <w:t xml:space="preserve">———. n.d.b.</w:t>
      </w:r>
      <w:r>
        <w:t xml:space="preserve"> </w:t>
      </w:r>
      <w:r>
        <w:t xml:space="preserve">“Alice’s Adventures in Algebra: Wonderland Solved.”</w:t>
      </w:r>
      <w:r>
        <w:t xml:space="preserve"> </w:t>
      </w:r>
      <w:r>
        <w:rPr>
          <w:iCs/>
          <w:i/>
        </w:rPr>
        <w:t xml:space="preserve">New Scientist</w:t>
      </w:r>
      <w:r>
        <w:t xml:space="preserve">.</w:t>
      </w:r>
    </w:p>
    <w:bookmarkEnd w:id="168"/>
    <w:bookmarkStart w:id="169" w:name="ref-bell1982a"/>
    <w:p>
      <w:pPr>
        <w:pStyle w:val="Bibliography"/>
      </w:pPr>
      <w:r>
        <w:t xml:space="preserve">Bell, G. 1982.</w:t>
      </w:r>
      <w:r>
        <w:t xml:space="preserve"> </w:t>
      </w:r>
      <w:r>
        <w:rPr>
          <w:iCs/>
          <w:i/>
        </w:rPr>
        <w:t xml:space="preserve">The Masterpiece of Nature: The Evolution and Genetics of Sexuality</w:t>
      </w:r>
      <w:r>
        <w:t xml:space="preserve">. Berkeley: University of California Press.</w:t>
      </w:r>
    </w:p>
    <w:bookmarkEnd w:id="169"/>
    <w:bookmarkStart w:id="170" w:name="ref-churchill1979a"/>
    <w:p>
      <w:pPr>
        <w:pStyle w:val="Bibliography"/>
      </w:pPr>
      <w:r>
        <w:t xml:space="preserve">Churchill, F. B. 1979.</w:t>
      </w:r>
      <w:r>
        <w:t xml:space="preserve"> </w:t>
      </w:r>
      <w:r>
        <w:t xml:space="preserve">“Sex and the Single Organism: Biological Theories of Sex in Mid Nineteenth Century.”</w:t>
      </w:r>
      <w:r>
        <w:t xml:space="preserve"> </w:t>
      </w:r>
      <w:r>
        <w:rPr>
          <w:iCs/>
          <w:i/>
        </w:rPr>
        <w:t xml:space="preserve">Studies in the History of Biology</w:t>
      </w:r>
      <w:r>
        <w:t xml:space="preserve"> </w:t>
      </w:r>
      <w:r>
        <w:t xml:space="preserve">3: 139–77.</w:t>
      </w:r>
    </w:p>
    <w:bookmarkEnd w:id="170"/>
    <w:bookmarkStart w:id="172" w:name="ref-dagg2016a"/>
    <w:p>
      <w:pPr>
        <w:pStyle w:val="Bibliography"/>
      </w:pPr>
      <w:r>
        <w:t xml:space="preserve">Dagg, Joachim. 2016.</w:t>
      </w:r>
      <w:r>
        <w:t xml:space="preserve"> </w:t>
      </w:r>
      <w:r>
        <w:t xml:space="preserve">“On Recognising the Paradox of Sex.”</w:t>
      </w:r>
      <w:r>
        <w:t xml:space="preserve"> </w:t>
      </w:r>
      <w:r>
        <w:rPr>
          <w:iCs/>
          <w:i/>
        </w:rPr>
        <w:t xml:space="preserve">Philosophy and Theory in Biology</w:t>
      </w:r>
      <w:r>
        <w:t xml:space="preserve"> </w:t>
      </w:r>
      <w:r>
        <w:t xml:space="preserve">8.</w:t>
      </w:r>
      <w:r>
        <w:t xml:space="preserve"> </w:t>
      </w:r>
      <w:hyperlink r:id="rId171">
        <w:r>
          <w:rPr>
            <w:rStyle w:val="Hyperlink"/>
          </w:rPr>
          <w:t xml:space="preserve">http://philsci-archive.pitt.edu/12255/</w:t>
        </w:r>
      </w:hyperlink>
      <w:r>
        <w:t xml:space="preserve">.</w:t>
      </w:r>
    </w:p>
    <w:bookmarkEnd w:id="172"/>
    <w:bookmarkStart w:id="174" w:name="ref-darwin1862a"/>
    <w:p>
      <w:pPr>
        <w:pStyle w:val="Bibliography"/>
      </w:pPr>
      <w:r>
        <w:t xml:space="preserve">Darwin, Charles. 1862.</w:t>
      </w:r>
      <w:r>
        <w:t xml:space="preserve"> </w:t>
      </w:r>
      <w:r>
        <w:t xml:space="preserve">“On the Two Forms, or Dimorphic Condition, in the Species of Primula, and on Their Remarkable Sexual Relations.”</w:t>
      </w:r>
      <w:r>
        <w:t xml:space="preserve"> </w:t>
      </w:r>
      <w:r>
        <w:rPr>
          <w:iCs/>
          <w:i/>
        </w:rPr>
        <w:t xml:space="preserve">Journal of the Proceedings of the Linnean Society of London. Botany</w:t>
      </w:r>
      <w:r>
        <w:t xml:space="preserve"> </w:t>
      </w:r>
      <w:r>
        <w:t xml:space="preserve">6 (22): 77–96.</w:t>
      </w:r>
      <w:r>
        <w:t xml:space="preserve"> </w:t>
      </w:r>
      <w:hyperlink r:id="rId173">
        <w:r>
          <w:rPr>
            <w:rStyle w:val="Hyperlink"/>
          </w:rPr>
          <w:t xml:space="preserve">https://doi.org/10.1111/j.1095-8312.1862.tb01218.x</w:t>
        </w:r>
      </w:hyperlink>
      <w:r>
        <w:t xml:space="preserve">.</w:t>
      </w:r>
    </w:p>
    <w:bookmarkEnd w:id="174"/>
    <w:bookmarkStart w:id="175" w:name="ref-darwin1868a"/>
    <w:p>
      <w:pPr>
        <w:pStyle w:val="Bibliography"/>
      </w:pPr>
      <w:r>
        <w:t xml:space="preserve">———. 1868.</w:t>
      </w:r>
      <w:r>
        <w:t xml:space="preserve"> </w:t>
      </w:r>
      <w:r>
        <w:t xml:space="preserve">“The Variation of Plants and Animals Under Domestication.”</w:t>
      </w:r>
      <w:r>
        <w:t xml:space="preserve"> </w:t>
      </w:r>
      <w:r>
        <w:t xml:space="preserve">London: John Murray.</w:t>
      </w:r>
    </w:p>
    <w:bookmarkEnd w:id="175"/>
    <w:bookmarkStart w:id="177" w:name="ref-darwin1860a"/>
    <w:p>
      <w:pPr>
        <w:pStyle w:val="Bibliography"/>
      </w:pPr>
      <w:r>
        <w:t xml:space="preserve">———. n.d.</w:t>
      </w:r>
      <w:r>
        <w:t xml:space="preserve"> </w:t>
      </w:r>
      <w:r>
        <w:t xml:space="preserve">“Letter No. 2869.”</w:t>
      </w:r>
      <w:r>
        <w:t xml:space="preserve"> </w:t>
      </w:r>
      <w:r>
        <w:t xml:space="preserve">Darwin Correspondence Project.</w:t>
      </w:r>
      <w:r>
        <w:t xml:space="preserve"> </w:t>
      </w:r>
      <w:hyperlink r:id="rId176">
        <w:r>
          <w:rPr>
            <w:rStyle w:val="Hyperlink"/>
          </w:rPr>
          <w:t xml:space="preserve">https://www.darwinproject.ac.uk/letter/?docId=letters/DCP-LETT-2869.xml</w:t>
        </w:r>
      </w:hyperlink>
      <w:r>
        <w:t xml:space="preserve">.</w:t>
      </w:r>
    </w:p>
    <w:bookmarkEnd w:id="177"/>
    <w:bookmarkStart w:id="178" w:name="ref-fisher1941a"/>
    <w:p>
      <w:pPr>
        <w:pStyle w:val="Bibliography"/>
      </w:pPr>
      <w:r>
        <w:t xml:space="preserve">Fisher, R. A. 1941.</w:t>
      </w:r>
      <w:r>
        <w:t xml:space="preserve"> </w:t>
      </w:r>
      <w:r>
        <w:t xml:space="preserve">“Average Excess and Average Effect of a Gene Substitution.”</w:t>
      </w:r>
      <w:r>
        <w:t xml:space="preserve"> </w:t>
      </w:r>
      <w:r>
        <w:rPr>
          <w:iCs/>
          <w:i/>
        </w:rPr>
        <w:t xml:space="preserve">Annals of Eugenics</w:t>
      </w:r>
      <w:r>
        <w:t xml:space="preserve"> </w:t>
      </w:r>
      <w:r>
        <w:t xml:space="preserve">11: 53–63.</w:t>
      </w:r>
    </w:p>
    <w:bookmarkEnd w:id="178"/>
    <w:bookmarkStart w:id="179" w:name="ref-ghiselin1974a"/>
    <w:p>
      <w:pPr>
        <w:pStyle w:val="Bibliography"/>
      </w:pPr>
      <w:r>
        <w:t xml:space="preserve">Ghiselin, M. T. 1974.</w:t>
      </w:r>
      <w:r>
        <w:t xml:space="preserve"> </w:t>
      </w:r>
      <w:r>
        <w:rPr>
          <w:iCs/>
          <w:i/>
        </w:rPr>
        <w:t xml:space="preserve">The Economy of Nature and the Evolution of Sex</w:t>
      </w:r>
      <w:r>
        <w:t xml:space="preserve">. Berkeley: University of California Press.</w:t>
      </w:r>
    </w:p>
    <w:bookmarkEnd w:id="179"/>
    <w:bookmarkStart w:id="180" w:name="ref-glesener1978a"/>
    <w:p>
      <w:pPr>
        <w:pStyle w:val="Bibliography"/>
      </w:pPr>
      <w:r>
        <w:t xml:space="preserve">Glesener, R. R., and D. Tilman. 1978.</w:t>
      </w:r>
      <w:r>
        <w:t xml:space="preserve"> </w:t>
      </w:r>
      <w:r>
        <w:t xml:space="preserve">“Sexuality and the Components of Environmental Uncertainty: Clues from Geographical Parthenogenesis in Terrestrial Animals.”</w:t>
      </w:r>
      <w:r>
        <w:t xml:space="preserve"> </w:t>
      </w:r>
      <w:r>
        <w:rPr>
          <w:iCs/>
          <w:i/>
        </w:rPr>
        <w:t xml:space="preserve">American Naturalist</w:t>
      </w:r>
      <w:r>
        <w:t xml:space="preserve"> </w:t>
      </w:r>
      <w:r>
        <w:t xml:space="preserve">112: 659–73.</w:t>
      </w:r>
    </w:p>
    <w:bookmarkEnd w:id="180"/>
    <w:bookmarkStart w:id="181" w:name="ref-hamilton1975a"/>
    <w:p>
      <w:pPr>
        <w:pStyle w:val="Bibliography"/>
      </w:pPr>
      <w:r>
        <w:t xml:space="preserve">Hamilton, W. D. 1975.</w:t>
      </w:r>
      <w:r>
        <w:t xml:space="preserve"> </w:t>
      </w:r>
      <w:r>
        <w:t xml:space="preserve">“Innate Social Aptitudes of Man: An Approach from Evolutionary Genetics.”</w:t>
      </w:r>
      <w:r>
        <w:t xml:space="preserve"> </w:t>
      </w:r>
      <w:r>
        <w:t xml:space="preserve">In</w:t>
      </w:r>
      <w:r>
        <w:t xml:space="preserve"> </w:t>
      </w:r>
      <w:r>
        <w:rPr>
          <w:iCs/>
          <w:i/>
        </w:rPr>
        <w:t xml:space="preserve">Biosocial Anthropology</w:t>
      </w:r>
      <w:r>
        <w:t xml:space="preserve">, edited by R. Fox, 133–53. London: Malaby Press.</w:t>
      </w:r>
    </w:p>
    <w:bookmarkEnd w:id="181"/>
    <w:bookmarkStart w:id="182" w:name="ref-hamilton2001a"/>
    <w:p>
      <w:pPr>
        <w:pStyle w:val="Bibliography"/>
      </w:pPr>
      <w:r>
        <w:t xml:space="preserve">———. 2001.</w:t>
      </w:r>
      <w:r>
        <w:t xml:space="preserve"> </w:t>
      </w:r>
      <w:r>
        <w:rPr>
          <w:iCs/>
          <w:i/>
        </w:rPr>
        <w:t xml:space="preserve">Narrow Roads of Gene Land</w:t>
      </w:r>
      <w:r>
        <w:t xml:space="preserve">. Vol. 2. Oxford University Press.</w:t>
      </w:r>
    </w:p>
    <w:bookmarkEnd w:id="182"/>
    <w:bookmarkStart w:id="183" w:name="ref-jaenike1978a"/>
    <w:p>
      <w:pPr>
        <w:pStyle w:val="Bibliography"/>
      </w:pPr>
      <w:r>
        <w:t xml:space="preserve">Jaenike, J. 1978.</w:t>
      </w:r>
      <w:r>
        <w:t xml:space="preserve"> </w:t>
      </w:r>
      <w:r>
        <w:t xml:space="preserve">“A Hypothesis to Account for the Maintenance of Sex Within Populations.”</w:t>
      </w:r>
      <w:r>
        <w:t xml:space="preserve"> </w:t>
      </w:r>
      <w:r>
        <w:rPr>
          <w:iCs/>
          <w:i/>
        </w:rPr>
        <w:t xml:space="preserve">Evolutionary Theory</w:t>
      </w:r>
      <w:r>
        <w:t xml:space="preserve"> </w:t>
      </w:r>
      <w:r>
        <w:t xml:space="preserve">3: 191–94.</w:t>
      </w:r>
    </w:p>
    <w:bookmarkEnd w:id="183"/>
    <w:bookmarkStart w:id="184" w:name="ref-kondrashov1993a"/>
    <w:p>
      <w:pPr>
        <w:pStyle w:val="Bibliography"/>
      </w:pPr>
      <w:r>
        <w:t xml:space="preserve">Kondrashov, A. S. 1993.</w:t>
      </w:r>
      <w:r>
        <w:t xml:space="preserve"> </w:t>
      </w:r>
      <w:r>
        <w:t xml:space="preserve">“Classification of Hypotheses on the Advantage of Amphimixis.”</w:t>
      </w:r>
      <w:r>
        <w:t xml:space="preserve"> </w:t>
      </w:r>
      <w:r>
        <w:rPr>
          <w:iCs/>
          <w:i/>
        </w:rPr>
        <w:t xml:space="preserve">Journal of Heredity</w:t>
      </w:r>
      <w:r>
        <w:t xml:space="preserve"> </w:t>
      </w:r>
      <w:r>
        <w:t xml:space="preserve">84: 372–87.</w:t>
      </w:r>
    </w:p>
    <w:bookmarkEnd w:id="184"/>
    <w:bookmarkStart w:id="185" w:name="ref-kuhn1970a"/>
    <w:p>
      <w:pPr>
        <w:pStyle w:val="Bibliography"/>
      </w:pPr>
      <w:r>
        <w:t xml:space="preserve">Kuhn, T. S. 1970.</w:t>
      </w:r>
      <w:r>
        <w:t xml:space="preserve"> </w:t>
      </w:r>
      <w:r>
        <w:rPr>
          <w:iCs/>
          <w:i/>
        </w:rPr>
        <w:t xml:space="preserve">The Structure of Scientific Revolutions</w:t>
      </w:r>
      <w:r>
        <w:t xml:space="preserve">. 2nd ed. University of Chicago Press.</w:t>
      </w:r>
    </w:p>
    <w:bookmarkEnd w:id="185"/>
    <w:bookmarkStart w:id="186" w:name="ref-lehtonen2012a"/>
    <w:p>
      <w:pPr>
        <w:pStyle w:val="Bibliography"/>
      </w:pPr>
      <w:r>
        <w:t xml:space="preserve">Lehtonen, J., M. D. Jennions, and H. Kokko. 2012.</w:t>
      </w:r>
      <w:r>
        <w:t xml:space="preserve"> </w:t>
      </w:r>
      <w:r>
        <w:t xml:space="preserve">“The Many Costs of Sex.”</w:t>
      </w:r>
      <w:r>
        <w:t xml:space="preserve"> </w:t>
      </w:r>
      <w:r>
        <w:rPr>
          <w:iCs/>
          <w:i/>
        </w:rPr>
        <w:t xml:space="preserve">Trends in Ecology &amp; Evolution</w:t>
      </w:r>
      <w:r>
        <w:t xml:space="preserve"> </w:t>
      </w:r>
      <w:r>
        <w:t xml:space="preserve">27: 172–78.</w:t>
      </w:r>
    </w:p>
    <w:bookmarkEnd w:id="186"/>
    <w:bookmarkStart w:id="187" w:name="ref-levene1953a"/>
    <w:p>
      <w:pPr>
        <w:pStyle w:val="Bibliography"/>
      </w:pPr>
      <w:r>
        <w:t xml:space="preserve">Levene, H. 1953.</w:t>
      </w:r>
      <w:r>
        <w:t xml:space="preserve"> </w:t>
      </w:r>
      <w:r>
        <w:t xml:space="preserve">“Genetic Equilibrium When More Than One Ecological Niche Is Available.”</w:t>
      </w:r>
      <w:r>
        <w:t xml:space="preserve"> </w:t>
      </w:r>
      <w:r>
        <w:rPr>
          <w:iCs/>
          <w:i/>
        </w:rPr>
        <w:t xml:space="preserve">American Naturalist</w:t>
      </w:r>
      <w:r>
        <w:t xml:space="preserve"> </w:t>
      </w:r>
      <w:r>
        <w:t xml:space="preserve">87: 331–33.</w:t>
      </w:r>
    </w:p>
    <w:bookmarkEnd w:id="187"/>
    <w:bookmarkStart w:id="188" w:name="ref-levin1975a"/>
    <w:p>
      <w:pPr>
        <w:pStyle w:val="Bibliography"/>
      </w:pPr>
      <w:r>
        <w:t xml:space="preserve">Levin, D. A. 1975.</w:t>
      </w:r>
      <w:r>
        <w:t xml:space="preserve"> </w:t>
      </w:r>
      <w:r>
        <w:t xml:space="preserve">“Pest Pressure and Recombination Systems in Plants.”</w:t>
      </w:r>
      <w:r>
        <w:t xml:space="preserve"> </w:t>
      </w:r>
      <w:r>
        <w:rPr>
          <w:iCs/>
          <w:i/>
        </w:rPr>
        <w:t xml:space="preserve">American Naturalist</w:t>
      </w:r>
      <w:r>
        <w:t xml:space="preserve"> </w:t>
      </w:r>
      <w:r>
        <w:t xml:space="preserve">109: 437–51.</w:t>
      </w:r>
    </w:p>
    <w:bookmarkEnd w:id="188"/>
    <w:bookmarkStart w:id="190" w:name="ref-lewontin1971a"/>
    <w:p>
      <w:pPr>
        <w:pStyle w:val="Bibliography"/>
      </w:pPr>
      <w:r>
        <w:t xml:space="preserve">Lewontin, R. C. 1971.</w:t>
      </w:r>
      <w:r>
        <w:t xml:space="preserve"> </w:t>
      </w:r>
      <w:r>
        <w:t xml:space="preserve">“The Effect of Genetic Linkage on the Mean Fitness of a Population.”</w:t>
      </w:r>
      <w:r>
        <w:t xml:space="preserve"> </w:t>
      </w:r>
      <w:r>
        <w:t xml:space="preserve">In</w:t>
      </w:r>
      <w:r>
        <w:t xml:space="preserve"> </w:t>
      </w:r>
      <w:r>
        <w:rPr>
          <w:iCs/>
          <w:i/>
        </w:rPr>
        <w:t xml:space="preserve">Proceedings of the National Academy of Sciences of the United States of America</w:t>
      </w:r>
      <w:r>
        <w:t xml:space="preserve">, 68:984–86. 5.</w:t>
      </w:r>
      <w:r>
        <w:t xml:space="preserve"> </w:t>
      </w:r>
      <w:hyperlink r:id="rId189">
        <w:r>
          <w:rPr>
            <w:rStyle w:val="Hyperlink"/>
          </w:rPr>
          <w:t xml:space="preserve">https://doi.org/10.1073/pnas.68.5.984</w:t>
        </w:r>
      </w:hyperlink>
      <w:r>
        <w:t xml:space="preserve">.</w:t>
      </w:r>
    </w:p>
    <w:bookmarkEnd w:id="190"/>
    <w:bookmarkStart w:id="191" w:name="ref-lively1986a"/>
    <w:p>
      <w:pPr>
        <w:pStyle w:val="Bibliography"/>
      </w:pPr>
      <w:r>
        <w:t xml:space="preserve">Lively, C. M. 1986.</w:t>
      </w:r>
      <w:r>
        <w:t xml:space="preserve"> </w:t>
      </w:r>
      <w:r>
        <w:t xml:space="preserve">“Canalization Versus Developmental Conversion in a Spatially Variable Environment.”</w:t>
      </w:r>
      <w:r>
        <w:t xml:space="preserve"> </w:t>
      </w:r>
      <w:r>
        <w:rPr>
          <w:iCs/>
          <w:i/>
        </w:rPr>
        <w:t xml:space="preserve">American Naturalist</w:t>
      </w:r>
      <w:r>
        <w:t xml:space="preserve"> </w:t>
      </w:r>
      <w:r>
        <w:t xml:space="preserve">128: 561–72.</w:t>
      </w:r>
    </w:p>
    <w:bookmarkEnd w:id="191"/>
    <w:bookmarkStart w:id="192" w:name="ref-lively1996a"/>
    <w:p>
      <w:pPr>
        <w:pStyle w:val="Bibliography"/>
      </w:pPr>
      <w:r>
        <w:t xml:space="preserve">———. 1996.</w:t>
      </w:r>
      <w:r>
        <w:t xml:space="preserve"> </w:t>
      </w:r>
      <w:r>
        <w:t xml:space="preserve">“Host-Parasite Coevolution and Sex.”</w:t>
      </w:r>
      <w:r>
        <w:t xml:space="preserve"> </w:t>
      </w:r>
      <w:r>
        <w:rPr>
          <w:iCs/>
          <w:i/>
        </w:rPr>
        <w:t xml:space="preserve">Bioscience</w:t>
      </w:r>
      <w:r>
        <w:t xml:space="preserve"> </w:t>
      </w:r>
      <w:r>
        <w:t xml:space="preserve">46: 107–9.</w:t>
      </w:r>
    </w:p>
    <w:bookmarkEnd w:id="192"/>
    <w:bookmarkStart w:id="193" w:name="ref-lively2009a"/>
    <w:p>
      <w:pPr>
        <w:pStyle w:val="Bibliography"/>
      </w:pPr>
      <w:r>
        <w:t xml:space="preserve">———. 2009.</w:t>
      </w:r>
      <w:r>
        <w:t xml:space="preserve"> </w:t>
      </w:r>
      <w:r>
        <w:t xml:space="preserve">“The Maintenance of Sex: Host-Parasite Coevolution with Density-Dependent Virulence.”</w:t>
      </w:r>
      <w:r>
        <w:t xml:space="preserve"> </w:t>
      </w:r>
      <w:r>
        <w:rPr>
          <w:iCs/>
          <w:i/>
        </w:rPr>
        <w:t xml:space="preserve">Journal of Evolutionary Biology</w:t>
      </w:r>
      <w:r>
        <w:t xml:space="preserve"> </w:t>
      </w:r>
      <w:r>
        <w:t xml:space="preserve">22: 2086–93.</w:t>
      </w:r>
    </w:p>
    <w:bookmarkEnd w:id="193"/>
    <w:bookmarkStart w:id="194" w:name="ref-lively1990b"/>
    <w:p>
      <w:pPr>
        <w:pStyle w:val="Bibliography"/>
      </w:pPr>
      <w:r>
        <w:t xml:space="preserve">Lively, C. M., and D. G. Lloyd. 1990.</w:t>
      </w:r>
      <w:r>
        <w:t xml:space="preserve"> </w:t>
      </w:r>
      <w:r>
        <w:t xml:space="preserve">“The Cost of Biparental Sex Under Individual Selection.”</w:t>
      </w:r>
      <w:r>
        <w:t xml:space="preserve"> </w:t>
      </w:r>
      <w:r>
        <w:rPr>
          <w:iCs/>
          <w:i/>
        </w:rPr>
        <w:t xml:space="preserve">American Naturalist</w:t>
      </w:r>
      <w:r>
        <w:t xml:space="preserve"> </w:t>
      </w:r>
      <w:r>
        <w:t xml:space="preserve">135: 489–500.</w:t>
      </w:r>
    </w:p>
    <w:bookmarkEnd w:id="194"/>
    <w:bookmarkStart w:id="195" w:name="ref-lloyd1980a"/>
    <w:p>
      <w:pPr>
        <w:pStyle w:val="Bibliography"/>
      </w:pPr>
      <w:r>
        <w:t xml:space="preserve">Lloyd, D. G. 1980.</w:t>
      </w:r>
      <w:r>
        <w:t xml:space="preserve"> </w:t>
      </w:r>
      <w:r>
        <w:t xml:space="preserve">“Benefits and Handicaps of Sexual Reproduction.”</w:t>
      </w:r>
      <w:r>
        <w:t xml:space="preserve"> </w:t>
      </w:r>
      <w:r>
        <w:rPr>
          <w:iCs/>
          <w:i/>
        </w:rPr>
        <w:t xml:space="preserve">Evolutionary Biology</w:t>
      </w:r>
      <w:r>
        <w:t xml:space="preserve"> </w:t>
      </w:r>
      <w:r>
        <w:t xml:space="preserve">13: 69–111.</w:t>
      </w:r>
    </w:p>
    <w:bookmarkEnd w:id="195"/>
    <w:bookmarkStart w:id="196" w:name="ref-maynard1971a"/>
    <w:p>
      <w:pPr>
        <w:pStyle w:val="Bibliography"/>
      </w:pPr>
      <w:r>
        <w:t xml:space="preserve">Maynard Smith, J. 1971.</w:t>
      </w:r>
      <w:r>
        <w:t xml:space="preserve"> </w:t>
      </w:r>
      <w:r>
        <w:t xml:space="preserve">“What Use Is Sex?”</w:t>
      </w:r>
      <w:r>
        <w:t xml:space="preserve"> </w:t>
      </w:r>
      <w:r>
        <w:rPr>
          <w:iCs/>
          <w:i/>
        </w:rPr>
        <w:t xml:space="preserve">Journal of Theoretical Biology</w:t>
      </w:r>
      <w:r>
        <w:t xml:space="preserve"> </w:t>
      </w:r>
      <w:r>
        <w:t xml:space="preserve">30: 319–35.</w:t>
      </w:r>
    </w:p>
    <w:bookmarkEnd w:id="196"/>
    <w:bookmarkStart w:id="197" w:name="ref-maynard1976a"/>
    <w:p>
      <w:pPr>
        <w:pStyle w:val="Bibliography"/>
      </w:pPr>
      <w:r>
        <w:t xml:space="preserve">———. 1976.</w:t>
      </w:r>
      <w:r>
        <w:t xml:space="preserve"> </w:t>
      </w:r>
      <w:r>
        <w:t xml:space="preserve">“A Short-Term Advantage for Sex and Recombination Through Sib-Competition.”</w:t>
      </w:r>
      <w:r>
        <w:t xml:space="preserve"> </w:t>
      </w:r>
      <w:r>
        <w:rPr>
          <w:iCs/>
          <w:i/>
        </w:rPr>
        <w:t xml:space="preserve">Journal of Theoretical Biology</w:t>
      </w:r>
      <w:r>
        <w:t xml:space="preserve"> </w:t>
      </w:r>
      <w:r>
        <w:t xml:space="preserve">63: 245–58.</w:t>
      </w:r>
    </w:p>
    <w:bookmarkEnd w:id="197"/>
    <w:bookmarkStart w:id="198" w:name="ref-maynard1978a"/>
    <w:p>
      <w:pPr>
        <w:pStyle w:val="Bibliography"/>
      </w:pPr>
      <w:r>
        <w:t xml:space="preserve">———. 1978.</w:t>
      </w:r>
      <w:r>
        <w:t xml:space="preserve"> </w:t>
      </w:r>
      <w:r>
        <w:rPr>
          <w:iCs/>
          <w:i/>
        </w:rPr>
        <w:t xml:space="preserve">The Evolution of Sex</w:t>
      </w:r>
      <w:r>
        <w:t xml:space="preserve">. Cambridge University Press.</w:t>
      </w:r>
    </w:p>
    <w:bookmarkEnd w:id="198"/>
    <w:bookmarkStart w:id="199" w:name="ref-meirmans2009a"/>
    <w:p>
      <w:pPr>
        <w:pStyle w:val="Bibliography"/>
      </w:pPr>
      <w:r>
        <w:t xml:space="preserve">Meirmans, S. 2009.</w:t>
      </w:r>
      <w:r>
        <w:t xml:space="preserve"> </w:t>
      </w:r>
      <w:r>
        <w:t xml:space="preserve">“The Evolution of the Problem of Sex.”</w:t>
      </w:r>
      <w:r>
        <w:t xml:space="preserve"> </w:t>
      </w:r>
      <w:r>
        <w:t xml:space="preserve">In</w:t>
      </w:r>
      <w:r>
        <w:t xml:space="preserve"> </w:t>
      </w:r>
      <w:r>
        <w:rPr>
          <w:iCs/>
          <w:i/>
        </w:rPr>
        <w:t xml:space="preserve">Lost Sex: The Evolutionary Biology of Parthenogenesis</w:t>
      </w:r>
      <w:r>
        <w:t xml:space="preserve">, edited by I. Schön, K. Martens, and P. van Dijk, 21–46. London: Springer.</w:t>
      </w:r>
    </w:p>
    <w:bookmarkEnd w:id="199"/>
    <w:bookmarkStart w:id="200" w:name="ref-otto2021a"/>
    <w:p>
      <w:pPr>
        <w:pStyle w:val="Bibliography"/>
      </w:pPr>
      <w:r>
        <w:t xml:space="preserve">Otto, S. P. 2021.</w:t>
      </w:r>
      <w:r>
        <w:t xml:space="preserve"> </w:t>
      </w:r>
      <w:r>
        <w:t xml:space="preserve">“Selective Interference and the Evolution of Sex.”</w:t>
      </w:r>
      <w:r>
        <w:t xml:space="preserve"> </w:t>
      </w:r>
      <w:r>
        <w:rPr>
          <w:iCs/>
          <w:i/>
        </w:rPr>
        <w:t xml:space="preserve">Journal of Heredity</w:t>
      </w:r>
      <w:r>
        <w:t xml:space="preserve"> </w:t>
      </w:r>
      <w:r>
        <w:t xml:space="preserve">112: 9–18.</w:t>
      </w:r>
    </w:p>
    <w:bookmarkEnd w:id="200"/>
    <w:bookmarkStart w:id="201" w:name="ref-peters1999a"/>
    <w:p>
      <w:pPr>
        <w:pStyle w:val="Bibliography"/>
      </w:pPr>
      <w:r>
        <w:t xml:space="preserve">Peters, A. D., and C. M. Lively. 1999.</w:t>
      </w:r>
      <w:r>
        <w:t xml:space="preserve"> </w:t>
      </w:r>
      <w:r>
        <w:t xml:space="preserve">“The Red Queen and Fluctuating Epistasis: A Population Genetic Analysis of Antagonistic Coevolution.”</w:t>
      </w:r>
      <w:r>
        <w:t xml:space="preserve"> </w:t>
      </w:r>
      <w:r>
        <w:rPr>
          <w:iCs/>
          <w:i/>
        </w:rPr>
        <w:t xml:space="preserve">American Naturalist</w:t>
      </w:r>
      <w:r>
        <w:t xml:space="preserve"> </w:t>
      </w:r>
      <w:r>
        <w:t xml:space="preserve">154: 393–405.</w:t>
      </w:r>
    </w:p>
    <w:bookmarkEnd w:id="201"/>
    <w:bookmarkStart w:id="202" w:name="ref-peters2007a"/>
    <w:p>
      <w:pPr>
        <w:pStyle w:val="Bibliography"/>
      </w:pPr>
      <w:r>
        <w:t xml:space="preserve">———. 2007.</w:t>
      </w:r>
      <w:r>
        <w:t xml:space="preserve"> </w:t>
      </w:r>
      <w:r>
        <w:t xml:space="preserve">“Short- and Long-Term Benefits and Detriments to Recombination Under Antagonistic Coevolution.”</w:t>
      </w:r>
      <w:r>
        <w:t xml:space="preserve"> </w:t>
      </w:r>
      <w:r>
        <w:rPr>
          <w:iCs/>
          <w:i/>
        </w:rPr>
        <w:t xml:space="preserve">Journal of Evolutionary Biology</w:t>
      </w:r>
      <w:r>
        <w:t xml:space="preserve"> </w:t>
      </w:r>
      <w:r>
        <w:t xml:space="preserve">20: 1206–17.</w:t>
      </w:r>
    </w:p>
    <w:bookmarkEnd w:id="202"/>
    <w:bookmarkStart w:id="203" w:name="ref-philippi1989a"/>
    <w:p>
      <w:pPr>
        <w:pStyle w:val="Bibliography"/>
      </w:pPr>
      <w:r>
        <w:t xml:space="preserve">Philippi, T., and J. Seger. 1989.</w:t>
      </w:r>
      <w:r>
        <w:t xml:space="preserve"> </w:t>
      </w:r>
      <w:r>
        <w:t xml:space="preserve">“Hedging One’s Evolutionary Bets, Revisited.”</w:t>
      </w:r>
      <w:r>
        <w:t xml:space="preserve"> </w:t>
      </w:r>
      <w:r>
        <w:rPr>
          <w:iCs/>
          <w:i/>
        </w:rPr>
        <w:t xml:space="preserve">Trends in Ecology &amp; Evolution</w:t>
      </w:r>
      <w:r>
        <w:t xml:space="preserve"> </w:t>
      </w:r>
      <w:r>
        <w:t xml:space="preserve">4: 41–44.</w:t>
      </w:r>
    </w:p>
    <w:bookmarkEnd w:id="203"/>
    <w:bookmarkStart w:id="204" w:name="ref-prout1968a"/>
    <w:p>
      <w:pPr>
        <w:pStyle w:val="Bibliography"/>
      </w:pPr>
      <w:r>
        <w:t xml:space="preserve">Prout, T. 1968.</w:t>
      </w:r>
      <w:r>
        <w:t xml:space="preserve"> </w:t>
      </w:r>
      <w:r>
        <w:t xml:space="preserve">“Sufficient Conditions for Multiple Niche Polymorphism.”</w:t>
      </w:r>
      <w:r>
        <w:t xml:space="preserve"> </w:t>
      </w:r>
      <w:r>
        <w:rPr>
          <w:iCs/>
          <w:i/>
        </w:rPr>
        <w:t xml:space="preserve">American Naturalist</w:t>
      </w:r>
      <w:r>
        <w:t xml:space="preserve">.</w:t>
      </w:r>
    </w:p>
    <w:bookmarkEnd w:id="204"/>
    <w:bookmarkStart w:id="205" w:name="ref-salathe2008a"/>
    <w:p>
      <w:pPr>
        <w:pStyle w:val="Bibliography"/>
      </w:pPr>
      <w:r>
        <w:t xml:space="preserve">Salathe, M., R. D. Kouyos, R. R. Regoes, and S. Bonhoeffer. 2008.</w:t>
      </w:r>
      <w:r>
        <w:t xml:space="preserve"> </w:t>
      </w:r>
      <w:r>
        <w:t xml:space="preserve">“Rapid Parasite Adaptation Drives Selection for High Recombination Rates.”</w:t>
      </w:r>
      <w:r>
        <w:t xml:space="preserve"> </w:t>
      </w:r>
      <w:r>
        <w:rPr>
          <w:iCs/>
          <w:i/>
        </w:rPr>
        <w:t xml:space="preserve">Evolution</w:t>
      </w:r>
      <w:r>
        <w:t xml:space="preserve"> </w:t>
      </w:r>
      <w:r>
        <w:t xml:space="preserve">62: 295–300.</w:t>
      </w:r>
    </w:p>
    <w:bookmarkEnd w:id="205"/>
    <w:bookmarkStart w:id="206" w:name="ref-schmid-hempel2002a"/>
    <w:p>
      <w:pPr>
        <w:pStyle w:val="Bibliography"/>
      </w:pPr>
      <w:r>
        <w:t xml:space="preserve">Schmid-Hempel, P., and J. Jokela. 2002.</w:t>
      </w:r>
      <w:r>
        <w:t xml:space="preserve"> </w:t>
      </w:r>
      <w:r>
        <w:t xml:space="preserve">“Socially Structured Populations and Evolution of Recombination Under Antagonistic Coevolution.”</w:t>
      </w:r>
      <w:r>
        <w:t xml:space="preserve"> </w:t>
      </w:r>
      <w:r>
        <w:rPr>
          <w:iCs/>
          <w:i/>
        </w:rPr>
        <w:t xml:space="preserve">American Naturalist</w:t>
      </w:r>
      <w:r>
        <w:t xml:space="preserve"> </w:t>
      </w:r>
      <w:r>
        <w:t xml:space="preserve">160: 403–8.</w:t>
      </w:r>
    </w:p>
    <w:bookmarkEnd w:id="206"/>
    <w:bookmarkStart w:id="207" w:name="ref-siebold1856a"/>
    <w:p>
      <w:pPr>
        <w:pStyle w:val="Bibliography"/>
      </w:pPr>
      <w:r>
        <w:t xml:space="preserve">Siebold, C. T. E. von. 1856.</w:t>
      </w:r>
      <w:r>
        <w:t xml:space="preserve"> </w:t>
      </w:r>
      <w:r>
        <w:rPr>
          <w:iCs/>
          <w:i/>
        </w:rPr>
        <w:t xml:space="preserve">Wahre Parthenogenesis Bei Schmetterlingen Und Bienen. Ein Beitrag Zur Fortpflanzungsgeschichte Der Thiere</w:t>
      </w:r>
      <w:r>
        <w:t xml:space="preserve">. Leipzig: William Engelmann.</w:t>
      </w:r>
    </w:p>
    <w:bookmarkEnd w:id="207"/>
    <w:bookmarkStart w:id="209" w:name="ref-maynard1980a"/>
    <w:p>
      <w:pPr>
        <w:pStyle w:val="Bibliography"/>
      </w:pPr>
      <w:r>
        <w:t xml:space="preserve">Smith, J. Maynard, and R. Hoekstra. 1980.</w:t>
      </w:r>
      <w:r>
        <w:t xml:space="preserve"> </w:t>
      </w:r>
      <w:r>
        <w:t xml:space="preserve">“Polymorphism in a Varied Environment: How Robust Are the Models?”</w:t>
      </w:r>
      <w:r>
        <w:t xml:space="preserve"> </w:t>
      </w:r>
      <w:r>
        <w:rPr>
          <w:iCs/>
          <w:i/>
        </w:rPr>
        <w:t xml:space="preserve">Genetics Research</w:t>
      </w:r>
      <w:r>
        <w:t xml:space="preserve"> </w:t>
      </w:r>
      <w:r>
        <w:t xml:space="preserve">35 (1): 45–57.</w:t>
      </w:r>
      <w:r>
        <w:t xml:space="preserve"> </w:t>
      </w:r>
      <w:hyperlink r:id="rId208">
        <w:r>
          <w:rPr>
            <w:rStyle w:val="Hyperlink"/>
          </w:rPr>
          <w:t xml:space="preserve">https://doi.org/10.1017/S0016672300013926</w:t>
        </w:r>
      </w:hyperlink>
      <w:r>
        <w:t xml:space="preserve">.</w:t>
      </w:r>
    </w:p>
    <w:bookmarkEnd w:id="209"/>
    <w:bookmarkStart w:id="210" w:name="ref-stearns2000a"/>
    <w:p>
      <w:pPr>
        <w:pStyle w:val="Bibliography"/>
      </w:pPr>
      <w:r>
        <w:t xml:space="preserve">Stearns, S. C. 2000.</w:t>
      </w:r>
      <w:r>
        <w:t xml:space="preserve"> </w:t>
      </w:r>
      <w:r>
        <w:t xml:space="preserve">“Daniel Bernoulli (1738): Evolution and Economics Under Risk.”</w:t>
      </w:r>
      <w:r>
        <w:t xml:space="preserve"> </w:t>
      </w:r>
      <w:r>
        <w:rPr>
          <w:iCs/>
          <w:i/>
        </w:rPr>
        <w:t xml:space="preserve">Journal of Biosciences</w:t>
      </w:r>
      <w:r>
        <w:t xml:space="preserve"> </w:t>
      </w:r>
      <w:r>
        <w:t xml:space="preserve">25: 221–28.</w:t>
      </w:r>
    </w:p>
    <w:bookmarkEnd w:id="210"/>
    <w:bookmarkStart w:id="211" w:name="ref-valen1973a"/>
    <w:p>
      <w:pPr>
        <w:pStyle w:val="Bibliography"/>
      </w:pPr>
      <w:r>
        <w:t xml:space="preserve">Valen, L. van. 1973.</w:t>
      </w:r>
      <w:r>
        <w:t xml:space="preserve"> </w:t>
      </w:r>
      <w:r>
        <w:t xml:space="preserve">“A New Evolutionary Law.”</w:t>
      </w:r>
      <w:r>
        <w:t xml:space="preserve"> </w:t>
      </w:r>
      <w:r>
        <w:rPr>
          <w:iCs/>
          <w:i/>
        </w:rPr>
        <w:t xml:space="preserve">Evolutionary Theory</w:t>
      </w:r>
      <w:r>
        <w:t xml:space="preserve"> </w:t>
      </w:r>
      <w:r>
        <w:t xml:space="preserve">1: 1–30.</w:t>
      </w:r>
    </w:p>
    <w:bookmarkEnd w:id="211"/>
    <w:bookmarkStart w:id="212" w:name="ref-vrijenhoek1979a"/>
    <w:p>
      <w:pPr>
        <w:pStyle w:val="Bibliography"/>
      </w:pPr>
      <w:r>
        <w:t xml:space="preserve">Vrijenhoek, R. C. 1979.</w:t>
      </w:r>
      <w:r>
        <w:t xml:space="preserve"> </w:t>
      </w:r>
      <w:r>
        <w:t xml:space="preserve">“Factors Affecting Clonal Diversity and Coexistence.”</w:t>
      </w:r>
      <w:r>
        <w:t xml:space="preserve"> </w:t>
      </w:r>
      <w:r>
        <w:rPr>
          <w:iCs/>
          <w:i/>
        </w:rPr>
        <w:t xml:space="preserve">American Zoologist</w:t>
      </w:r>
      <w:r>
        <w:t xml:space="preserve"> </w:t>
      </w:r>
      <w:r>
        <w:t xml:space="preserve">19: 787–97.</w:t>
      </w:r>
    </w:p>
    <w:bookmarkEnd w:id="212"/>
    <w:bookmarkStart w:id="213" w:name="ref-vrijenhoek1998a"/>
    <w:p>
      <w:pPr>
        <w:pStyle w:val="Bibliography"/>
      </w:pPr>
      <w:r>
        <w:t xml:space="preserve">———. 1998.</w:t>
      </w:r>
      <w:r>
        <w:t xml:space="preserve"> </w:t>
      </w:r>
      <w:r>
        <w:t xml:space="preserve">“Animal Clones and Diversity.”</w:t>
      </w:r>
      <w:r>
        <w:t xml:space="preserve"> </w:t>
      </w:r>
      <w:r>
        <w:rPr>
          <w:iCs/>
          <w:i/>
        </w:rPr>
        <w:t xml:space="preserve">Bioscience</w:t>
      </w:r>
      <w:r>
        <w:t xml:space="preserve"> </w:t>
      </w:r>
      <w:r>
        <w:t xml:space="preserve">48: 617–28.</w:t>
      </w:r>
    </w:p>
    <w:bookmarkEnd w:id="213"/>
    <w:bookmarkStart w:id="214" w:name="ref-vrijenhoek2009a"/>
    <w:p>
      <w:pPr>
        <w:pStyle w:val="Bibliography"/>
      </w:pPr>
      <w:r>
        <w:t xml:space="preserve">Vrijenhoek, R. C., and E. D. Parker. 2009.</w:t>
      </w:r>
      <w:r>
        <w:t xml:space="preserve"> </w:t>
      </w:r>
      <w:r>
        <w:t xml:space="preserve">“Geographical Parthenogenesis: General Purpose Genotypes and Frozen Niche Variation.”</w:t>
      </w:r>
      <w:r>
        <w:t xml:space="preserve"> </w:t>
      </w:r>
      <w:r>
        <w:t xml:space="preserve">In</w:t>
      </w:r>
      <w:r>
        <w:t xml:space="preserve"> </w:t>
      </w:r>
      <w:r>
        <w:rPr>
          <w:iCs/>
          <w:i/>
        </w:rPr>
        <w:t xml:space="preserve">Lost Sex: The Evolutionary Biology of Parthenogenesis</w:t>
      </w:r>
      <w:r>
        <w:t xml:space="preserve">, edited by I. Schön, K. Martens, and P. Dijk, 99–131. London: Springer.</w:t>
      </w:r>
    </w:p>
    <w:bookmarkEnd w:id="214"/>
    <w:bookmarkStart w:id="215" w:name="ref-wallace1975a"/>
    <w:p>
      <w:pPr>
        <w:pStyle w:val="Bibliography"/>
      </w:pPr>
      <w:r>
        <w:t xml:space="preserve">Wallace, B. 1975.</w:t>
      </w:r>
      <w:r>
        <w:t xml:space="preserve"> </w:t>
      </w:r>
      <w:r>
        <w:t xml:space="preserve">“Hard and Soft Selection Revisited.”</w:t>
      </w:r>
      <w:r>
        <w:t xml:space="preserve"> </w:t>
      </w:r>
      <w:r>
        <w:rPr>
          <w:iCs/>
          <w:i/>
        </w:rPr>
        <w:t xml:space="preserve">Evolution</w:t>
      </w:r>
      <w:r>
        <w:t xml:space="preserve"> </w:t>
      </w:r>
      <w:r>
        <w:t xml:space="preserve">29: 465–73.</w:t>
      </w:r>
    </w:p>
    <w:bookmarkEnd w:id="215"/>
    <w:bookmarkStart w:id="216" w:name="ref-whitton2008a"/>
    <w:p>
      <w:pPr>
        <w:pStyle w:val="Bibliography"/>
      </w:pPr>
      <w:r>
        <w:t xml:space="preserve">Whitton, J., C. Sears, E. Baack, and S. Otto. 2008.</w:t>
      </w:r>
      <w:r>
        <w:t xml:space="preserve"> </w:t>
      </w:r>
      <w:r>
        <w:t xml:space="preserve">“The Dynamic Nature of Apomixis in the Angiosperms.”</w:t>
      </w:r>
      <w:r>
        <w:t xml:space="preserve"> </w:t>
      </w:r>
      <w:r>
        <w:rPr>
          <w:iCs/>
          <w:i/>
        </w:rPr>
        <w:t xml:space="preserve">International Journal of Plant Sciences</w:t>
      </w:r>
      <w:r>
        <w:t xml:space="preserve"> </w:t>
      </w:r>
      <w:r>
        <w:t xml:space="preserve">169: 169–82.</w:t>
      </w:r>
    </w:p>
    <w:bookmarkEnd w:id="216"/>
    <w:bookmarkStart w:id="217" w:name="ref-williams1975a"/>
    <w:p>
      <w:pPr>
        <w:pStyle w:val="Bibliography"/>
      </w:pPr>
      <w:r>
        <w:t xml:space="preserve">Williams, G. C. 1975.</w:t>
      </w:r>
      <w:r>
        <w:t xml:space="preserve"> </w:t>
      </w:r>
      <w:r>
        <w:rPr>
          <w:iCs/>
          <w:i/>
        </w:rPr>
        <w:t xml:space="preserve">Sex and Evolution</w:t>
      </w:r>
      <w:r>
        <w:t xml:space="preserve">. Princeton University Press.</w:t>
      </w:r>
    </w:p>
    <w:bookmarkEnd w:id="217"/>
    <w:bookmarkEnd w:id="218"/>
    <w:bookmarkEnd w:id="219"/>
    <w:sectPr w:rsidR="00DC3472" w:rsidRPr="004C2BE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1">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2">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73">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4">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76">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7">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2">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5">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 (Soper et al. 2013).</w:t>
      </w:r>
    </w:p>
  </w:footnote>
  <w:footnote w:id="94">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6">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98">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 (Levins 1966).</w:t>
      </w:r>
    </w:p>
  </w:footnote>
  <w:footnote w:id="99">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 (Antonovics and Ellstrand 1984, Ellstrand and Antonovics 1985). Later studies showed that the rare advantage was likely due to escape from infection (Kelley et al. 1988, Kelley 1993, 1994).</w:t>
      </w:r>
    </w:p>
  </w:footnote>
  <w:footnote w:id="100">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1">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 (Lively et al. 2021).</w:t>
      </w:r>
    </w:p>
  </w:footnote>
  <w:footnote w:id="102">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07">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16">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17">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 (see also Lively et al. 2000, Hazel et al. 2004).</w:t>
      </w:r>
    </w:p>
  </w:footnote>
  <w:footnote w:id="126">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2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 (Churchill 1997).</w:t>
      </w:r>
    </w:p>
  </w:footnote>
  <w:footnote w:id="12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29">
    <w:p>
      <w:pPr>
        <w:pStyle w:val="FootnoteText"/>
      </w:pPr>
      <w:r>
        <w:rPr>
          <w:rStyle w:val="FootnoteReference"/>
        </w:rPr>
        <w:footnoteRef/>
      </w:r>
      <w:r>
        <w:t xml:space="preserve"> </w:t>
      </w:r>
      <w:r>
        <w:t xml:space="preserve">See also Elliott and Brook (2007).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 (1978, page 65) 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38">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 (Soper et al. 2013).</w:t>
      </w:r>
    </w:p>
  </w:footnote>
  <w:footnote w:id="139">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0">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1">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 (Levins 1966).</w:t>
      </w:r>
    </w:p>
  </w:footnote>
  <w:footnote w:id="142">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 (Antonovics and Ellstrand 1984, Ellstrand and Antonovics 1985). Later studies showed that the rare advantage was likely due to escape from infection (Kelley et al. 1988, Kelley 1993, 1994).</w:t>
      </w:r>
    </w:p>
  </w:footnote>
  <w:footnote w:id="143">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48">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 (Lively et al. 2021).</w:t>
      </w:r>
    </w:p>
  </w:footnote>
  <w:footnote w:id="149">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0">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1">
    <w:p>
      <w:pPr>
        <w:pStyle w:val="FootnoteText"/>
      </w:pPr>
      <w:r>
        <w:rPr>
          <w:rStyle w:val="FootnoteReference"/>
        </w:rPr>
        <w:footnoteRef/>
      </w:r>
      <w:r>
        <w:t xml:space="preserve"> </w:t>
      </w:r>
      <w:r>
        <w:t xml:space="preserve">I think density dependence is critically important. Disease transmission is certainly density dependent (Anderson and May 1979, May and Anderson 1979). Virulence may also be density dependent (Lively et al. 1995, Bell et al. 2006, Lively 2006). Habitat partitioning may also play a role in the distribution of sexual females among depth-stratified habitats (Negovetic and Jokela 2001).</w:t>
      </w:r>
    </w:p>
  </w:footnote>
  <w:footnote w:id="159">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35EFEF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F944274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8C208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E63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B7E54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9508E5D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2567CA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26888F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FEDB3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FDEDD4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2" Target="media/rId52.jpg" /><Relationship Type="http://schemas.openxmlformats.org/officeDocument/2006/relationships/image" Id="rId68" Target="media/rId68.jpg" /><Relationship Type="http://schemas.openxmlformats.org/officeDocument/2006/relationships/image" Id="rId78" Target="media/rId78.jpg" /><Relationship Type="http://schemas.openxmlformats.org/officeDocument/2006/relationships/image" Id="rId86" Target="media/rId86.jpg" /><Relationship Type="http://schemas.openxmlformats.org/officeDocument/2006/relationships/image" Id="rId90" Target="media/rId90.jpg" /><Relationship Type="http://schemas.openxmlformats.org/officeDocument/2006/relationships/image" Id="rId108" Target="media/rId108.jpg" /><Relationship Type="http://schemas.openxmlformats.org/officeDocument/2006/relationships/image" Id="rId113" Target="media/rId113.jpg" /><Relationship Type="http://schemas.openxmlformats.org/officeDocument/2006/relationships/image" Id="rId118" Target="media/rId118.jpg" /><Relationship Type="http://schemas.openxmlformats.org/officeDocument/2006/relationships/image" Id="rId122" Target="media/rId122.jpg" /><Relationship Type="http://schemas.openxmlformats.org/officeDocument/2006/relationships/image" Id="rId130" Target="media/rId130.jpg" /><Relationship Type="http://schemas.openxmlformats.org/officeDocument/2006/relationships/image" Id="rId144" Target="media/rId144.jpg" /><Relationship Type="http://schemas.openxmlformats.org/officeDocument/2006/relationships/image" Id="rId153" Target="media/rId153.jpg" /><Relationship Type="http://schemas.openxmlformats.org/officeDocument/2006/relationships/image" Id="rId160" Target="media/rId160.jpg" /><Relationship Type="http://schemas.openxmlformats.org/officeDocument/2006/relationships/hyperlink" Id="rId171" Target="http://philsci-archive.pitt.edu/12255/" TargetMode="External" /><Relationship Type="http://schemas.openxmlformats.org/officeDocument/2006/relationships/hyperlink" Id="rId95"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08" Target="https://doi.org/10.1017/S0016672300013926" TargetMode="External" /><Relationship Type="http://schemas.openxmlformats.org/officeDocument/2006/relationships/hyperlink" Id="rId189" Target="https://doi.org/10.1073/pnas.68.5.984" TargetMode="External" /><Relationship Type="http://schemas.openxmlformats.org/officeDocument/2006/relationships/hyperlink" Id="rId173" Target="https://doi.org/10.1111/j.1095-8312.1862.tb01218.x" TargetMode="External" /><Relationship Type="http://schemas.openxmlformats.org/officeDocument/2006/relationships/hyperlink" Id="rId26" Target="https://doi.org/10.5967/GBD3-KA07" TargetMode="External" /><Relationship Type="http://schemas.openxmlformats.org/officeDocument/2006/relationships/hyperlink" Id="rId83"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3" Target="https://www.bartzijlstra.com" TargetMode="External" /><Relationship Type="http://schemas.openxmlformats.org/officeDocument/2006/relationships/hyperlink" Id="rId176"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171" Target="http://philsci-archive.pitt.edu/12255/" TargetMode="External" /><Relationship Type="http://schemas.openxmlformats.org/officeDocument/2006/relationships/hyperlink" Id="rId95"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08" Target="https://doi.org/10.1017/S0016672300013926" TargetMode="External" /><Relationship Type="http://schemas.openxmlformats.org/officeDocument/2006/relationships/hyperlink" Id="rId189" Target="https://doi.org/10.1073/pnas.68.5.984" TargetMode="External" /><Relationship Type="http://schemas.openxmlformats.org/officeDocument/2006/relationships/hyperlink" Id="rId173" Target="https://doi.org/10.1111/j.1095-8312.1862.tb01218.x" TargetMode="External" /><Relationship Type="http://schemas.openxmlformats.org/officeDocument/2006/relationships/hyperlink" Id="rId26" Target="https://doi.org/10.5967/GBD3-KA07" TargetMode="External" /><Relationship Type="http://schemas.openxmlformats.org/officeDocument/2006/relationships/hyperlink" Id="rId83"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3" Target="https://www.bartzijlstra.com" TargetMode="External" /><Relationship Type="http://schemas.openxmlformats.org/officeDocument/2006/relationships/hyperlink" Id="rId176"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dc:title>
  <dc:creator>Curtis M. Lively</dc:creator>
  <dc:language>en-US</dc:language>
  <cp:keywords/>
  <dcterms:created xsi:type="dcterms:W3CDTF">2023-10-25T18:28:02Z</dcterms:created>
  <dcterms:modified xsi:type="dcterms:W3CDTF">2023-10-25T18:28:02Z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date">
    <vt:lpwstr>25 October 2023</vt:lpwstr>
  </property>
  <property fmtid="{D5CDD505-2E9C-101B-9397-08002B2CF9AE}" pid="12" name="date-format">
    <vt:lpwstr>DD MMMM YYYY</vt:lpwstr>
  </property>
  <property fmtid="{D5CDD505-2E9C-101B-9397-08002B2CF9AE}" pid="13" name="doi">
    <vt:lpwstr>10.5967/gbd3-ka07</vt:lpwstr>
  </property>
  <property fmtid="{D5CDD505-2E9C-101B-9397-08002B2CF9AE}" pid="14" name="fig-cap-location">
    <vt:lpwstr>margin</vt:lpwstr>
  </property>
  <property fmtid="{D5CDD505-2E9C-101B-9397-08002B2CF9AE}" pid="15" name="google-scholar">
    <vt:lpwstr>True</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subtitle">
    <vt:lpwstr>I. Why Cross-Fertilize?</vt:lpwstr>
  </property>
  <property fmtid="{D5CDD505-2E9C-101B-9397-08002B2CF9AE}" pid="21" name="toc-title">
    <vt:lpwstr>Contents</vt:lpwstr>
  </property>
</Properties>
</file>