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6D21" w14:textId="7AFC097F" w:rsidR="0048343E" w:rsidRDefault="009C7511" w:rsidP="009C7511">
      <w:pPr>
        <w:pStyle w:val="Heading1"/>
      </w:pPr>
      <w:r>
        <w:t>Global Chemical Resolver</w:t>
      </w:r>
    </w:p>
    <w:p w14:paraId="320557AE" w14:textId="61D0AA0E" w:rsidR="009C7511" w:rsidRDefault="009C7511"/>
    <w:p w14:paraId="5AB8F90C" w14:textId="77777777" w:rsidR="00C0441E" w:rsidRDefault="00C0441E" w:rsidP="00C0441E">
      <w:pPr>
        <w:pStyle w:val="Heading2"/>
      </w:pPr>
      <w:r>
        <w:t>Motivation and Goal</w:t>
      </w:r>
    </w:p>
    <w:p w14:paraId="1D18C7E2" w14:textId="77777777" w:rsidR="00C0441E" w:rsidRDefault="00C0441E"/>
    <w:p w14:paraId="6A9823A2" w14:textId="70DECC6D" w:rsidR="009C7511" w:rsidRDefault="001503E2">
      <w:r>
        <w:t>This document outlines the concept of a global chemical resolver</w:t>
      </w:r>
      <w:r w:rsidR="007A2B9E">
        <w:t xml:space="preserve">, </w:t>
      </w:r>
      <w:r>
        <w:t>a distributed system that will allow chemical researchers to</w:t>
      </w:r>
      <w:r w:rsidR="00C0441E" w:rsidRPr="00C0441E">
        <w:t xml:space="preserve"> </w:t>
      </w:r>
      <w:r w:rsidR="00C0441E">
        <w:t>easily</w:t>
      </w:r>
      <w:r>
        <w:t xml:space="preserve"> </w:t>
      </w:r>
      <w:r w:rsidR="007A2B9E">
        <w:t>ask the general question, “Which organizations around the world have information about this chemical?”</w:t>
      </w:r>
      <w:r w:rsidR="00C0441E">
        <w:t xml:space="preserve"> </w:t>
      </w:r>
      <w:r w:rsidR="007A2B9E">
        <w:t xml:space="preserve">– but </w:t>
      </w:r>
      <w:r w:rsidR="00C0441E">
        <w:t>without needing to query each resource individually</w:t>
      </w:r>
      <w:r w:rsidR="005F253F">
        <w:t xml:space="preserve"> or to be familiar with each site’s search interface</w:t>
      </w:r>
      <w:r w:rsidR="00C0441E">
        <w:t>.</w:t>
      </w:r>
      <w:r w:rsidR="007D7A2C">
        <w:t xml:space="preserve"> Rather than </w:t>
      </w:r>
      <w:r w:rsidR="007A2B9E">
        <w:t xml:space="preserve">attempting to </w:t>
      </w:r>
      <w:r w:rsidR="007D7A2C">
        <w:t>provid</w:t>
      </w:r>
      <w:r w:rsidR="007A2B9E">
        <w:t>e</w:t>
      </w:r>
      <w:r w:rsidR="007D7A2C">
        <w:t xml:space="preserve"> complete records for a chemical from every different database, </w:t>
      </w:r>
      <w:r w:rsidR="007A2B9E">
        <w:t>such a search would</w:t>
      </w:r>
      <w:r w:rsidR="007D7A2C">
        <w:t xml:space="preserve"> </w:t>
      </w:r>
      <w:r w:rsidR="007A2B9E">
        <w:t xml:space="preserve">simply </w:t>
      </w:r>
      <w:r w:rsidR="007D7A2C">
        <w:t xml:space="preserve">provide links back to individual resources where </w:t>
      </w:r>
      <w:r w:rsidR="007A2B9E">
        <w:t>users</w:t>
      </w:r>
      <w:r w:rsidR="007D7A2C">
        <w:t xml:space="preserve"> can get more detail.</w:t>
      </w:r>
      <w:r w:rsidR="006072B6">
        <w:t xml:space="preserve"> </w:t>
      </w:r>
      <w:r w:rsidR="007A2B9E">
        <w:t>F</w:t>
      </w:r>
      <w:r w:rsidR="006072B6">
        <w:t xml:space="preserve">or example, a user could input a SMILES or an InChIKey, and in a single click of a button, quicky discover whether (hypothetically) PubChem has a record for that chemical, or does EPA, or ChEMBL, etc. The it would be up to the user to choose </w:t>
      </w:r>
      <w:r w:rsidR="00976C7B">
        <w:t xml:space="preserve">which organizations they’re interested in, and </w:t>
      </w:r>
      <w:r w:rsidR="00A71B51">
        <w:t xml:space="preserve">to </w:t>
      </w:r>
      <w:r w:rsidR="00976C7B">
        <w:t xml:space="preserve">follow links to those sites to get more </w:t>
      </w:r>
      <w:r w:rsidR="003C5070">
        <w:t>information</w:t>
      </w:r>
      <w:r w:rsidR="00976C7B">
        <w:t xml:space="preserve"> as desired.</w:t>
      </w:r>
    </w:p>
    <w:p w14:paraId="3C29041C" w14:textId="25F12C9A" w:rsidR="007D7A2C" w:rsidRDefault="007D7A2C">
      <w:r>
        <w:t xml:space="preserve">By using a common and reasonably simple communications protocol, any number of separate organizations would be able to register themselves as part of this “global search” and be able to provide results back to a </w:t>
      </w:r>
      <w:r w:rsidR="00976C7B">
        <w:t xml:space="preserve">single </w:t>
      </w:r>
      <w:r>
        <w:t>central query host</w:t>
      </w:r>
      <w:r w:rsidR="006072B6">
        <w:t>. Importantly, this frees the central query manager from doing any actual cheminformatics work</w:t>
      </w:r>
      <w:r w:rsidR="00976C7B">
        <w:t xml:space="preserve"> (e.g. parsing SMILES)</w:t>
      </w:r>
      <w:r w:rsidR="006072B6">
        <w:t xml:space="preserve"> or needing to know the details of each resource’s search </w:t>
      </w:r>
      <w:r w:rsidR="00D30214">
        <w:t>API</w:t>
      </w:r>
      <w:r w:rsidR="006072B6">
        <w:t>; it would be up to each individual resource to implement the search within their own infrastructure</w:t>
      </w:r>
      <w:r w:rsidR="00A71B51">
        <w:t>, presumably using methodology they already have internally</w:t>
      </w:r>
      <w:r w:rsidR="006072B6">
        <w:t xml:space="preserve">. This </w:t>
      </w:r>
      <w:r w:rsidR="00976C7B">
        <w:t xml:space="preserve">simplifies the cross-site query system and </w:t>
      </w:r>
      <w:r w:rsidR="006072B6">
        <w:t>makes it easy to add new databases</w:t>
      </w:r>
      <w:r>
        <w:t xml:space="preserve"> </w:t>
      </w:r>
      <w:r w:rsidR="006072B6">
        <w:t>to the search.</w:t>
      </w:r>
      <w:r w:rsidR="00BF53B4">
        <w:t xml:space="preserve"> It also spreads the computational burden across all organizations, rather than putting a heavy load on the central query server.</w:t>
      </w:r>
    </w:p>
    <w:p w14:paraId="3921F70C" w14:textId="500581C4" w:rsidR="00194824" w:rsidRDefault="00194824">
      <w:r>
        <w:t xml:space="preserve">Note that this document is intended more as a conceptual white paper, rather than a detailed technical specification. </w:t>
      </w:r>
      <w:r w:rsidR="00E57182">
        <w:t>T</w:t>
      </w:r>
      <w:r>
        <w:t xml:space="preserve">he implementation examples provided below are </w:t>
      </w:r>
      <w:r w:rsidR="00035CAB">
        <w:t>demonstration</w:t>
      </w:r>
      <w:r w:rsidR="003305D0">
        <w:t>s</w:t>
      </w:r>
      <w:r w:rsidR="001C3590">
        <w:t xml:space="preserve"> </w:t>
      </w:r>
      <w:r>
        <w:t>only, not</w:t>
      </w:r>
      <w:r w:rsidR="00035CAB">
        <w:t xml:space="preserve"> </w:t>
      </w:r>
      <w:r w:rsidR="003305D0">
        <w:t>exemplars of</w:t>
      </w:r>
      <w:r>
        <w:t xml:space="preserve"> a final product.</w:t>
      </w:r>
    </w:p>
    <w:p w14:paraId="1F223985" w14:textId="7F0553B7" w:rsidR="009C7511" w:rsidRDefault="009C7511"/>
    <w:p w14:paraId="0A69A0B9" w14:textId="0413EE3D" w:rsidR="009C7511" w:rsidRDefault="009C7511" w:rsidP="009C7511">
      <w:pPr>
        <w:pStyle w:val="Heading2"/>
      </w:pPr>
      <w:r>
        <w:t>Architecture</w:t>
      </w:r>
    </w:p>
    <w:p w14:paraId="0BA74639" w14:textId="74C42F3A" w:rsidR="009C7511" w:rsidRDefault="009C7511"/>
    <w:p w14:paraId="1D9F7EAC" w14:textId="36AA6A24" w:rsidR="00E97F7D" w:rsidRDefault="0050436E">
      <w:r>
        <w:t>The proposed design of the global resolver is fairly straightforward, and</w:t>
      </w:r>
      <w:r w:rsidR="0045327F">
        <w:t xml:space="preserve"> </w:t>
      </w:r>
      <w:r w:rsidR="002C6920">
        <w:t xml:space="preserve">has </w:t>
      </w:r>
      <w:r>
        <w:t>three main components: a shar</w:t>
      </w:r>
      <w:r w:rsidR="002C6920">
        <w:t>e</w:t>
      </w:r>
      <w:r>
        <w:t xml:space="preserve">d data model for information exchange, a local resolver implemented and hosted by each participating organization, and a central “meta resolver” that </w:t>
      </w:r>
      <w:r w:rsidR="00487C16">
        <w:t>communicates with the local resol</w:t>
      </w:r>
      <w:r w:rsidR="000D16FD">
        <w:t>v</w:t>
      </w:r>
      <w:r w:rsidR="00487C16">
        <w:t xml:space="preserve">ers and </w:t>
      </w:r>
      <w:r>
        <w:t xml:space="preserve">provides </w:t>
      </w:r>
      <w:r w:rsidR="002C6920">
        <w:t>the</w:t>
      </w:r>
      <w:r>
        <w:t xml:space="preserve"> web page interface that the user interacts with directly.</w:t>
      </w:r>
      <w:r w:rsidR="00E97F7D">
        <w:t xml:space="preserve"> In brief, the user would enter a query, and the meta resolver would send that query to each local resolver in its list (presumably in parallel). Each local resolver would perform the lookup within their system, and respond back to the meta resolver which would gather all the responses to present to the user. The most important part would be for the user to be able to clearly understand which organizations are responding, and to have links to follow through to those resources for more detail. In this way, the meta resolver does not need to know what each resource’s full record contains, or to try to present each such </w:t>
      </w:r>
      <w:r w:rsidR="00953D8D">
        <w:t xml:space="preserve">heterogeneous </w:t>
      </w:r>
      <w:r w:rsidR="00E97F7D">
        <w:t xml:space="preserve">record in a </w:t>
      </w:r>
      <w:r w:rsidR="00953D8D">
        <w:t>common</w:t>
      </w:r>
      <w:r w:rsidR="00E97F7D">
        <w:t xml:space="preserve"> way. All it needs to know is “this organization has information on this chemical” and it is then up to the user to decide where to go from there.</w:t>
      </w:r>
    </w:p>
    <w:p w14:paraId="210C9A44" w14:textId="4FDAFDF1" w:rsidR="003F2AF6" w:rsidRDefault="00EB0D0B">
      <w:r>
        <w:rPr>
          <w:noProof/>
        </w:rPr>
        <w:drawing>
          <wp:inline distT="0" distB="0" distL="0" distR="0" wp14:anchorId="1F4CE3FD" wp14:editId="63D327CA">
            <wp:extent cx="624840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48400" cy="5962650"/>
                    </a:xfrm>
                    <a:prstGeom prst="rect">
                      <a:avLst/>
                    </a:prstGeom>
                  </pic:spPr>
                </pic:pic>
              </a:graphicData>
            </a:graphic>
          </wp:inline>
        </w:drawing>
      </w:r>
    </w:p>
    <w:p w14:paraId="711CB121" w14:textId="2F23DBB0" w:rsidR="00035CAB" w:rsidRDefault="0050436E" w:rsidP="0050436E">
      <w:pPr>
        <w:pStyle w:val="Heading3"/>
      </w:pPr>
      <w:r>
        <w:t>Common Data Model</w:t>
      </w:r>
    </w:p>
    <w:p w14:paraId="5AF22E41" w14:textId="17E54C7B" w:rsidR="00E13EF4" w:rsidRDefault="00E13EF4"/>
    <w:p w14:paraId="52B3CE7E" w14:textId="278F74B7" w:rsidR="00E13EF4" w:rsidRDefault="00E13EF4">
      <w:r>
        <w:t xml:space="preserve">If this system is to be practical to implement across multiple </w:t>
      </w:r>
      <w:r w:rsidR="00C63271">
        <w:t>databases</w:t>
      </w:r>
      <w:r>
        <w:t xml:space="preserve"> all over the world</w:t>
      </w:r>
      <w:r w:rsidR="00C63271">
        <w:t>, with new participants to be added at any time and without great effort</w:t>
      </w:r>
      <w:r>
        <w:t xml:space="preserve">, there must be a common “language” that is used for communications between the central meta resolver and the individual organizations’ local resolvers. </w:t>
      </w:r>
      <w:r w:rsidR="00C63271">
        <w:t xml:space="preserve">It should use </w:t>
      </w:r>
      <w:r w:rsidR="00474E86">
        <w:t>generic</w:t>
      </w:r>
      <w:r w:rsidR="00C63271">
        <w:t xml:space="preserve"> common standards for communications and the data model, that are not dependent on any particular host platform or programming language or database system. This simplifies the meta resolver because it uses exactly the same method to communicate with each organization, and frees individual organizations to implement their local </w:t>
      </w:r>
      <w:r w:rsidR="00474E86">
        <w:t>component</w:t>
      </w:r>
      <w:r w:rsidR="00C63271">
        <w:t xml:space="preserve"> in whatever way is most convenient for them given their existing infrastructure.</w:t>
      </w:r>
    </w:p>
    <w:p w14:paraId="1B7E48B8" w14:textId="40B0FDE2" w:rsidR="00C63271" w:rsidRDefault="00C63271">
      <w:r>
        <w:t>What is proposed here – but is certainly open to change –</w:t>
      </w:r>
      <w:r w:rsidR="00A22461">
        <w:t xml:space="preserve"> uses </w:t>
      </w:r>
      <w:r>
        <w:t>the HTTP protocol</w:t>
      </w:r>
      <w:r w:rsidR="00A22461">
        <w:t xml:space="preserve"> for communications, with </w:t>
      </w:r>
      <w:r w:rsidR="00C83BA3">
        <w:t>normal</w:t>
      </w:r>
      <w:r w:rsidR="00A22461">
        <w:t xml:space="preserve"> CGI arguments for input, and then a simple JSON construct for the response data</w:t>
      </w:r>
      <w:r>
        <w:t xml:space="preserve">. These two standards are universal enough that </w:t>
      </w:r>
      <w:r w:rsidR="00474E86">
        <w:t xml:space="preserve">programmers using just about any platform should have access to </w:t>
      </w:r>
      <w:r w:rsidR="007604C4">
        <w:t>the data parsers and communications tools needed to implement this service.</w:t>
      </w:r>
    </w:p>
    <w:p w14:paraId="05EADAE1" w14:textId="77038763" w:rsidR="007604C4" w:rsidRDefault="007604C4"/>
    <w:p w14:paraId="5D6DCCC9" w14:textId="49CBDE44" w:rsidR="00DC608C" w:rsidRDefault="00DC608C">
      <w:r>
        <w:t>Parenthetical note: PubChem has a very simple data model for this written in XML schema, as NCBI has (publicly available) software to read and write</w:t>
      </w:r>
      <w:r w:rsidR="002C085E">
        <w:t xml:space="preserve"> equivalent</w:t>
      </w:r>
      <w:r>
        <w:t xml:space="preserve"> JSON or XML (or ASN.1 historically used by NCBI) based on a single schema. This schema</w:t>
      </w:r>
      <w:r w:rsidR="00C45637">
        <w:t>,</w:t>
      </w:r>
      <w:r>
        <w:t xml:space="preserve"> in its prototype form, </w:t>
      </w:r>
      <w:r w:rsidR="00C45637">
        <w:t>is</w:t>
      </w:r>
      <w:r>
        <w:t xml:space="preserve"> used to construct the examples in the next section, </w:t>
      </w:r>
      <w:r w:rsidR="00C45637">
        <w:t xml:space="preserve">and </w:t>
      </w:r>
      <w:r>
        <w:t>is available at</w:t>
      </w:r>
    </w:p>
    <w:p w14:paraId="5C855958" w14:textId="53BD676B" w:rsidR="00DC608C" w:rsidRDefault="001C63FA">
      <w:hyperlink r:id="rId5" w:history="1">
        <w:r w:rsidR="00DC608C" w:rsidRPr="0004363B">
          <w:rPr>
            <w:rStyle w:val="Hyperlink"/>
          </w:rPr>
          <w:t>https://pubchem.ncbi.nlm.nih.gov/resolver/resolver_data.xsd</w:t>
        </w:r>
      </w:hyperlink>
    </w:p>
    <w:p w14:paraId="0FC5F25E" w14:textId="7D5049D8" w:rsidR="00DC608C" w:rsidRDefault="00DC608C">
      <w:r>
        <w:t>But the final implementation, if it uses JSON, should probably use a JSON-native format like JSON Schema</w:t>
      </w:r>
      <w:r w:rsidR="00263130">
        <w:t xml:space="preserve"> (</w:t>
      </w:r>
      <w:hyperlink r:id="rId6" w:history="1">
        <w:r w:rsidR="00263130" w:rsidRPr="0004363B">
          <w:rPr>
            <w:rStyle w:val="Hyperlink"/>
          </w:rPr>
          <w:t>https://json-schema.org/draft/2020-12/json-schema-core.html</w:t>
        </w:r>
      </w:hyperlink>
      <w:r w:rsidR="00263130">
        <w:t xml:space="preserve"> - although that is still under development)</w:t>
      </w:r>
      <w:r>
        <w:t>. Or, the data format of choice for this whole system could be XML instead.</w:t>
      </w:r>
      <w:r w:rsidR="002C085E">
        <w:t xml:space="preserve"> </w:t>
      </w:r>
      <w:r w:rsidR="00B468F5">
        <w:t>Regardless,</w:t>
      </w:r>
      <w:r w:rsidR="00C45637">
        <w:t xml:space="preserve"> there should be some way to </w:t>
      </w:r>
      <w:r w:rsidR="00B468F5">
        <w:t xml:space="preserve">make it clear to developers what the structure of the data should be, and make it possible to </w:t>
      </w:r>
      <w:r w:rsidR="00C45637">
        <w:t>validate the JSON data</w:t>
      </w:r>
      <w:r w:rsidR="00B468F5">
        <w:t xml:space="preserve"> automatically</w:t>
      </w:r>
      <w:r w:rsidR="00C45637">
        <w:t xml:space="preserve">. </w:t>
      </w:r>
      <w:r w:rsidR="002C085E">
        <w:t>These details, and whether to use HTTP or some other protocol, are not inherently critical to the overall design of this system, but would be important to work out before individual organizations begin work on their implementations.</w:t>
      </w:r>
    </w:p>
    <w:p w14:paraId="0DD92A6F" w14:textId="77777777" w:rsidR="00E13EF4" w:rsidRDefault="00E13EF4"/>
    <w:p w14:paraId="76E3E5AD" w14:textId="1B98F05F" w:rsidR="009C7511" w:rsidRDefault="009C7511" w:rsidP="009C7511">
      <w:pPr>
        <w:pStyle w:val="Heading3"/>
      </w:pPr>
      <w:r>
        <w:t>Local Resolver</w:t>
      </w:r>
    </w:p>
    <w:p w14:paraId="554A381D" w14:textId="3B5F4AD9" w:rsidR="009C7511" w:rsidRDefault="009C7511"/>
    <w:p w14:paraId="51C73EF2" w14:textId="3DD56590" w:rsidR="002C085E" w:rsidRDefault="004E6DEE">
      <w:r>
        <w:t xml:space="preserve">Each individual organization that wants to participate in this global search would have to implement their own resolver, hosted on their local system. As stated earlier, just how they implement it is not relevant, so long as it follows the common rules of the communications protocol. </w:t>
      </w:r>
      <w:r w:rsidR="00906C0D">
        <w:t>T</w:t>
      </w:r>
      <w:r>
        <w:t xml:space="preserve">he local resolver would need to be able to interpret the query chemical structure and perform the search in their </w:t>
      </w:r>
      <w:r w:rsidR="00F17320">
        <w:t>system</w:t>
      </w:r>
      <w:r>
        <w:t>, responding essentially with “here is</w:t>
      </w:r>
      <w:r w:rsidR="00A407B7">
        <w:t xml:space="preserve"> a summary of</w:t>
      </w:r>
      <w:r>
        <w:t xml:space="preserve"> what I know about this chemical” or else “I don’t have this chemical in my database.” </w:t>
      </w:r>
    </w:p>
    <w:p w14:paraId="699F2187" w14:textId="48C8FD55" w:rsidR="00906C0D" w:rsidRDefault="00906C0D">
      <w:r>
        <w:t xml:space="preserve">There is </w:t>
      </w:r>
      <w:r w:rsidR="00EE4E52">
        <w:t xml:space="preserve">available </w:t>
      </w:r>
      <w:r>
        <w:t>a sample implementation by PubChem</w:t>
      </w:r>
      <w:r w:rsidR="00A407B7">
        <w:t xml:space="preserve">. For example, each of these URLs produce the same output, from different representations of the input structure </w:t>
      </w:r>
      <w:r w:rsidR="000138C3">
        <w:t xml:space="preserve">of butane </w:t>
      </w:r>
      <w:r w:rsidR="00A407B7">
        <w:t>(SMILES, InChIKey, InChI</w:t>
      </w:r>
      <w:r w:rsidR="009E7321">
        <w:t>, and name,</w:t>
      </w:r>
      <w:r w:rsidR="00A407B7">
        <w:t xml:space="preserve"> respectively):</w:t>
      </w:r>
    </w:p>
    <w:p w14:paraId="269E3D16" w14:textId="75FA44F4" w:rsidR="00A407B7" w:rsidRDefault="001C63FA">
      <w:hyperlink r:id="rId7" w:history="1">
        <w:r w:rsidR="00A407B7" w:rsidRPr="0004363B">
          <w:rPr>
            <w:rStyle w:val="Hyperlink"/>
          </w:rPr>
          <w:t>https://pubchem.ncbi.nlm.nih.gov/resolver/resolver.cgi?smiles=CCCC</w:t>
        </w:r>
      </w:hyperlink>
    </w:p>
    <w:p w14:paraId="7369A5B9" w14:textId="403E5E16" w:rsidR="00A407B7" w:rsidRDefault="001C63FA">
      <w:hyperlink r:id="rId8" w:history="1">
        <w:r w:rsidR="00A407B7" w:rsidRPr="0004363B">
          <w:rPr>
            <w:rStyle w:val="Hyperlink"/>
          </w:rPr>
          <w:t>https://pubchem.ncbi.nl</w:t>
        </w:r>
        <w:r w:rsidR="00A407B7" w:rsidRPr="0004363B">
          <w:rPr>
            <w:rStyle w:val="Hyperlink"/>
          </w:rPr>
          <w:t>m</w:t>
        </w:r>
        <w:r w:rsidR="00A407B7" w:rsidRPr="0004363B">
          <w:rPr>
            <w:rStyle w:val="Hyperlink"/>
          </w:rPr>
          <w:t>.nih.gov/resolver/resolver.cgi?inchikey=IJDNQMDRQITEOD-UHFFFAOYSA-N</w:t>
        </w:r>
      </w:hyperlink>
    </w:p>
    <w:p w14:paraId="580A4CE0" w14:textId="292C5140" w:rsidR="00A407B7" w:rsidRDefault="001C63FA">
      <w:hyperlink r:id="rId9" w:history="1">
        <w:r w:rsidR="00A407B7" w:rsidRPr="0004363B">
          <w:rPr>
            <w:rStyle w:val="Hyperlink"/>
          </w:rPr>
          <w:t>https://pubchem.ncbi.nlm.nih.gov/resolver/resolver.cgi?inchi=InChI%3D1S%2FC4H10%2Fc1-3-4-2%2Fh3-4H2%2C1-2H3</w:t>
        </w:r>
      </w:hyperlink>
      <w:r w:rsidR="00A407B7">
        <w:t xml:space="preserve">  (note that the full InChI is URL-encoded because </w:t>
      </w:r>
      <w:r w:rsidR="00135619">
        <w:t xml:space="preserve">it contains </w:t>
      </w:r>
      <w:r w:rsidR="00A407B7">
        <w:t>special characters)</w:t>
      </w:r>
    </w:p>
    <w:p w14:paraId="2435D972" w14:textId="2D3A7331" w:rsidR="009E7321" w:rsidRDefault="009E7321">
      <w:hyperlink r:id="rId10" w:history="1">
        <w:r w:rsidRPr="0076505B">
          <w:rPr>
            <w:rStyle w:val="Hyperlink"/>
          </w:rPr>
          <w:t>https://pubchem.ncbi.nlm.nih.gov/resolver/resolver.cgi?name=butane</w:t>
        </w:r>
      </w:hyperlink>
    </w:p>
    <w:p w14:paraId="393D6B4D" w14:textId="49960EFF" w:rsidR="0050436E" w:rsidRDefault="00A407B7">
      <w:r>
        <w:t xml:space="preserve">These </w:t>
      </w:r>
      <w:r w:rsidR="00D0724B">
        <w:t xml:space="preserve">all </w:t>
      </w:r>
      <w:r>
        <w:t>give the JSON response:</w:t>
      </w:r>
    </w:p>
    <w:p w14:paraId="0385E1F0" w14:textId="27BA312B" w:rsidR="00A407B7" w:rsidRDefault="008A5749">
      <w:r>
        <w:rPr>
          <w:noProof/>
        </w:rPr>
        <mc:AlternateContent>
          <mc:Choice Requires="wps">
            <w:drawing>
              <wp:anchor distT="45720" distB="45720" distL="114300" distR="114300" simplePos="0" relativeHeight="251661312" behindDoc="0" locked="0" layoutInCell="1" allowOverlap="1" wp14:anchorId="02C42241" wp14:editId="347232ED">
                <wp:simplePos x="0" y="0"/>
                <wp:positionH relativeFrom="column">
                  <wp:posOffset>-1</wp:posOffset>
                </wp:positionH>
                <wp:positionV relativeFrom="paragraph">
                  <wp:posOffset>228600</wp:posOffset>
                </wp:positionV>
                <wp:extent cx="7424928" cy="2743200"/>
                <wp:effectExtent l="0" t="0" r="24130" b="21590"/>
                <wp:wrapTopAndBottom/>
                <wp:docPr id="21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424928" cy="2743200"/>
                        </a:xfrm>
                        <a:prstGeom prst="rect">
                          <a:avLst/>
                        </a:prstGeom>
                        <a:solidFill>
                          <a:schemeClr val="bg2"/>
                        </a:solidFill>
                        <a:ln w="9525">
                          <a:solidFill>
                            <a:srgbClr val="000000"/>
                          </a:solidFill>
                          <a:miter lim="800000"/>
                          <a:headEnd/>
                          <a:tailEnd/>
                        </a:ln>
                      </wps:spPr>
                      <wps:txbx>
                        <w:txbxContent>
                          <w:p w14:paraId="45FC6D7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p w14:paraId="00005AA8"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"Result": {</w:t>
                            </w:r>
                          </w:p>
                          <w:p w14:paraId="28A28C2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"Match": [</w:t>
                            </w:r>
                          </w:p>
                          <w:p w14:paraId="7EE701E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7F407405"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 "PubChem",</w:t>
                            </w:r>
                          </w:p>
                          <w:p w14:paraId="66AFEF1B"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"ResourceURL": "https://pubchem.ncbi.nlm.nih.gov",</w:t>
                            </w:r>
                          </w:p>
                          <w:p w14:paraId="0674D26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"ResourceIdentifier": "7843",</w:t>
                            </w:r>
                          </w:p>
                          <w:p w14:paraId="4AB95D7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"ResourceIdentifierType": "CID",</w:t>
                            </w:r>
                          </w:p>
                          <w:p w14:paraId="44445F99"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"RecordURL": "https://pubchem.ncbi.nlm.nih.gov/compound/7843",</w:t>
                            </w:r>
                          </w:p>
                          <w:p w14:paraId="0E144C99"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"ImageURL": "https://pubchem.ncbi.nlm.nih.gov/image/imgsrv.fcgi?t=l&amp;cid=7843",</w:t>
                            </w:r>
                          </w:p>
                          <w:p w14:paraId="3BCB3F28"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"IUPACName": "butane",</w:t>
                            </w:r>
                          </w:p>
                          <w:p w14:paraId="7F42B67F"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"SMILES": "CCCC",</w:t>
                            </w:r>
                          </w:p>
                          <w:p w14:paraId="3D60259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 "InChI=1S/C4H10/c1-3-4-2/h3-4H2,1-2H3",</w:t>
                            </w:r>
                          </w:p>
                          <w:p w14:paraId="2C8EEAA6"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"InChIKey": "IJDNQMDRQITEOD-UHFFFAOYSA-N"</w:t>
                            </w:r>
                          </w:p>
                          <w:p w14:paraId="01CC9F2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22023B2A"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4AA4833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4FFE11AE" w14:textId="1045EC4D" w:rsidR="00A407B7" w:rsidRPr="00A407B7" w:rsidRDefault="00106D31" w:rsidP="00A4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2C42241" id="_x0000_t202" coordsize="21600,21600" o:spt="202" path="m,l,21600r21600,l21600,xe">
                <v:stroke joinstyle="miter"/>
                <v:path gradientshapeok="t" o:connecttype="rect"/>
              </v:shapetype>
              <v:shape id="Text Box 2" o:spid="_x0000_s1026" type="#_x0000_t202" style="position:absolute;margin-left:0;margin-top:18pt;width:584.65pt;height:3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" fillcolor="#e7e6e6 [3214]">
                <o:lock v:ext="edit" aspectratio="t"/>
                <v:textbox style="mso-fit-shape-to-text:t">
                  <w:txbxContent>
                    <w:p w14:paraId="45FC6D7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p w14:paraId="00005AA8"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"Result": {</w:t>
                      </w:r>
                    </w:p>
                    <w:p w14:paraId="28A28C2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"Match": [</w:t>
                      </w:r>
                    </w:p>
                    <w:p w14:paraId="7EE701E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7F407405"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 "PubChem",</w:t>
                      </w:r>
                    </w:p>
                    <w:p w14:paraId="66AFEF1B"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"ResourceURL": "https://pubchem.ncbi.nlm.nih.gov",</w:t>
                      </w:r>
                    </w:p>
                    <w:p w14:paraId="0674D26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"ResourceIdentifier": "7843",</w:t>
                      </w:r>
                    </w:p>
                    <w:p w14:paraId="4AB95D7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"ResourceIdentifierType": "CID",</w:t>
                      </w:r>
                    </w:p>
                    <w:p w14:paraId="44445F99"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"RecordURL": "https://pubchem.ncbi.nlm.nih.gov/compound/7843",</w:t>
                      </w:r>
                    </w:p>
                    <w:p w14:paraId="0E144C99"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"ImageURL": "https://pubchem.ncbi.nlm.nih.gov/image/imgsrv.fcgi?t=l&amp;cid=7843",</w:t>
                      </w:r>
                    </w:p>
                    <w:p w14:paraId="3BCB3F28"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"IUPACName": "butane",</w:t>
                      </w:r>
                    </w:p>
                    <w:p w14:paraId="7F42B67F"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"SMILES": "CCCC",</w:t>
                      </w:r>
                    </w:p>
                    <w:p w14:paraId="3D60259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 "InChI=1S/C4H10/c1-3-4-2/h3-4H2,1-2H3",</w:t>
                      </w:r>
                    </w:p>
                    <w:p w14:paraId="2C8EEAA6"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"InChIKey": "IJDNQMDRQITEOD-UHFFFAOYSA-N"</w:t>
                      </w:r>
                    </w:p>
                    <w:p w14:paraId="01CC9F2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22023B2A"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4AA4833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4FFE11AE" w14:textId="1045EC4D" w:rsidR="00A407B7" w:rsidRPr="00A407B7" w:rsidRDefault="00106D31" w:rsidP="00A4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txbxContent>
                </v:textbox>
                <w10:wrap type="topAndBottom"/>
              </v:shape>
            </w:pict>
          </mc:Fallback>
        </mc:AlternateContent>
      </w:r>
    </w:p>
    <w:p w14:paraId="5FCB7363" w14:textId="4ABA720B" w:rsidR="00A407B7" w:rsidRDefault="00A407B7">
      <w:r>
        <w:t>Th</w:t>
      </w:r>
      <w:r w:rsidR="00867317">
        <w:t>e key parts of this response data are the identity of the organization (</w:t>
      </w:r>
      <w:r w:rsidR="00867317" w:rsidRPr="007930AA">
        <w:rPr>
          <w:b/>
          <w:bCs/>
        </w:rPr>
        <w:t>Resource</w:t>
      </w:r>
      <w:r w:rsidR="00867317">
        <w:t xml:space="preserve"> and </w:t>
      </w:r>
      <w:r w:rsidR="00867317" w:rsidRPr="007930AA">
        <w:rPr>
          <w:b/>
          <w:bCs/>
        </w:rPr>
        <w:t>ResourceURL</w:t>
      </w:r>
      <w:r w:rsidR="00867317">
        <w:t>), the identifier used by this organization for this chemical (</w:t>
      </w:r>
      <w:r w:rsidR="00867317" w:rsidRPr="007930AA">
        <w:rPr>
          <w:b/>
          <w:bCs/>
        </w:rPr>
        <w:t>ResourceIdentifier</w:t>
      </w:r>
      <w:r w:rsidR="00867317">
        <w:t xml:space="preserve"> and </w:t>
      </w:r>
      <w:r w:rsidR="00867317" w:rsidRPr="007930AA">
        <w:rPr>
          <w:b/>
          <w:bCs/>
        </w:rPr>
        <w:t>ResourceIdentifierType</w:t>
      </w:r>
      <w:r w:rsidR="00867317">
        <w:t>), a link to the organization’s full detail page (</w:t>
      </w:r>
      <w:r w:rsidR="00867317" w:rsidRPr="007930AA">
        <w:rPr>
          <w:b/>
          <w:bCs/>
        </w:rPr>
        <w:t>RecordURL</w:t>
      </w:r>
      <w:r w:rsidR="00867317">
        <w:t>),</w:t>
      </w:r>
      <w:r w:rsidR="00AB2D0C">
        <w:t xml:space="preserve"> a link to an image (</w:t>
      </w:r>
      <w:r w:rsidR="00AB2D0C" w:rsidRPr="00AB2D0C">
        <w:rPr>
          <w:b/>
          <w:bCs/>
        </w:rPr>
        <w:t>ImageURL</w:t>
      </w:r>
      <w:r w:rsidR="00AB2D0C">
        <w:t>),</w:t>
      </w:r>
      <w:r w:rsidR="00867317">
        <w:t xml:space="preserve"> and other standard identifiers for this chemical according to this organization (</w:t>
      </w:r>
      <w:r w:rsidR="00135619" w:rsidRPr="007930AA">
        <w:rPr>
          <w:b/>
          <w:bCs/>
        </w:rPr>
        <w:t>IUPACName</w:t>
      </w:r>
      <w:r w:rsidR="00135619">
        <w:t xml:space="preserve">, </w:t>
      </w:r>
      <w:r w:rsidR="00135619" w:rsidRPr="007930AA">
        <w:rPr>
          <w:b/>
          <w:bCs/>
        </w:rPr>
        <w:t>SMILES</w:t>
      </w:r>
      <w:r w:rsidR="00135619">
        <w:t xml:space="preserve">, </w:t>
      </w:r>
      <w:r w:rsidR="00135619" w:rsidRPr="007930AA">
        <w:rPr>
          <w:b/>
          <w:bCs/>
        </w:rPr>
        <w:t>InChI</w:t>
      </w:r>
      <w:r w:rsidR="00135619">
        <w:t xml:space="preserve">, </w:t>
      </w:r>
      <w:r w:rsidR="00135619" w:rsidRPr="007930AA">
        <w:rPr>
          <w:b/>
          <w:bCs/>
        </w:rPr>
        <w:t>InChIKey</w:t>
      </w:r>
      <w:r w:rsidR="00135619">
        <w:t xml:space="preserve">). The meta resolver (described more below) would then be able to take this simple response from each organization, and present </w:t>
      </w:r>
      <w:r w:rsidR="001C63FA">
        <w:t>the information</w:t>
      </w:r>
      <w:r w:rsidR="00135619">
        <w:t xml:space="preserve"> to the user presumably in some sort of tabular format. </w:t>
      </w:r>
    </w:p>
    <w:p w14:paraId="62678A57" w14:textId="592F43AE" w:rsidR="007C2BB0" w:rsidRDefault="00135619">
      <w:r>
        <w:t>It’s possible a database may not contain the given input identifier, in which case an empty list could be produced, or else some to-be-determined explicit “not found” message</w:t>
      </w:r>
      <w:r w:rsidR="009F02F8">
        <w:t>:</w:t>
      </w:r>
    </w:p>
    <w:p w14:paraId="024F918A" w14:textId="0AAF7BF5" w:rsidR="00525E20" w:rsidRPr="003821CC" w:rsidRDefault="001C63FA">
      <w:pPr>
        <w:rPr>
          <w:color w:val="0563C1" w:themeColor="hyperlink"/>
          <w:u w:val="single"/>
        </w:rPr>
      </w:pPr>
      <w:hyperlink r:id="rId11" w:history="1">
        <w:r w:rsidR="00135619" w:rsidRPr="0004363B">
          <w:rPr>
            <w:rStyle w:val="Hyperlink"/>
          </w:rPr>
          <w:t>https://pubchem.ncbi.nlm.nih.gov/resolver/resolver.cgi?inchikey=XXXNQMDRQITEOD-UHFFFAOYSA-N</w:t>
        </w:r>
      </w:hyperlink>
    </w:p>
    <w:p w14:paraId="10B49976" w14:textId="0D3EEC2C" w:rsidR="00F37A47" w:rsidRDefault="00E8120D">
      <w:r>
        <w:rPr>
          <w:noProof/>
        </w:rPr>
        <mc:AlternateContent>
          <mc:Choice Requires="wps">
            <w:drawing>
              <wp:anchor distT="45720" distB="45720" distL="114300" distR="114300" simplePos="0" relativeHeight="251663360" behindDoc="0" locked="0" layoutInCell="1" allowOverlap="1" wp14:anchorId="66B39000" wp14:editId="1C187B93">
                <wp:simplePos x="0" y="0"/>
                <wp:positionH relativeFrom="column">
                  <wp:posOffset>0</wp:posOffset>
                </wp:positionH>
                <wp:positionV relativeFrom="paragraph">
                  <wp:posOffset>228600</wp:posOffset>
                </wp:positionV>
                <wp:extent cx="1563624" cy="685800"/>
                <wp:effectExtent l="0" t="0" r="17780" b="1778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624" cy="685800"/>
                        </a:xfrm>
                        <a:prstGeom prst="rect">
                          <a:avLst/>
                        </a:prstGeom>
                        <a:solidFill>
                          <a:schemeClr val="bg2"/>
                        </a:solidFill>
                        <a:ln w="9525">
                          <a:solidFill>
                            <a:srgbClr val="000000"/>
                          </a:solidFill>
                          <a:miter lim="800000"/>
                          <a:headEnd/>
                          <a:tailEnd/>
                        </a:ln>
                      </wps:spPr>
                      <wps:txbx>
                        <w:txbxContent>
                          <w:p w14:paraId="7772ECEA" w14:textId="77777777" w:rsidR="00135619" w:rsidRDefault="00135619" w:rsidP="00135619">
                            <w:pPr>
                              <w:pStyle w:val="HTMLPreformatted"/>
                              <w:rPr>
                                <w:color w:val="000000"/>
                              </w:rPr>
                            </w:pPr>
                            <w:r>
                              <w:rPr>
                                <w:color w:val="000000"/>
                              </w:rPr>
                              <w:t>{</w:t>
                            </w:r>
                          </w:p>
                          <w:p w14:paraId="0EF7B9E2" w14:textId="77777777" w:rsidR="00135619" w:rsidRDefault="00135619" w:rsidP="00135619">
                            <w:pPr>
                              <w:pStyle w:val="HTMLPreformatted"/>
                              <w:rPr>
                                <w:color w:val="000000"/>
                              </w:rPr>
                            </w:pPr>
                            <w:r>
                              <w:rPr>
                                <w:color w:val="000000"/>
                              </w:rPr>
                              <w:t xml:space="preserve">  "Result": {</w:t>
                            </w:r>
                          </w:p>
                          <w:p w14:paraId="50A2C3BB" w14:textId="77777777" w:rsidR="00135619" w:rsidRDefault="00135619" w:rsidP="00135619">
                            <w:pPr>
                              <w:pStyle w:val="HTMLPreformatted"/>
                              <w:rPr>
                                <w:color w:val="000000"/>
                              </w:rPr>
                            </w:pPr>
                            <w:r>
                              <w:rPr>
                                <w:color w:val="000000"/>
                              </w:rPr>
                              <w:t xml:space="preserve">  }</w:t>
                            </w:r>
                          </w:p>
                          <w:p w14:paraId="4AE2F2CF" w14:textId="7FFDF84D" w:rsidR="00135619" w:rsidRPr="00A407B7" w:rsidRDefault="00135619" w:rsidP="00135619">
                            <w:pPr>
                              <w:pStyle w:val="HTMLPreformatted"/>
                              <w:rPr>
                                <w:color w:val="000000"/>
                              </w:rPr>
                            </w:pP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6B39000" id="_x0000_s1027" type="#_x0000_t202" style="position:absolute;margin-left:0;margin-top:18pt;width:123.1pt;height: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" fillcolor="#e7e6e6 [3214]">
                <v:textbox style="mso-fit-shape-to-text:t">
                  <w:txbxContent>
                    <w:p w14:paraId="7772ECEA" w14:textId="77777777" w:rsidR="00135619" w:rsidRDefault="00135619" w:rsidP="00135619">
                      <w:pPr>
                        <w:pStyle w:val="HTMLPreformatted"/>
                        <w:rPr>
                          <w:color w:val="000000"/>
                        </w:rPr>
                      </w:pPr>
                      <w:r>
                        <w:rPr>
                          <w:color w:val="000000"/>
                        </w:rPr>
                        <w:t>{</w:t>
                      </w:r>
                    </w:p>
                    <w:p w14:paraId="0EF7B9E2" w14:textId="77777777" w:rsidR="00135619" w:rsidRDefault="00135619" w:rsidP="00135619">
                      <w:pPr>
                        <w:pStyle w:val="HTMLPreformatted"/>
                        <w:rPr>
                          <w:color w:val="000000"/>
                        </w:rPr>
                      </w:pPr>
                      <w:r>
                        <w:rPr>
                          <w:color w:val="000000"/>
                        </w:rPr>
                        <w:t xml:space="preserve">  "Result": {</w:t>
                      </w:r>
                    </w:p>
                    <w:p w14:paraId="50A2C3BB" w14:textId="77777777" w:rsidR="00135619" w:rsidRDefault="00135619" w:rsidP="00135619">
                      <w:pPr>
                        <w:pStyle w:val="HTMLPreformatted"/>
                        <w:rPr>
                          <w:color w:val="000000"/>
                        </w:rPr>
                      </w:pPr>
                      <w:r>
                        <w:rPr>
                          <w:color w:val="000000"/>
                        </w:rPr>
                        <w:t xml:space="preserve">  }</w:t>
                      </w:r>
                    </w:p>
                    <w:p w14:paraId="4AE2F2CF" w14:textId="7FFDF84D" w:rsidR="00135619" w:rsidRPr="00A407B7" w:rsidRDefault="00135619" w:rsidP="00135619">
                      <w:pPr>
                        <w:pStyle w:val="HTMLPreformatted"/>
                        <w:rPr>
                          <w:color w:val="000000"/>
                        </w:rPr>
                      </w:pPr>
                      <w:r>
                        <w:rPr>
                          <w:color w:val="000000"/>
                        </w:rPr>
                        <w:t>}</w:t>
                      </w:r>
                    </w:p>
                  </w:txbxContent>
                </v:textbox>
                <w10:wrap type="topAndBottom"/>
              </v:shape>
            </w:pict>
          </mc:Fallback>
        </mc:AlternateContent>
      </w:r>
    </w:p>
    <w:p w14:paraId="298D96AE" w14:textId="7386963F" w:rsidR="00F37A47" w:rsidRDefault="00F37A47">
      <w:r>
        <w:t xml:space="preserve">Some reasonable (human-readable) error message should be produced if the input cannot be interpreted – erroneous SMILES, invalid InChI format, </w:t>
      </w:r>
      <w:r w:rsidR="005B759C">
        <w:t>and such. But the details of these error reports should be left to the individual responder, as it is too complex to enforce a common reporting standard in such cases due to different software toolkits,</w:t>
      </w:r>
      <w:r w:rsidR="00213CDC">
        <w:t xml:space="preserve"> algorithms,</w:t>
      </w:r>
      <w:r w:rsidR="005B759C">
        <w:t xml:space="preserve"> etc.</w:t>
      </w:r>
    </w:p>
    <w:p w14:paraId="6089E8BD" w14:textId="415BDB1C" w:rsidR="00A407B7" w:rsidRDefault="00135619">
      <w:r>
        <w:t xml:space="preserve">There are many different ways to provide chemical structure as input, and not every resource would be able to handle every </w:t>
      </w:r>
      <w:r w:rsidR="0053660C">
        <w:t>type</w:t>
      </w:r>
      <w:r>
        <w:t>. For example, some organizations may not have the ability to interpret SMILES as input, because it requires some degree of chemical information processing to do correctly (meaning, it’s not a simple string match). There should be some way for each organization to indicate which input method</w:t>
      </w:r>
      <w:r w:rsidR="00BB0CAE">
        <w:t>s</w:t>
      </w:r>
      <w:r>
        <w:t xml:space="preserve"> it supports. Similarly, some databases may not have individual record</w:t>
      </w:r>
      <w:r w:rsidR="00234D65">
        <w:t xml:space="preserve"> web page</w:t>
      </w:r>
      <w:r>
        <w:t>s for each chemical, or may not have IUPAC-style names for each chemical,</w:t>
      </w:r>
      <w:r w:rsidR="00BB0CAE">
        <w:t xml:space="preserve"> etc.,</w:t>
      </w:r>
      <w:r>
        <w:t xml:space="preserve"> so available outputs should also be provided in some way. For example, if called with no parameters at all, this prototype will respond with:</w:t>
      </w:r>
    </w:p>
    <w:p w14:paraId="1BF7F591" w14:textId="4841D723" w:rsidR="00135619" w:rsidRDefault="001C63FA">
      <w:hyperlink r:id="rId12" w:history="1">
        <w:r w:rsidR="00135619" w:rsidRPr="0004363B">
          <w:rPr>
            <w:rStyle w:val="Hyperlink"/>
          </w:rPr>
          <w:t>https://pubchem.ncbi.nlm.nih.gov/resolver/resolver.cgi</w:t>
        </w:r>
      </w:hyperlink>
    </w:p>
    <w:p w14:paraId="4B1BE9ED" w14:textId="56AF380D" w:rsidR="00135619" w:rsidRDefault="00135619">
      <w:r>
        <w:rPr>
          <w:noProof/>
        </w:rPr>
        <mc:AlternateContent>
          <mc:Choice Requires="wps">
            <w:drawing>
              <wp:anchor distT="45720" distB="45720" distL="114300" distR="114300" simplePos="0" relativeHeight="251665408" behindDoc="0" locked="0" layoutInCell="1" allowOverlap="1" wp14:anchorId="1B06393F" wp14:editId="72498932">
                <wp:simplePos x="0" y="0"/>
                <wp:positionH relativeFrom="column">
                  <wp:posOffset>0</wp:posOffset>
                </wp:positionH>
                <wp:positionV relativeFrom="paragraph">
                  <wp:posOffset>228600</wp:posOffset>
                </wp:positionV>
                <wp:extent cx="6684264" cy="4206240"/>
                <wp:effectExtent l="0" t="0" r="21590" b="21590"/>
                <wp:wrapTopAndBottom/>
                <wp:docPr id="16"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684264" cy="4206240"/>
                        </a:xfrm>
                        <a:prstGeom prst="rect">
                          <a:avLst/>
                        </a:prstGeom>
                        <a:solidFill>
                          <a:schemeClr val="bg2"/>
                        </a:solidFill>
                        <a:ln w="9525">
                          <a:solidFill>
                            <a:srgbClr val="000000"/>
                          </a:solidFill>
                          <a:miter lim="800000"/>
                          <a:headEnd/>
                          <a:tailEnd/>
                        </a:ln>
                      </wps:spPr>
                      <wps:txbx>
                        <w:txbxContent>
                          <w:p w14:paraId="7450B302"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p w14:paraId="56F04C96"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"Result": {</w:t>
                            </w:r>
                          </w:p>
                          <w:p w14:paraId="5BB6EFE1"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"ServiceDetails": [</w:t>
                            </w:r>
                          </w:p>
                          <w:p w14:paraId="141D7F5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4AAA8545"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 "PubChem",</w:t>
                            </w:r>
                          </w:p>
                          <w:p w14:paraId="0AC7740C"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"ResourceURL": "https://pubchem.ncbi.nlm.nih.gov",</w:t>
                            </w:r>
                          </w:p>
                          <w:p w14:paraId="20BBAAE1"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"ResolverURL": "https://pubchem.ncbi.nlm.nih.gov/resolver/resolver.cgi",</w:t>
                            </w:r>
                          </w:p>
                          <w:p w14:paraId="5A974E42"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"AvailableInputs": {</w:t>
                            </w:r>
                          </w:p>
                          <w:p w14:paraId="79A20F9E"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"SDF": true,</w:t>
                            </w:r>
                          </w:p>
                          <w:p w14:paraId="593E11D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"SMILES": true,</w:t>
                            </w:r>
                          </w:p>
                          <w:p w14:paraId="3D3F3F3F"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 true,</w:t>
                            </w:r>
                          </w:p>
                          <w:p w14:paraId="3E6A1B12"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"InChIKey": true,</w:t>
                            </w:r>
                          </w:p>
                          <w:p w14:paraId="079D4A73"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"PNG": false,</w:t>
                            </w:r>
                          </w:p>
                          <w:p w14:paraId="383DC723"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"Name": true</w:t>
                            </w:r>
                          </w:p>
                          <w:p w14:paraId="350D6DBF"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5F37FEAB"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"AvailableOutputs": {</w:t>
                            </w:r>
                          </w:p>
                          <w:p w14:paraId="0231CE80"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"IUPACName": true,</w:t>
                            </w:r>
                          </w:p>
                          <w:p w14:paraId="4BCBB8F3"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"SMILES": true,</w:t>
                            </w:r>
                          </w:p>
                          <w:p w14:paraId="618321D0"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 true,</w:t>
                            </w:r>
                          </w:p>
                          <w:p w14:paraId="7EB509BE"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"InChIKey": true,</w:t>
                            </w:r>
                          </w:p>
                          <w:p w14:paraId="0243AE6C"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"ResourceIdentifier": true,</w:t>
                            </w:r>
                          </w:p>
                          <w:p w14:paraId="7987040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"RecordURL": true,</w:t>
                            </w:r>
                          </w:p>
                          <w:p w14:paraId="4BB2737C"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"ImageURL": true</w:t>
                            </w:r>
                          </w:p>
                          <w:p w14:paraId="18053F08"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1C4FC75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3B9FE9C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00D7D9C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6A558E54" w14:textId="09FB7BA5" w:rsidR="00135619"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6393F" id="_x0000_s1028" type="#_x0000_t202" style="position:absolute;margin-left:0;margin-top:18pt;width:526.3pt;height:331.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" fillcolor="#e7e6e6 [3214]">
                <o:lock v:ext="edit" aspectratio="t"/>
                <v:textbox style="mso-fit-shape-to-text:t">
                  <w:txbxContent>
                    <w:p w14:paraId="7450B302"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p w14:paraId="56F04C96"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"Result": {</w:t>
                      </w:r>
                    </w:p>
                    <w:p w14:paraId="5BB6EFE1"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"ServiceDetails": [</w:t>
                      </w:r>
                    </w:p>
                    <w:p w14:paraId="141D7F5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4AAA8545"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 "PubChem",</w:t>
                      </w:r>
                    </w:p>
                    <w:p w14:paraId="0AC7740C"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"ResourceURL": "https://pubchem.ncbi.nlm.nih.gov",</w:t>
                      </w:r>
                    </w:p>
                    <w:p w14:paraId="20BBAAE1"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"ResolverURL": "https://pubchem.ncbi.nlm.nih.gov/resolver/resolver.cgi",</w:t>
                      </w:r>
                    </w:p>
                    <w:p w14:paraId="5A974E42"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"AvailableInputs": {</w:t>
                      </w:r>
                    </w:p>
                    <w:p w14:paraId="79A20F9E"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"SDF": true,</w:t>
                      </w:r>
                    </w:p>
                    <w:p w14:paraId="593E11D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"SMILES": true,</w:t>
                      </w:r>
                    </w:p>
                    <w:p w14:paraId="3D3F3F3F"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 true,</w:t>
                      </w:r>
                    </w:p>
                    <w:p w14:paraId="3E6A1B12"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"InChIKey": true,</w:t>
                      </w:r>
                    </w:p>
                    <w:p w14:paraId="079D4A73"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"PNG": false,</w:t>
                      </w:r>
                    </w:p>
                    <w:p w14:paraId="383DC723"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"Name": true</w:t>
                      </w:r>
                    </w:p>
                    <w:p w14:paraId="350D6DBF"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5F37FEAB"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"AvailableOutputs": {</w:t>
                      </w:r>
                    </w:p>
                    <w:p w14:paraId="0231CE80"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"IUPACName": true,</w:t>
                      </w:r>
                    </w:p>
                    <w:p w14:paraId="4BCBB8F3"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"SMILES": true,</w:t>
                      </w:r>
                    </w:p>
                    <w:p w14:paraId="618321D0"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 true,</w:t>
                      </w:r>
                    </w:p>
                    <w:p w14:paraId="7EB509BE"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"InChIKey": true,</w:t>
                      </w:r>
                    </w:p>
                    <w:p w14:paraId="0243AE6C"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"ResourceIdentifier": true,</w:t>
                      </w:r>
                    </w:p>
                    <w:p w14:paraId="7987040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"RecordURL": true,</w:t>
                      </w:r>
                    </w:p>
                    <w:p w14:paraId="4BB2737C"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"ImageURL": true</w:t>
                      </w:r>
                    </w:p>
                    <w:p w14:paraId="18053F08"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1C4FC75D"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3B9FE9C4"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00D7D9C7" w14:textId="77777777" w:rsidR="00106D31"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 xml:space="preserve">  }</w:t>
                      </w:r>
                    </w:p>
                    <w:p w14:paraId="6A558E54" w14:textId="09FB7BA5" w:rsidR="00135619" w:rsidRPr="00106D31" w:rsidRDefault="00106D31" w:rsidP="001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D31">
                        <w:rPr>
                          <w:rFonts w:ascii="Courier New" w:eastAsia="Times New Roman" w:hAnsi="Courier New" w:cs="Courier New"/>
                          <w:color w:val="000000"/>
                          <w:sz w:val="20"/>
                          <w:szCs w:val="20"/>
                        </w:rPr>
                        <w:t>}</w:t>
                      </w:r>
                    </w:p>
                  </w:txbxContent>
                </v:textbox>
                <w10:wrap type="topAndBottom"/>
              </v:shape>
            </w:pict>
          </mc:Fallback>
        </mc:AlternateContent>
      </w:r>
    </w:p>
    <w:p w14:paraId="54CD4B2A" w14:textId="5622B5C7" w:rsidR="00B1709D" w:rsidRDefault="00135619">
      <w:r>
        <w:t xml:space="preserve">Note the </w:t>
      </w:r>
      <w:r w:rsidRPr="007930AA">
        <w:rPr>
          <w:b/>
          <w:bCs/>
        </w:rPr>
        <w:t>Ava</w:t>
      </w:r>
      <w:r w:rsidR="00BB0CAE" w:rsidRPr="007930AA">
        <w:rPr>
          <w:b/>
          <w:bCs/>
        </w:rPr>
        <w:t>ilableInputs</w:t>
      </w:r>
      <w:r w:rsidR="00BB0CAE">
        <w:t xml:space="preserve"> and </w:t>
      </w:r>
      <w:r w:rsidR="00BB0CAE" w:rsidRPr="007930AA">
        <w:rPr>
          <w:b/>
          <w:bCs/>
        </w:rPr>
        <w:t>AvailableOutputs</w:t>
      </w:r>
      <w:r w:rsidR="00BB0CAE">
        <w:t xml:space="preserve"> fields, which say what inputs and outputs this local resolver can handle. </w:t>
      </w:r>
      <w:r w:rsidR="00C14451">
        <w:t xml:space="preserve">In this case, PubChem is saying that it can’t </w:t>
      </w:r>
      <w:r w:rsidR="005F73AB">
        <w:t>take</w:t>
      </w:r>
      <w:r w:rsidR="00C14451">
        <w:t xml:space="preserve"> an image (PNG) as input, but other resources may have the ability to convert chemical drawings to structure. </w:t>
      </w:r>
      <w:r w:rsidR="005A09E6">
        <w:t>And t</w:t>
      </w:r>
      <w:r w:rsidR="00B1709D">
        <w:t>his does not mean that every record will necessarily have all of these output fields – some records in PubChem for instance may have a SMILES but not a (computed) IUPAC name.</w:t>
      </w:r>
      <w:r w:rsidR="008A1D31">
        <w:t xml:space="preserve"> But at least one of the outputs should be specified for each record, otherwise there would be nothing to show to the user.</w:t>
      </w:r>
    </w:p>
    <w:p w14:paraId="75B731CA" w14:textId="62C96286" w:rsidR="00135619" w:rsidRDefault="00BB0CAE">
      <w:r>
        <w:t xml:space="preserve">Another key field here is the </w:t>
      </w:r>
      <w:r w:rsidRPr="007930AA">
        <w:rPr>
          <w:b/>
          <w:bCs/>
        </w:rPr>
        <w:t>ResolverURL</w:t>
      </w:r>
      <w:r>
        <w:t>, which is the base URL of the organization’s CGI that implements this protocol</w:t>
      </w:r>
      <w:r w:rsidR="004C4B32">
        <w:t>; that will be important to the meta resolver.</w:t>
      </w:r>
    </w:p>
    <w:p w14:paraId="0A5C4EA7" w14:textId="77777777" w:rsidR="00135619" w:rsidRDefault="00135619"/>
    <w:p w14:paraId="09F9A451" w14:textId="12C18D00" w:rsidR="009C7511" w:rsidRDefault="009C7511" w:rsidP="009C7511">
      <w:pPr>
        <w:pStyle w:val="Heading3"/>
      </w:pPr>
      <w:r>
        <w:t>Meta Resolver</w:t>
      </w:r>
    </w:p>
    <w:p w14:paraId="264B0055" w14:textId="041AD166" w:rsidR="009C7511" w:rsidRDefault="009C7511"/>
    <w:p w14:paraId="13DFEBEE" w14:textId="1F10C7D7" w:rsidR="00E371D0" w:rsidRPr="006E325E" w:rsidRDefault="006E325E">
      <w:r>
        <w:t xml:space="preserve">The last major component of this design, and the only part the user would interact with directly, is the “meta resolver” – the web page that takes user input, performs the search, and presents results back to the user. The general idea is that the meta resolver would have built into it a list of all available local resolvers. When the user submits a query, the meta resolver would (presumably in parallel) send requests to each local resolver based on that input, wait for results to be returned, and then show some sort of table of responding organizations with hyperlinks back to their record pages. This is feasible for any number of participating organizations because the HTTP request is </w:t>
      </w:r>
      <w:r w:rsidRPr="00901C2E">
        <w:rPr>
          <w:i/>
          <w:iCs/>
        </w:rPr>
        <w:t>exactly the same</w:t>
      </w:r>
      <w:r>
        <w:t xml:space="preserve"> for each resource in the list, varying only by the base URL of the request</w:t>
      </w:r>
      <w:r w:rsidR="00901C2E">
        <w:t xml:space="preserve"> (</w:t>
      </w:r>
      <w:r w:rsidR="00901C2E">
        <w:rPr>
          <w:b/>
          <w:bCs/>
        </w:rPr>
        <w:t>ResolverURL</w:t>
      </w:r>
      <w:r w:rsidR="00901C2E">
        <w:t xml:space="preserve"> above)</w:t>
      </w:r>
      <w:r>
        <w:t xml:space="preserve">. Of course, the meta resolver would need to know that if, for example, the user supplies SMILES as input, that it would only send requests to local resolvers that implement SMILES as an input method. </w:t>
      </w:r>
      <w:r w:rsidR="008F4628">
        <w:t>And</w:t>
      </w:r>
      <w:r>
        <w:t xml:space="preserve"> as the response data from each local resolver is in </w:t>
      </w:r>
      <w:r w:rsidRPr="00540D36">
        <w:rPr>
          <w:i/>
          <w:iCs/>
        </w:rPr>
        <w:t>exactly the same</w:t>
      </w:r>
      <w:r>
        <w:t xml:space="preserve"> JSON format, the meta resolver would easily be able to parse the results from each organization, without needing to know anything about the details of that organization’s internal data structures, </w:t>
      </w:r>
      <w:r w:rsidR="00113964">
        <w:t xml:space="preserve">algorithms, </w:t>
      </w:r>
      <w:r>
        <w:t xml:space="preserve">etc. </w:t>
      </w:r>
      <w:r w:rsidR="00540D36">
        <w:t>This makes the programming of the meta resolver relatively straightforward.</w:t>
      </w:r>
    </w:p>
    <w:p w14:paraId="386271E2" w14:textId="42097130" w:rsidR="006E325E" w:rsidRDefault="006E325E">
      <w:r>
        <w:t>(</w:t>
      </w:r>
      <w:r w:rsidRPr="00AF28C2">
        <w:rPr>
          <w:b/>
          <w:bCs/>
        </w:rPr>
        <w:t>Note</w:t>
      </w:r>
      <w:r w:rsidR="00AF28C2">
        <w:rPr>
          <w:b/>
          <w:bCs/>
        </w:rPr>
        <w:t>:</w:t>
      </w:r>
      <w:r>
        <w:t xml:space="preserve"> there is not currently any prototype implementation of the meta resolver.)</w:t>
      </w:r>
    </w:p>
    <w:p w14:paraId="5902231A" w14:textId="3054480B" w:rsidR="00AF28C2" w:rsidRDefault="00AF28C2"/>
    <w:p w14:paraId="2C5CA524" w14:textId="4AE7208F" w:rsidR="008F4628" w:rsidRDefault="008F4628">
      <w:r>
        <w:t xml:space="preserve">Central to the meta resolver is the list of local resolvers, those organizations participating in the “global search.” If there </w:t>
      </w:r>
      <w:r w:rsidR="00474379">
        <w:t xml:space="preserve">are </w:t>
      </w:r>
      <w:r>
        <w:t>to be dozens (eventually hundreds?) of such organizations, it seems there must be some way for them to self-register in some central location, without a great deal of human intervention necessary. On the other hand, there should be some basic vetting process to ensure that each resource is legitimate. Upon whom this task falls</w:t>
      </w:r>
      <w:r w:rsidR="00575FA0">
        <w:t>, and the policies they would follow, are</w:t>
      </w:r>
      <w:r>
        <w:t xml:space="preserve"> not yet determined.</w:t>
      </w:r>
    </w:p>
    <w:p w14:paraId="4794D7A8" w14:textId="28286C2C" w:rsidR="00575FA0" w:rsidRDefault="008F4628">
      <w:r>
        <w:t xml:space="preserve">Similarly, we will need to decide who will implement this meta resolver and </w:t>
      </w:r>
      <w:r w:rsidR="005F5595">
        <w:t xml:space="preserve">store </w:t>
      </w:r>
      <w:r>
        <w:t xml:space="preserve">the master list of contributing organizations, and where it will be hosted. It should probably not be the provenance of any one contributing group (possible conflict of interest). Can/should this be handled by IUPAC? Or some other third party? </w:t>
      </w:r>
      <w:r w:rsidR="005F5595">
        <w:t>This will need further discussion.</w:t>
      </w:r>
      <w:r w:rsidR="005F5595">
        <w:br/>
      </w:r>
    </w:p>
    <w:sectPr w:rsidR="0057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11"/>
    <w:rsid w:val="000138C3"/>
    <w:rsid w:val="00035CAB"/>
    <w:rsid w:val="00094AAE"/>
    <w:rsid w:val="000D16FD"/>
    <w:rsid w:val="00106D31"/>
    <w:rsid w:val="00110609"/>
    <w:rsid w:val="00113964"/>
    <w:rsid w:val="00135619"/>
    <w:rsid w:val="001503E2"/>
    <w:rsid w:val="00194824"/>
    <w:rsid w:val="001C3590"/>
    <w:rsid w:val="001C63FA"/>
    <w:rsid w:val="00213CDC"/>
    <w:rsid w:val="00234D65"/>
    <w:rsid w:val="00263130"/>
    <w:rsid w:val="002A0AD1"/>
    <w:rsid w:val="002C085E"/>
    <w:rsid w:val="002C6920"/>
    <w:rsid w:val="003305D0"/>
    <w:rsid w:val="003568F1"/>
    <w:rsid w:val="003821CC"/>
    <w:rsid w:val="003855A2"/>
    <w:rsid w:val="003C5070"/>
    <w:rsid w:val="003F2AF6"/>
    <w:rsid w:val="0045327F"/>
    <w:rsid w:val="0046531D"/>
    <w:rsid w:val="00474379"/>
    <w:rsid w:val="00474E86"/>
    <w:rsid w:val="0048343E"/>
    <w:rsid w:val="00487C16"/>
    <w:rsid w:val="004C4B32"/>
    <w:rsid w:val="004E6DEE"/>
    <w:rsid w:val="0050436E"/>
    <w:rsid w:val="00525E20"/>
    <w:rsid w:val="0053660C"/>
    <w:rsid w:val="00540D36"/>
    <w:rsid w:val="00543C2B"/>
    <w:rsid w:val="00575FA0"/>
    <w:rsid w:val="00591FD8"/>
    <w:rsid w:val="005A09E6"/>
    <w:rsid w:val="005B759C"/>
    <w:rsid w:val="005F253F"/>
    <w:rsid w:val="005F5595"/>
    <w:rsid w:val="005F73AB"/>
    <w:rsid w:val="006072B6"/>
    <w:rsid w:val="006E325E"/>
    <w:rsid w:val="00740EFE"/>
    <w:rsid w:val="007604C4"/>
    <w:rsid w:val="007930AA"/>
    <w:rsid w:val="007A2B9E"/>
    <w:rsid w:val="007C2BB0"/>
    <w:rsid w:val="007D7A2C"/>
    <w:rsid w:val="00867317"/>
    <w:rsid w:val="008713BA"/>
    <w:rsid w:val="00887183"/>
    <w:rsid w:val="008A1D31"/>
    <w:rsid w:val="008A5749"/>
    <w:rsid w:val="008F4628"/>
    <w:rsid w:val="00901C2E"/>
    <w:rsid w:val="00906C0D"/>
    <w:rsid w:val="00953D8D"/>
    <w:rsid w:val="00976C7B"/>
    <w:rsid w:val="009C7511"/>
    <w:rsid w:val="009E7321"/>
    <w:rsid w:val="009F02F8"/>
    <w:rsid w:val="00A22461"/>
    <w:rsid w:val="00A407B7"/>
    <w:rsid w:val="00A71B51"/>
    <w:rsid w:val="00AB2D0C"/>
    <w:rsid w:val="00AF28C2"/>
    <w:rsid w:val="00B1709D"/>
    <w:rsid w:val="00B468F5"/>
    <w:rsid w:val="00B605FA"/>
    <w:rsid w:val="00BB0CAE"/>
    <w:rsid w:val="00BF53B4"/>
    <w:rsid w:val="00C04256"/>
    <w:rsid w:val="00C0441E"/>
    <w:rsid w:val="00C14451"/>
    <w:rsid w:val="00C45637"/>
    <w:rsid w:val="00C47E0E"/>
    <w:rsid w:val="00C63271"/>
    <w:rsid w:val="00C83BA3"/>
    <w:rsid w:val="00D03E22"/>
    <w:rsid w:val="00D0724B"/>
    <w:rsid w:val="00D30214"/>
    <w:rsid w:val="00DA6262"/>
    <w:rsid w:val="00DC608C"/>
    <w:rsid w:val="00E13EF4"/>
    <w:rsid w:val="00E371D0"/>
    <w:rsid w:val="00E57182"/>
    <w:rsid w:val="00E8120D"/>
    <w:rsid w:val="00E97F7D"/>
    <w:rsid w:val="00EB0D0B"/>
    <w:rsid w:val="00EE4E52"/>
    <w:rsid w:val="00F17320"/>
    <w:rsid w:val="00F3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42CC"/>
  <w15:chartTrackingRefBased/>
  <w15:docId w15:val="{3DE02DC6-59CE-4A18-9E21-7F81D745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7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75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75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608C"/>
    <w:rPr>
      <w:color w:val="0563C1" w:themeColor="hyperlink"/>
      <w:u w:val="single"/>
    </w:rPr>
  </w:style>
  <w:style w:type="character" w:styleId="UnresolvedMention">
    <w:name w:val="Unresolved Mention"/>
    <w:basedOn w:val="DefaultParagraphFont"/>
    <w:uiPriority w:val="99"/>
    <w:semiHidden/>
    <w:unhideWhenUsed/>
    <w:rsid w:val="00DC608C"/>
    <w:rPr>
      <w:color w:val="605E5C"/>
      <w:shd w:val="clear" w:color="auto" w:fill="E1DFDD"/>
    </w:rPr>
  </w:style>
  <w:style w:type="paragraph" w:styleId="HTMLPreformatted">
    <w:name w:val="HTML Preformatted"/>
    <w:basedOn w:val="Normal"/>
    <w:link w:val="HTMLPreformattedChar"/>
    <w:uiPriority w:val="99"/>
    <w:unhideWhenUsed/>
    <w:rsid w:val="00A4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7B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E7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181">
      <w:bodyDiv w:val="1"/>
      <w:marLeft w:val="0"/>
      <w:marRight w:val="0"/>
      <w:marTop w:val="0"/>
      <w:marBottom w:val="0"/>
      <w:divBdr>
        <w:top w:val="none" w:sz="0" w:space="0" w:color="auto"/>
        <w:left w:val="none" w:sz="0" w:space="0" w:color="auto"/>
        <w:bottom w:val="none" w:sz="0" w:space="0" w:color="auto"/>
        <w:right w:val="none" w:sz="0" w:space="0" w:color="auto"/>
      </w:divBdr>
    </w:div>
    <w:div w:id="704712919">
      <w:bodyDiv w:val="1"/>
      <w:marLeft w:val="0"/>
      <w:marRight w:val="0"/>
      <w:marTop w:val="0"/>
      <w:marBottom w:val="0"/>
      <w:divBdr>
        <w:top w:val="none" w:sz="0" w:space="0" w:color="auto"/>
        <w:left w:val="none" w:sz="0" w:space="0" w:color="auto"/>
        <w:bottom w:val="none" w:sz="0" w:space="0" w:color="auto"/>
        <w:right w:val="none" w:sz="0" w:space="0" w:color="auto"/>
      </w:divBdr>
    </w:div>
    <w:div w:id="989479592">
      <w:bodyDiv w:val="1"/>
      <w:marLeft w:val="0"/>
      <w:marRight w:val="0"/>
      <w:marTop w:val="0"/>
      <w:marBottom w:val="0"/>
      <w:divBdr>
        <w:top w:val="none" w:sz="0" w:space="0" w:color="auto"/>
        <w:left w:val="none" w:sz="0" w:space="0" w:color="auto"/>
        <w:bottom w:val="none" w:sz="0" w:space="0" w:color="auto"/>
        <w:right w:val="none" w:sz="0" w:space="0" w:color="auto"/>
      </w:divBdr>
    </w:div>
    <w:div w:id="1118180387">
      <w:bodyDiv w:val="1"/>
      <w:marLeft w:val="0"/>
      <w:marRight w:val="0"/>
      <w:marTop w:val="0"/>
      <w:marBottom w:val="0"/>
      <w:divBdr>
        <w:top w:val="none" w:sz="0" w:space="0" w:color="auto"/>
        <w:left w:val="none" w:sz="0" w:space="0" w:color="auto"/>
        <w:bottom w:val="none" w:sz="0" w:space="0" w:color="auto"/>
        <w:right w:val="none" w:sz="0" w:space="0" w:color="auto"/>
      </w:divBdr>
    </w:div>
    <w:div w:id="1588227025">
      <w:bodyDiv w:val="1"/>
      <w:marLeft w:val="0"/>
      <w:marRight w:val="0"/>
      <w:marTop w:val="0"/>
      <w:marBottom w:val="0"/>
      <w:divBdr>
        <w:top w:val="none" w:sz="0" w:space="0" w:color="auto"/>
        <w:left w:val="none" w:sz="0" w:space="0" w:color="auto"/>
        <w:bottom w:val="none" w:sz="0" w:space="0" w:color="auto"/>
        <w:right w:val="none" w:sz="0" w:space="0" w:color="auto"/>
      </w:divBdr>
    </w:div>
    <w:div w:id="2032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resolver/resolver.cgi?inchikey=IJDNQMDRQITEOD-UHFFFAOYS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chem.ncbi.nlm.nih.gov/resolver/resolver.cgi?smiles=CCCC" TargetMode="External"/><Relationship Id="rId12" Type="http://schemas.openxmlformats.org/officeDocument/2006/relationships/hyperlink" Target="https://pubchem.ncbi.nlm.nih.gov/resolver/resolver.c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son-schema.org/draft/2020-12/json-schema-core.html" TargetMode="External"/><Relationship Id="rId11" Type="http://schemas.openxmlformats.org/officeDocument/2006/relationships/hyperlink" Target="https://pubchem.ncbi.nlm.nih.gov/resolver/resolver.cgi?inchikey=XXXNQMDRQITEOD-UHFFFAOYSA-N" TargetMode="External"/><Relationship Id="rId5" Type="http://schemas.openxmlformats.org/officeDocument/2006/relationships/hyperlink" Target="https://pubchem.ncbi.nlm.nih.gov/resolver/resolver_data.xsd" TargetMode="External"/><Relationship Id="rId10" Type="http://schemas.openxmlformats.org/officeDocument/2006/relationships/hyperlink" Target="https://pubchem.ncbi.nlm.nih.gov/resolver/resolver.cgi?name=butane" TargetMode="External"/><Relationship Id="rId4" Type="http://schemas.openxmlformats.org/officeDocument/2006/relationships/image" Target="media/image1.png"/><Relationship Id="rId9" Type="http://schemas.openxmlformats.org/officeDocument/2006/relationships/hyperlink" Target="https://pubchem.ncbi.nlm.nih.gov/resolver/resolver.cgi?inchi=InChI%3D1S%2FC4H10%2Fc1-3-4-2%2Fh3-4H2%2C1-2H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Thiessen, Paul (NIH/NLM/NCBI) [E]</dc:creator>
  <cp:keywords/>
  <dc:description/>
  <cp:lastModifiedBy>Thiessen, Paul (NIH/NLM/NCBI) [E]</cp:lastModifiedBy>
  <cp:revision>85</cp:revision>
  <cp:lastPrinted>2022-09-20T12:31:00Z</cp:lastPrinted>
  <dcterms:created xsi:type="dcterms:W3CDTF">2022-09-19T12:29:00Z</dcterms:created>
  <dcterms:modified xsi:type="dcterms:W3CDTF">2022-09-20T12:33:00Z</dcterms:modified>
</cp:coreProperties>
</file>