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9AD4C" w14:textId="4CCDF781" w:rsidR="00BD22BE" w:rsidRPr="00A504E2" w:rsidRDefault="00BD22BE" w:rsidP="00C7119E">
      <w:pPr>
        <w:pStyle w:val="Heading3"/>
        <w:numPr>
          <w:ilvl w:val="0"/>
          <w:numId w:val="2"/>
        </w:numPr>
        <w:shd w:val="clear" w:color="auto" w:fill="FFFFFF"/>
        <w:spacing w:before="300" w:after="150" w:line="480" w:lineRule="auto"/>
        <w:rPr>
          <w:rFonts w:ascii="Times" w:hAnsi="Times" w:cs="Times New Roman"/>
          <w:b/>
          <w:bCs/>
          <w:color w:val="000000" w:themeColor="text1"/>
        </w:rPr>
      </w:pPr>
      <w:r w:rsidRPr="00A504E2">
        <w:rPr>
          <w:rFonts w:ascii="Times" w:hAnsi="Times" w:cs="Times New Roman"/>
          <w:b/>
          <w:bCs/>
          <w:color w:val="000000" w:themeColor="text1"/>
        </w:rPr>
        <w:t>Are the open source license terms compatible with my business requirements?</w:t>
      </w:r>
    </w:p>
    <w:p w14:paraId="67B37F2F" w14:textId="573C40C2" w:rsidR="00307841" w:rsidRPr="00A504E2" w:rsidRDefault="00CA2B3A" w:rsidP="00C7119E">
      <w:pPr>
        <w:spacing w:line="480" w:lineRule="auto"/>
        <w:rPr>
          <w:rFonts w:ascii="Times" w:hAnsi="Times"/>
          <w:sz w:val="24"/>
          <w:szCs w:val="24"/>
        </w:rPr>
      </w:pPr>
      <w:r w:rsidRPr="00A504E2">
        <w:rPr>
          <w:rFonts w:ascii="Times" w:hAnsi="Times"/>
          <w:sz w:val="24"/>
          <w:szCs w:val="24"/>
        </w:rPr>
        <w:t xml:space="preserve">Open source is mainly protected by copyright law, and the license provides the basis for the rights you have on the software. To be classified as open source, any product needs to adhere to the four freedoms: to use, to study, to redistribute, and to improve. However, licenses often include other terms that might be incompatible with certain business models. </w:t>
      </w:r>
    </w:p>
    <w:p w14:paraId="3D8D2785" w14:textId="060FE75D" w:rsidR="002E5920" w:rsidRPr="00A504E2" w:rsidRDefault="002E5920" w:rsidP="00C7119E">
      <w:pPr>
        <w:spacing w:line="480" w:lineRule="auto"/>
        <w:rPr>
          <w:rFonts w:ascii="Times" w:hAnsi="Times"/>
          <w:sz w:val="24"/>
          <w:szCs w:val="24"/>
        </w:rPr>
      </w:pPr>
      <w:r w:rsidRPr="00A504E2">
        <w:rPr>
          <w:rFonts w:ascii="Times" w:hAnsi="Times"/>
          <w:sz w:val="24"/>
          <w:szCs w:val="24"/>
        </w:rPr>
        <w:t xml:space="preserve">An open source software that we have considered is </w:t>
      </w:r>
      <w:proofErr w:type="spellStart"/>
      <w:r w:rsidRPr="00A504E2">
        <w:rPr>
          <w:rFonts w:ascii="Times" w:hAnsi="Times"/>
          <w:sz w:val="24"/>
          <w:szCs w:val="24"/>
        </w:rPr>
        <w:t>Wirewax</w:t>
      </w:r>
      <w:proofErr w:type="spellEnd"/>
      <w:r w:rsidRPr="00A504E2">
        <w:rPr>
          <w:rFonts w:ascii="Times" w:hAnsi="Times"/>
          <w:sz w:val="24"/>
          <w:szCs w:val="24"/>
        </w:rPr>
        <w:t xml:space="preserve">. </w:t>
      </w:r>
      <w:proofErr w:type="spellStart"/>
      <w:r w:rsidRPr="00A504E2">
        <w:rPr>
          <w:rFonts w:ascii="Times" w:hAnsi="Times"/>
          <w:sz w:val="24"/>
          <w:szCs w:val="24"/>
        </w:rPr>
        <w:t>Wirewax</w:t>
      </w:r>
      <w:proofErr w:type="spellEnd"/>
      <w:r w:rsidRPr="00A504E2">
        <w:rPr>
          <w:rFonts w:ascii="Times" w:hAnsi="Times"/>
          <w:sz w:val="24"/>
          <w:szCs w:val="24"/>
        </w:rPr>
        <w:t xml:space="preserve"> is an interactive video platform, empowering users to add </w:t>
      </w:r>
      <w:proofErr w:type="spellStart"/>
      <w:r w:rsidRPr="00A504E2">
        <w:rPr>
          <w:rFonts w:ascii="Times" w:hAnsi="Times"/>
          <w:sz w:val="24"/>
          <w:szCs w:val="24"/>
        </w:rPr>
        <w:t>clicka</w:t>
      </w:r>
      <w:r w:rsidR="00783E64">
        <w:rPr>
          <w:rFonts w:ascii="Times" w:hAnsi="Times"/>
          <w:sz w:val="24"/>
          <w:szCs w:val="24"/>
        </w:rPr>
        <w:t>ju</w:t>
      </w:r>
      <w:r w:rsidRPr="00A504E2">
        <w:rPr>
          <w:rFonts w:ascii="Times" w:hAnsi="Times"/>
          <w:sz w:val="24"/>
          <w:szCs w:val="24"/>
        </w:rPr>
        <w:t>ble</w:t>
      </w:r>
      <w:proofErr w:type="spellEnd"/>
      <w:r w:rsidRPr="00A504E2">
        <w:rPr>
          <w:rFonts w:ascii="Times" w:hAnsi="Times"/>
          <w:sz w:val="24"/>
          <w:szCs w:val="24"/>
        </w:rPr>
        <w:t xml:space="preserve"> hotspots, or “tags” to any moving person or object in the video. With up to 9x conversion in-video than on site, these tags encourage viewers to explore extra content, opportunities to buy or help create immersive experiences. </w:t>
      </w:r>
    </w:p>
    <w:p w14:paraId="1BE7D261" w14:textId="7656A583" w:rsidR="00DE5101" w:rsidRPr="00A504E2" w:rsidRDefault="00DE5101" w:rsidP="00C7119E">
      <w:pPr>
        <w:spacing w:line="480" w:lineRule="auto"/>
        <w:rPr>
          <w:rFonts w:ascii="Times" w:hAnsi="Times"/>
          <w:sz w:val="24"/>
          <w:szCs w:val="24"/>
        </w:rPr>
      </w:pPr>
      <w:r w:rsidRPr="00A504E2">
        <w:rPr>
          <w:rFonts w:ascii="Times" w:hAnsi="Times"/>
          <w:sz w:val="24"/>
          <w:szCs w:val="24"/>
        </w:rPr>
        <w:t xml:space="preserve">The terms of </w:t>
      </w:r>
      <w:proofErr w:type="spellStart"/>
      <w:r w:rsidRPr="00A504E2">
        <w:rPr>
          <w:rFonts w:ascii="Times" w:hAnsi="Times"/>
          <w:sz w:val="24"/>
          <w:szCs w:val="24"/>
        </w:rPr>
        <w:t>Wirewax</w:t>
      </w:r>
      <w:proofErr w:type="spellEnd"/>
      <w:r w:rsidRPr="00A504E2">
        <w:rPr>
          <w:rFonts w:ascii="Times" w:hAnsi="Times"/>
          <w:sz w:val="24"/>
          <w:szCs w:val="24"/>
        </w:rPr>
        <w:t xml:space="preserve"> are stated as “In the event that any </w:t>
      </w:r>
      <w:r w:rsidR="00640DFA" w:rsidRPr="00A504E2">
        <w:rPr>
          <w:rFonts w:ascii="Times" w:hAnsi="Times"/>
          <w:sz w:val="24"/>
          <w:szCs w:val="24"/>
        </w:rPr>
        <w:t>licensed</w:t>
      </w:r>
      <w:r w:rsidRPr="00A504E2">
        <w:rPr>
          <w:rFonts w:ascii="Times" w:hAnsi="Times"/>
          <w:sz w:val="24"/>
          <w:szCs w:val="24"/>
        </w:rPr>
        <w:t xml:space="preserve"> items are made available to the customer, </w:t>
      </w:r>
      <w:proofErr w:type="spellStart"/>
      <w:r w:rsidRPr="00A504E2">
        <w:rPr>
          <w:rFonts w:ascii="Times" w:hAnsi="Times"/>
          <w:sz w:val="24"/>
          <w:szCs w:val="24"/>
        </w:rPr>
        <w:t>Wirewax</w:t>
      </w:r>
      <w:proofErr w:type="spellEnd"/>
      <w:r w:rsidRPr="00A504E2">
        <w:rPr>
          <w:rFonts w:ascii="Times" w:hAnsi="Times"/>
          <w:sz w:val="24"/>
          <w:szCs w:val="24"/>
        </w:rPr>
        <w:t xml:space="preserve"> grants the customer non-exclusive, non-transferable, royalty free license to use the licensed items as follows: </w:t>
      </w:r>
      <w:r w:rsidR="00640DFA" w:rsidRPr="00A504E2">
        <w:rPr>
          <w:rFonts w:ascii="Times" w:hAnsi="Times"/>
          <w:sz w:val="24"/>
          <w:szCs w:val="24"/>
        </w:rPr>
        <w:t xml:space="preserve">use of the APIs shall be limited to integrating or using the same with the customer system in order to activate the functionality of the platform within the customer system and thereby enabling the customer system to interact with the rest of the platform or the customer video, use of the off-platform functionality shall be limited to using within the deliverables and files as supplied by </w:t>
      </w:r>
      <w:proofErr w:type="spellStart"/>
      <w:r w:rsidR="00640DFA" w:rsidRPr="00A504E2">
        <w:rPr>
          <w:rFonts w:ascii="Times" w:hAnsi="Times"/>
          <w:sz w:val="24"/>
          <w:szCs w:val="24"/>
        </w:rPr>
        <w:t>Wirewax</w:t>
      </w:r>
      <w:proofErr w:type="spellEnd"/>
      <w:r w:rsidR="00640DFA" w:rsidRPr="00A504E2">
        <w:rPr>
          <w:rFonts w:ascii="Times" w:hAnsi="Times"/>
          <w:sz w:val="24"/>
          <w:szCs w:val="24"/>
        </w:rPr>
        <w:t xml:space="preserve"> and always only in conjunction with and to enable the playback of the customer video, and in the event any third party items are incorporated into or are used in conjunction with the platforms, or are used for the purposes of providing the services, then </w:t>
      </w:r>
      <w:proofErr w:type="spellStart"/>
      <w:r w:rsidR="00640DFA" w:rsidRPr="00A504E2">
        <w:rPr>
          <w:rFonts w:ascii="Times" w:hAnsi="Times"/>
          <w:sz w:val="24"/>
          <w:szCs w:val="24"/>
        </w:rPr>
        <w:t>Wirewax</w:t>
      </w:r>
      <w:proofErr w:type="spellEnd"/>
      <w:r w:rsidR="00640DFA" w:rsidRPr="00A504E2">
        <w:rPr>
          <w:rFonts w:ascii="Times" w:hAnsi="Times"/>
          <w:sz w:val="24"/>
          <w:szCs w:val="24"/>
        </w:rPr>
        <w:t xml:space="preserve"> grants (or shall procure the grant) to the customer a non-</w:t>
      </w:r>
      <w:r w:rsidR="00640DFA" w:rsidRPr="00A504E2">
        <w:rPr>
          <w:rFonts w:ascii="Times" w:hAnsi="Times"/>
          <w:sz w:val="24"/>
          <w:szCs w:val="24"/>
        </w:rPr>
        <w:lastRenderedPageBreak/>
        <w:t>exclusive, non-transferable, royalty-free right to use such third party items for the purposes receiving the services.”</w:t>
      </w:r>
    </w:p>
    <w:p w14:paraId="1BF9FE66" w14:textId="1CFDC831" w:rsidR="00BD22BE" w:rsidRPr="00A504E2" w:rsidRDefault="00BD22BE" w:rsidP="00C7119E">
      <w:pPr>
        <w:pStyle w:val="Heading3"/>
        <w:numPr>
          <w:ilvl w:val="0"/>
          <w:numId w:val="2"/>
        </w:numPr>
        <w:shd w:val="clear" w:color="auto" w:fill="FFFFFF"/>
        <w:spacing w:before="300" w:after="150" w:line="480" w:lineRule="auto"/>
        <w:rPr>
          <w:rFonts w:ascii="Times" w:hAnsi="Times" w:cs="Times New Roman"/>
          <w:b/>
          <w:bCs/>
          <w:color w:val="333333"/>
        </w:rPr>
      </w:pPr>
      <w:r w:rsidRPr="00A504E2">
        <w:rPr>
          <w:rFonts w:ascii="Times" w:hAnsi="Times" w:cs="Times New Roman"/>
          <w:b/>
          <w:bCs/>
          <w:color w:val="333333"/>
        </w:rPr>
        <w:t>What is the strength of the community?</w:t>
      </w:r>
    </w:p>
    <w:p w14:paraId="000A77B4" w14:textId="0774BBB5" w:rsidR="005E47BC" w:rsidRPr="00A504E2" w:rsidRDefault="00891339" w:rsidP="00C7119E">
      <w:pPr>
        <w:spacing w:line="480" w:lineRule="auto"/>
        <w:rPr>
          <w:rFonts w:ascii="Times" w:hAnsi="Times"/>
          <w:sz w:val="24"/>
          <w:szCs w:val="24"/>
        </w:rPr>
      </w:pPr>
      <w:proofErr w:type="spellStart"/>
      <w:r w:rsidRPr="00A504E2">
        <w:rPr>
          <w:rFonts w:ascii="Times" w:hAnsi="Times"/>
          <w:sz w:val="24"/>
          <w:szCs w:val="24"/>
        </w:rPr>
        <w:t>Wirewax</w:t>
      </w:r>
      <w:proofErr w:type="spellEnd"/>
      <w:r w:rsidRPr="00A504E2">
        <w:rPr>
          <w:rFonts w:ascii="Times" w:hAnsi="Times"/>
          <w:sz w:val="24"/>
          <w:szCs w:val="24"/>
        </w:rPr>
        <w:t xml:space="preserve"> is used by many but some of the recognized leaders are: The Webby Awards, BAFTA, </w:t>
      </w:r>
      <w:proofErr w:type="spellStart"/>
      <w:r w:rsidRPr="00A504E2">
        <w:rPr>
          <w:rFonts w:ascii="Times" w:hAnsi="Times"/>
          <w:sz w:val="24"/>
          <w:szCs w:val="24"/>
        </w:rPr>
        <w:t>Digiday</w:t>
      </w:r>
      <w:proofErr w:type="spellEnd"/>
      <w:r w:rsidRPr="00A504E2">
        <w:rPr>
          <w:rFonts w:ascii="Times" w:hAnsi="Times"/>
          <w:sz w:val="24"/>
          <w:szCs w:val="24"/>
        </w:rPr>
        <w:t xml:space="preserve"> Video Awards, Cannes Lions, CLIO Awards, People’s Choice Awards, </w:t>
      </w:r>
      <w:proofErr w:type="spellStart"/>
      <w:r w:rsidRPr="00A504E2">
        <w:rPr>
          <w:rFonts w:ascii="Times" w:hAnsi="Times"/>
          <w:sz w:val="24"/>
          <w:szCs w:val="24"/>
        </w:rPr>
        <w:t>Kidscreen</w:t>
      </w:r>
      <w:proofErr w:type="spellEnd"/>
      <w:r w:rsidRPr="00A504E2">
        <w:rPr>
          <w:rFonts w:ascii="Times" w:hAnsi="Times"/>
          <w:sz w:val="24"/>
          <w:szCs w:val="24"/>
        </w:rPr>
        <w:t xml:space="preserve"> Awards, </w:t>
      </w:r>
      <w:proofErr w:type="spellStart"/>
      <w:r w:rsidRPr="00A504E2">
        <w:rPr>
          <w:rFonts w:ascii="Times" w:hAnsi="Times"/>
          <w:sz w:val="24"/>
          <w:szCs w:val="24"/>
        </w:rPr>
        <w:t>Promaxbda</w:t>
      </w:r>
      <w:proofErr w:type="spellEnd"/>
      <w:r w:rsidRPr="00A504E2">
        <w:rPr>
          <w:rFonts w:ascii="Times" w:hAnsi="Times"/>
          <w:sz w:val="24"/>
          <w:szCs w:val="24"/>
        </w:rPr>
        <w:t>, Model O Awards, and Tech Awards. Therefore, this open source software product has been used by many. A large active, diverse, and responsible community is always a key indicator of the health and sustainability of an open source product. It allows any flaws in the software to be spotted quickly and fixed.</w:t>
      </w:r>
    </w:p>
    <w:p w14:paraId="60A154F6" w14:textId="6172352D" w:rsidR="00BD22BE" w:rsidRPr="00A504E2" w:rsidRDefault="00BD22BE" w:rsidP="00C7119E">
      <w:pPr>
        <w:pStyle w:val="Heading3"/>
        <w:numPr>
          <w:ilvl w:val="0"/>
          <w:numId w:val="2"/>
        </w:numPr>
        <w:shd w:val="clear" w:color="auto" w:fill="FFFFFF"/>
        <w:spacing w:before="300" w:after="150" w:line="480" w:lineRule="auto"/>
        <w:rPr>
          <w:rFonts w:ascii="Times" w:hAnsi="Times" w:cs="Times New Roman"/>
          <w:b/>
          <w:bCs/>
          <w:color w:val="333333"/>
        </w:rPr>
      </w:pPr>
      <w:r w:rsidRPr="00A504E2">
        <w:rPr>
          <w:rFonts w:ascii="Times" w:hAnsi="Times" w:cs="Times New Roman"/>
          <w:b/>
          <w:bCs/>
          <w:color w:val="333333"/>
        </w:rPr>
        <w:t>How well is the product adopted by users?</w:t>
      </w:r>
    </w:p>
    <w:p w14:paraId="3B233182" w14:textId="5451B9E2" w:rsidR="003B788F" w:rsidRPr="00A504E2" w:rsidRDefault="005F3B87" w:rsidP="00C7119E">
      <w:pPr>
        <w:spacing w:line="480" w:lineRule="auto"/>
        <w:rPr>
          <w:rFonts w:ascii="Times" w:eastAsia="Times New Roman" w:hAnsi="Times" w:cs="Times New Roman"/>
          <w:sz w:val="24"/>
          <w:szCs w:val="24"/>
        </w:rPr>
      </w:pPr>
      <w:r w:rsidRPr="00A504E2">
        <w:rPr>
          <w:rFonts w:ascii="Times" w:hAnsi="Times"/>
          <w:sz w:val="24"/>
          <w:szCs w:val="24"/>
        </w:rPr>
        <w:t xml:space="preserve">Subject to activation of a relevant subscription by </w:t>
      </w:r>
      <w:proofErr w:type="spellStart"/>
      <w:r w:rsidRPr="00A504E2">
        <w:rPr>
          <w:rFonts w:ascii="Times" w:hAnsi="Times"/>
          <w:sz w:val="24"/>
          <w:szCs w:val="24"/>
        </w:rPr>
        <w:t>Wirewax</w:t>
      </w:r>
      <w:proofErr w:type="spellEnd"/>
      <w:r w:rsidRPr="00A504E2">
        <w:rPr>
          <w:rFonts w:ascii="Times" w:hAnsi="Times"/>
          <w:sz w:val="24"/>
          <w:szCs w:val="24"/>
        </w:rPr>
        <w:t xml:space="preserve">, and receipt of the subscription fees, </w:t>
      </w:r>
      <w:proofErr w:type="spellStart"/>
      <w:r w:rsidRPr="00A504E2">
        <w:rPr>
          <w:rFonts w:ascii="Times" w:hAnsi="Times"/>
          <w:sz w:val="24"/>
          <w:szCs w:val="24"/>
        </w:rPr>
        <w:t>Wirewax</w:t>
      </w:r>
      <w:proofErr w:type="spellEnd"/>
      <w:r w:rsidRPr="00A504E2">
        <w:rPr>
          <w:rFonts w:ascii="Times" w:hAnsi="Times"/>
          <w:sz w:val="24"/>
          <w:szCs w:val="24"/>
        </w:rPr>
        <w:t xml:space="preserve"> will provide the platform services and grants to the customer a non-exclusive, non-transferable, royalty free license to acces</w:t>
      </w:r>
      <w:r w:rsidR="003E5129" w:rsidRPr="00A504E2">
        <w:rPr>
          <w:rFonts w:ascii="Times" w:hAnsi="Times"/>
          <w:sz w:val="24"/>
          <w:szCs w:val="24"/>
        </w:rPr>
        <w:t>s</w:t>
      </w:r>
      <w:r w:rsidRPr="00A504E2">
        <w:rPr>
          <w:rFonts w:ascii="Times" w:hAnsi="Times"/>
          <w:sz w:val="24"/>
          <w:szCs w:val="24"/>
        </w:rPr>
        <w:t xml:space="preserve"> and use the platform, in accordance with the permissions, restrictions, and other details set out in the subscription solely for the customer’s own business purposes, and subject to the terms and conditions of this agreement.</w:t>
      </w:r>
    </w:p>
    <w:p w14:paraId="28454D44" w14:textId="593D8CCE" w:rsidR="00BD22BE" w:rsidRPr="00A504E2" w:rsidRDefault="00BD22BE" w:rsidP="00C7119E">
      <w:pPr>
        <w:pStyle w:val="Heading3"/>
        <w:numPr>
          <w:ilvl w:val="0"/>
          <w:numId w:val="2"/>
        </w:numPr>
        <w:shd w:val="clear" w:color="auto" w:fill="FFFFFF"/>
        <w:spacing w:before="300" w:after="150" w:line="480" w:lineRule="auto"/>
        <w:rPr>
          <w:rFonts w:ascii="Times" w:hAnsi="Times" w:cs="Times New Roman"/>
          <w:b/>
          <w:bCs/>
          <w:color w:val="333333"/>
        </w:rPr>
      </w:pPr>
      <w:r w:rsidRPr="00A504E2">
        <w:rPr>
          <w:rFonts w:ascii="Times" w:hAnsi="Times" w:cs="Times New Roman"/>
          <w:b/>
          <w:bCs/>
          <w:color w:val="333333"/>
        </w:rPr>
        <w:t>Can I get a warranty or commercial support if I need it?</w:t>
      </w:r>
    </w:p>
    <w:p w14:paraId="10E59A89" w14:textId="624E611C" w:rsidR="005F3B87" w:rsidRPr="00A504E2" w:rsidRDefault="005F3B87" w:rsidP="00C7119E">
      <w:pPr>
        <w:spacing w:line="480" w:lineRule="auto"/>
        <w:rPr>
          <w:rFonts w:ascii="Times" w:hAnsi="Times"/>
          <w:sz w:val="24"/>
          <w:szCs w:val="24"/>
        </w:rPr>
      </w:pPr>
      <w:r w:rsidRPr="00A504E2">
        <w:rPr>
          <w:rFonts w:ascii="Times" w:hAnsi="Times"/>
          <w:sz w:val="24"/>
          <w:szCs w:val="24"/>
        </w:rPr>
        <w:t xml:space="preserve">With </w:t>
      </w:r>
      <w:proofErr w:type="spellStart"/>
      <w:r w:rsidRPr="00A504E2">
        <w:rPr>
          <w:rFonts w:ascii="Times" w:hAnsi="Times"/>
          <w:sz w:val="24"/>
          <w:szCs w:val="24"/>
        </w:rPr>
        <w:t>Wirewax</w:t>
      </w:r>
      <w:proofErr w:type="spellEnd"/>
      <w:r w:rsidRPr="00A504E2">
        <w:rPr>
          <w:rFonts w:ascii="Times" w:hAnsi="Times"/>
          <w:sz w:val="24"/>
          <w:szCs w:val="24"/>
        </w:rPr>
        <w:t xml:space="preserve">, the customer warrants and represents that: “It has full right, power and authority to enter into this agreement either on its own behalf, or via the represented </w:t>
      </w:r>
      <w:r w:rsidR="00ED52C7" w:rsidRPr="00A504E2">
        <w:rPr>
          <w:rFonts w:ascii="Times" w:hAnsi="Times"/>
          <w:sz w:val="24"/>
          <w:szCs w:val="24"/>
        </w:rPr>
        <w:t>completing</w:t>
      </w:r>
      <w:r w:rsidRPr="00A504E2">
        <w:rPr>
          <w:rFonts w:ascii="Times" w:hAnsi="Times"/>
          <w:sz w:val="24"/>
          <w:szCs w:val="24"/>
        </w:rPr>
        <w:t xml:space="preserve"> the subscription on the subscription page. It has the rights, licenses, permits, approvals and clearance </w:t>
      </w:r>
      <w:r w:rsidRPr="00A504E2">
        <w:rPr>
          <w:rFonts w:ascii="Times" w:hAnsi="Times"/>
          <w:sz w:val="24"/>
          <w:szCs w:val="24"/>
        </w:rPr>
        <w:lastRenderedPageBreak/>
        <w:t xml:space="preserve">of </w:t>
      </w:r>
      <w:r w:rsidR="004674E1" w:rsidRPr="00A504E2">
        <w:rPr>
          <w:rFonts w:ascii="Times" w:hAnsi="Times"/>
          <w:sz w:val="24"/>
          <w:szCs w:val="24"/>
        </w:rPr>
        <w:t>third-party</w:t>
      </w:r>
      <w:r w:rsidRPr="00A504E2">
        <w:rPr>
          <w:rFonts w:ascii="Times" w:hAnsi="Times"/>
          <w:sz w:val="24"/>
          <w:szCs w:val="24"/>
        </w:rPr>
        <w:t xml:space="preserve"> rights as required by the laws and as are necessary to perform its obligations under this agreement. The customer data and or customer materials, and its use on the </w:t>
      </w:r>
      <w:r w:rsidR="00ED52C7" w:rsidRPr="00A504E2">
        <w:rPr>
          <w:rFonts w:ascii="Times" w:hAnsi="Times"/>
          <w:sz w:val="24"/>
          <w:szCs w:val="24"/>
        </w:rPr>
        <w:t>platform</w:t>
      </w:r>
      <w:r w:rsidRPr="00A504E2">
        <w:rPr>
          <w:rFonts w:ascii="Times" w:hAnsi="Times"/>
          <w:sz w:val="24"/>
          <w:szCs w:val="24"/>
        </w:rPr>
        <w:t xml:space="preserve"> will not, to the best of its knowledge, infringe the </w:t>
      </w:r>
      <w:r w:rsidR="00ED52C7" w:rsidRPr="00A504E2">
        <w:rPr>
          <w:rFonts w:ascii="Times" w:hAnsi="Times"/>
          <w:sz w:val="24"/>
          <w:szCs w:val="24"/>
        </w:rPr>
        <w:t>statutory</w:t>
      </w:r>
      <w:r w:rsidRPr="00A504E2">
        <w:rPr>
          <w:rFonts w:ascii="Times" w:hAnsi="Times"/>
          <w:sz w:val="24"/>
          <w:szCs w:val="24"/>
        </w:rPr>
        <w:t xml:space="preserve">, common law, or </w:t>
      </w:r>
      <w:r w:rsidR="00ED52C7" w:rsidRPr="00A504E2">
        <w:rPr>
          <w:rFonts w:ascii="Times" w:hAnsi="Times"/>
          <w:sz w:val="24"/>
          <w:szCs w:val="24"/>
        </w:rPr>
        <w:t>intellectual</w:t>
      </w:r>
      <w:r w:rsidRPr="00A504E2">
        <w:rPr>
          <w:rFonts w:ascii="Times" w:hAnsi="Times"/>
          <w:sz w:val="24"/>
          <w:szCs w:val="24"/>
        </w:rPr>
        <w:t xml:space="preserve"> property rights or any other right, title or interest, of any third party, and the same shall not, nor shall it otherwise use the platform or services in a way that could be unlawful, harmful, threatening, defamatory, obscene, indecent, infringing, </w:t>
      </w:r>
      <w:proofErr w:type="spellStart"/>
      <w:r w:rsidRPr="00A504E2">
        <w:rPr>
          <w:rFonts w:ascii="Times" w:hAnsi="Times"/>
          <w:sz w:val="24"/>
          <w:szCs w:val="24"/>
        </w:rPr>
        <w:t>discrim</w:t>
      </w:r>
      <w:r w:rsidR="00ED52C7" w:rsidRPr="00A504E2">
        <w:rPr>
          <w:rFonts w:ascii="Times" w:hAnsi="Times"/>
          <w:sz w:val="24"/>
          <w:szCs w:val="24"/>
        </w:rPr>
        <w:t>itating</w:t>
      </w:r>
      <w:proofErr w:type="spellEnd"/>
      <w:r w:rsidRPr="00A504E2">
        <w:rPr>
          <w:rFonts w:ascii="Times" w:hAnsi="Times"/>
          <w:sz w:val="24"/>
          <w:szCs w:val="24"/>
        </w:rPr>
        <w:t>, hateful</w:t>
      </w:r>
      <w:r w:rsidR="00ED52C7" w:rsidRPr="00A504E2">
        <w:rPr>
          <w:rFonts w:ascii="Times" w:hAnsi="Times"/>
          <w:sz w:val="24"/>
          <w:szCs w:val="24"/>
        </w:rPr>
        <w:t>, abusive, harassing or racially or ethnically offensive, facilitate illegal activity, promote unlawful violence, or be in breach of any confidentiality.</w:t>
      </w:r>
      <w:r w:rsidRPr="00A504E2">
        <w:rPr>
          <w:rFonts w:ascii="Times" w:hAnsi="Times"/>
          <w:sz w:val="24"/>
          <w:szCs w:val="24"/>
        </w:rPr>
        <w:t xml:space="preserve"> </w:t>
      </w:r>
    </w:p>
    <w:p w14:paraId="735CDF0D" w14:textId="4319F973" w:rsidR="005F3B87" w:rsidRPr="00A504E2" w:rsidRDefault="00117D2E" w:rsidP="00C7119E">
      <w:pPr>
        <w:spacing w:line="480" w:lineRule="auto"/>
        <w:rPr>
          <w:rFonts w:ascii="Times" w:eastAsia="Times New Roman" w:hAnsi="Times" w:cs="Times New Roman"/>
          <w:sz w:val="24"/>
          <w:szCs w:val="24"/>
        </w:rPr>
      </w:pPr>
      <w:r w:rsidRPr="00A504E2">
        <w:rPr>
          <w:rFonts w:ascii="Times" w:hAnsi="Times"/>
          <w:sz w:val="24"/>
          <w:szCs w:val="24"/>
        </w:rPr>
        <w:t xml:space="preserve">In addition, the customer of </w:t>
      </w:r>
      <w:proofErr w:type="spellStart"/>
      <w:r w:rsidRPr="00A504E2">
        <w:rPr>
          <w:rFonts w:ascii="Times" w:hAnsi="Times"/>
          <w:sz w:val="24"/>
          <w:szCs w:val="24"/>
        </w:rPr>
        <w:t>Wirewax</w:t>
      </w:r>
      <w:proofErr w:type="spellEnd"/>
      <w:r w:rsidRPr="00A504E2">
        <w:rPr>
          <w:rFonts w:ascii="Times" w:hAnsi="Times"/>
          <w:sz w:val="24"/>
          <w:szCs w:val="24"/>
        </w:rPr>
        <w:t xml:space="preserve"> and the contents they use in accordance with </w:t>
      </w:r>
      <w:proofErr w:type="spellStart"/>
      <w:r w:rsidRPr="00A504E2">
        <w:rPr>
          <w:rFonts w:ascii="Times" w:hAnsi="Times"/>
          <w:sz w:val="24"/>
          <w:szCs w:val="24"/>
        </w:rPr>
        <w:t>Wirewax</w:t>
      </w:r>
      <w:proofErr w:type="spellEnd"/>
      <w:r w:rsidRPr="00A504E2">
        <w:rPr>
          <w:rFonts w:ascii="Times" w:hAnsi="Times"/>
          <w:sz w:val="24"/>
          <w:szCs w:val="24"/>
        </w:rPr>
        <w:t xml:space="preserve"> are protected and commercial support is provided.  </w:t>
      </w:r>
    </w:p>
    <w:p w14:paraId="05B1F2C3" w14:textId="6838F484" w:rsidR="00BD22BE" w:rsidRPr="00A504E2" w:rsidRDefault="00BD22BE" w:rsidP="00C7119E">
      <w:pPr>
        <w:pStyle w:val="Heading3"/>
        <w:numPr>
          <w:ilvl w:val="0"/>
          <w:numId w:val="2"/>
        </w:numPr>
        <w:shd w:val="clear" w:color="auto" w:fill="FFFFFF"/>
        <w:spacing w:before="300" w:after="150" w:line="480" w:lineRule="auto"/>
        <w:rPr>
          <w:rFonts w:ascii="Times" w:hAnsi="Times" w:cs="Times New Roman"/>
          <w:b/>
          <w:bCs/>
          <w:color w:val="333333"/>
        </w:rPr>
      </w:pPr>
      <w:r w:rsidRPr="00A504E2">
        <w:rPr>
          <w:rFonts w:ascii="Times" w:hAnsi="Times" w:cs="Times New Roman"/>
          <w:b/>
          <w:bCs/>
          <w:color w:val="333333"/>
        </w:rPr>
        <w:t>What quality assurance processes exist?</w:t>
      </w:r>
    </w:p>
    <w:p w14:paraId="6C095EBE" w14:textId="5DCE13D1" w:rsidR="00212DB3" w:rsidRPr="00A504E2" w:rsidRDefault="00845369" w:rsidP="00C7119E">
      <w:pPr>
        <w:spacing w:line="480" w:lineRule="auto"/>
        <w:rPr>
          <w:rFonts w:ascii="Times" w:hAnsi="Times"/>
          <w:sz w:val="24"/>
          <w:szCs w:val="24"/>
        </w:rPr>
      </w:pPr>
      <w:r w:rsidRPr="00A504E2">
        <w:rPr>
          <w:rFonts w:ascii="Times" w:hAnsi="Times"/>
          <w:sz w:val="24"/>
          <w:szCs w:val="24"/>
        </w:rPr>
        <w:t xml:space="preserve">The quality assurance process that exists is to establish a working system, implement a management process, conduct a process review, create a process review monthly, perform a process compliance review, identify process improvements as necessary, and create process trainings for new managers. </w:t>
      </w:r>
    </w:p>
    <w:p w14:paraId="16BADA24" w14:textId="3517B000" w:rsidR="00BD22BE" w:rsidRPr="00A504E2" w:rsidRDefault="00BD22BE" w:rsidP="00C7119E">
      <w:pPr>
        <w:pStyle w:val="Heading3"/>
        <w:numPr>
          <w:ilvl w:val="0"/>
          <w:numId w:val="2"/>
        </w:numPr>
        <w:shd w:val="clear" w:color="auto" w:fill="FFFFFF"/>
        <w:spacing w:before="300" w:after="150" w:line="480" w:lineRule="auto"/>
        <w:rPr>
          <w:rFonts w:ascii="Times" w:hAnsi="Times" w:cs="Times New Roman"/>
          <w:b/>
          <w:bCs/>
          <w:color w:val="333333"/>
        </w:rPr>
      </w:pPr>
      <w:r w:rsidRPr="00A504E2">
        <w:rPr>
          <w:rFonts w:ascii="Times" w:hAnsi="Times" w:cs="Times New Roman"/>
          <w:b/>
          <w:bCs/>
          <w:color w:val="333333"/>
        </w:rPr>
        <w:t>How good is the documentation?</w:t>
      </w:r>
    </w:p>
    <w:p w14:paraId="68C7CA5D" w14:textId="57ACEFA4" w:rsidR="005C3B4A" w:rsidRPr="00A504E2" w:rsidRDefault="0088755D" w:rsidP="00C7119E">
      <w:pPr>
        <w:spacing w:line="480" w:lineRule="auto"/>
        <w:rPr>
          <w:rFonts w:ascii="Times" w:hAnsi="Times"/>
          <w:sz w:val="24"/>
          <w:szCs w:val="24"/>
        </w:rPr>
      </w:pPr>
      <w:proofErr w:type="spellStart"/>
      <w:r w:rsidRPr="00A504E2">
        <w:rPr>
          <w:rFonts w:ascii="Times" w:hAnsi="Times"/>
          <w:sz w:val="24"/>
          <w:szCs w:val="24"/>
        </w:rPr>
        <w:t>W</w:t>
      </w:r>
      <w:r w:rsidR="00A91975">
        <w:rPr>
          <w:rFonts w:ascii="Times" w:hAnsi="Times"/>
          <w:sz w:val="24"/>
          <w:szCs w:val="24"/>
        </w:rPr>
        <w:t>ir</w:t>
      </w:r>
      <w:r w:rsidRPr="00A504E2">
        <w:rPr>
          <w:rFonts w:ascii="Times" w:hAnsi="Times"/>
          <w:sz w:val="24"/>
          <w:szCs w:val="24"/>
        </w:rPr>
        <w:t>ewax</w:t>
      </w:r>
      <w:proofErr w:type="spellEnd"/>
      <w:r w:rsidRPr="00A504E2">
        <w:rPr>
          <w:rFonts w:ascii="Times" w:hAnsi="Times"/>
          <w:sz w:val="24"/>
          <w:szCs w:val="24"/>
        </w:rPr>
        <w:t xml:space="preserve"> has good documentation that not only specifies what the software is doing but how the data should be implemented from the customer side. This makes it easy for management. There are manuals and administrator guidelines also provided online and even wiki tutorials for this </w:t>
      </w:r>
      <w:r w:rsidRPr="00A504E2">
        <w:rPr>
          <w:rFonts w:ascii="Times" w:hAnsi="Times"/>
          <w:sz w:val="24"/>
          <w:szCs w:val="24"/>
        </w:rPr>
        <w:lastRenderedPageBreak/>
        <w:t>product if needed.</w:t>
      </w:r>
      <w:r w:rsidR="00A91975">
        <w:rPr>
          <w:rFonts w:ascii="Times" w:hAnsi="Times"/>
          <w:sz w:val="24"/>
          <w:szCs w:val="24"/>
        </w:rPr>
        <w:t xml:space="preserve"> In addition, the popularity of </w:t>
      </w:r>
      <w:proofErr w:type="spellStart"/>
      <w:r w:rsidR="00A91975">
        <w:rPr>
          <w:rFonts w:ascii="Times" w:hAnsi="Times"/>
          <w:sz w:val="24"/>
          <w:szCs w:val="24"/>
        </w:rPr>
        <w:t>Wirewax</w:t>
      </w:r>
      <w:proofErr w:type="spellEnd"/>
      <w:r w:rsidR="00A91975">
        <w:rPr>
          <w:rFonts w:ascii="Times" w:hAnsi="Times"/>
          <w:sz w:val="24"/>
          <w:szCs w:val="24"/>
        </w:rPr>
        <w:t xml:space="preserve"> proves to us as customers that this product is easy to use and will perform to a quality we approve of. </w:t>
      </w:r>
    </w:p>
    <w:p w14:paraId="194F4C81" w14:textId="48218FFA" w:rsidR="00BD22BE" w:rsidRPr="00A504E2" w:rsidRDefault="00BD22BE" w:rsidP="00C7119E">
      <w:pPr>
        <w:pStyle w:val="Heading3"/>
        <w:numPr>
          <w:ilvl w:val="0"/>
          <w:numId w:val="2"/>
        </w:numPr>
        <w:shd w:val="clear" w:color="auto" w:fill="FFFFFF"/>
        <w:spacing w:before="300" w:after="150" w:line="480" w:lineRule="auto"/>
        <w:rPr>
          <w:rFonts w:ascii="Times" w:hAnsi="Times" w:cs="Times New Roman"/>
          <w:b/>
          <w:bCs/>
          <w:color w:val="333333"/>
        </w:rPr>
      </w:pPr>
      <w:r w:rsidRPr="00A504E2">
        <w:rPr>
          <w:rFonts w:ascii="Times" w:hAnsi="Times" w:cs="Times New Roman"/>
          <w:b/>
          <w:bCs/>
          <w:color w:val="333333"/>
        </w:rPr>
        <w:t>How easily can the system be customized to my exact requirements?</w:t>
      </w:r>
    </w:p>
    <w:p w14:paraId="4A9D54BE" w14:textId="0D8B2473" w:rsidR="00D73E07" w:rsidRPr="00A504E2" w:rsidRDefault="002B6DB8" w:rsidP="00C7119E">
      <w:pPr>
        <w:spacing w:line="480" w:lineRule="auto"/>
        <w:rPr>
          <w:rFonts w:ascii="Times" w:hAnsi="Times"/>
          <w:sz w:val="24"/>
          <w:szCs w:val="24"/>
        </w:rPr>
      </w:pPr>
      <w:r w:rsidRPr="00A504E2">
        <w:rPr>
          <w:rFonts w:ascii="Times" w:hAnsi="Times"/>
          <w:sz w:val="24"/>
          <w:szCs w:val="24"/>
        </w:rPr>
        <w:t>This system is extremely customizable as it doesn’t have a strong preset and allows the user to create the UI/UX they desire.</w:t>
      </w:r>
    </w:p>
    <w:p w14:paraId="1236B7E6" w14:textId="10C8DE95" w:rsidR="00BD22BE" w:rsidRPr="00A504E2" w:rsidRDefault="00BD22BE" w:rsidP="00C7119E">
      <w:pPr>
        <w:pStyle w:val="Heading3"/>
        <w:numPr>
          <w:ilvl w:val="0"/>
          <w:numId w:val="2"/>
        </w:numPr>
        <w:shd w:val="clear" w:color="auto" w:fill="FFFFFF"/>
        <w:spacing w:before="300" w:after="150" w:line="480" w:lineRule="auto"/>
        <w:rPr>
          <w:rFonts w:ascii="Times" w:hAnsi="Times" w:cs="Times New Roman"/>
          <w:b/>
          <w:bCs/>
          <w:color w:val="333333"/>
        </w:rPr>
      </w:pPr>
      <w:r w:rsidRPr="00A504E2">
        <w:rPr>
          <w:rFonts w:ascii="Times" w:hAnsi="Times" w:cs="Times New Roman"/>
          <w:b/>
          <w:bCs/>
          <w:color w:val="333333"/>
        </w:rPr>
        <w:t>How is this project governed and how easily can I influence the road map?</w:t>
      </w:r>
    </w:p>
    <w:p w14:paraId="050FC0A4" w14:textId="6B0888C5" w:rsidR="00D73E07" w:rsidRPr="00A504E2" w:rsidRDefault="004774DB" w:rsidP="00C7119E">
      <w:pPr>
        <w:spacing w:line="480" w:lineRule="auto"/>
        <w:rPr>
          <w:rFonts w:ascii="Times" w:hAnsi="Times"/>
          <w:sz w:val="24"/>
          <w:szCs w:val="24"/>
        </w:rPr>
      </w:pPr>
      <w:r>
        <w:rPr>
          <w:rFonts w:ascii="Times" w:hAnsi="Times"/>
          <w:sz w:val="24"/>
          <w:szCs w:val="24"/>
        </w:rPr>
        <w:t xml:space="preserve">This product is going to be governed by the IU Southeast NATS faculty and staff who are trained on the product. The decisions will be made by them as well and any information that needs to be update or corrected on the boards will be done by them. However, our capstone group has the job of installing the boards and first getting it running. This includes learning how to use </w:t>
      </w:r>
      <w:proofErr w:type="spellStart"/>
      <w:r>
        <w:rPr>
          <w:rFonts w:ascii="Times" w:hAnsi="Times"/>
          <w:sz w:val="24"/>
          <w:szCs w:val="24"/>
        </w:rPr>
        <w:t>Wirewax</w:t>
      </w:r>
      <w:proofErr w:type="spellEnd"/>
      <w:r>
        <w:rPr>
          <w:rFonts w:ascii="Times" w:hAnsi="Times"/>
          <w:sz w:val="24"/>
          <w:szCs w:val="24"/>
        </w:rPr>
        <w:t xml:space="preserve"> and then teaching the administration once we figure it out. </w:t>
      </w:r>
    </w:p>
    <w:p w14:paraId="5839AD86" w14:textId="485E0422" w:rsidR="00BD22BE" w:rsidRPr="00A504E2" w:rsidRDefault="00BD22BE" w:rsidP="00C7119E">
      <w:pPr>
        <w:pStyle w:val="Heading3"/>
        <w:numPr>
          <w:ilvl w:val="0"/>
          <w:numId w:val="2"/>
        </w:numPr>
        <w:shd w:val="clear" w:color="auto" w:fill="FFFFFF"/>
        <w:spacing w:before="300" w:after="150" w:line="480" w:lineRule="auto"/>
        <w:rPr>
          <w:rFonts w:ascii="Times" w:hAnsi="Times" w:cs="Times New Roman"/>
          <w:b/>
          <w:bCs/>
          <w:color w:val="333333"/>
        </w:rPr>
      </w:pPr>
      <w:r w:rsidRPr="00A504E2">
        <w:rPr>
          <w:rFonts w:ascii="Times" w:hAnsi="Times" w:cs="Times New Roman"/>
          <w:b/>
          <w:bCs/>
          <w:color w:val="333333"/>
        </w:rPr>
        <w:t>Will the product scale to my enterprise's requirements?</w:t>
      </w:r>
    </w:p>
    <w:p w14:paraId="59D15ACD" w14:textId="2BB2CFE4" w:rsidR="00D73E07" w:rsidRPr="00A504E2" w:rsidRDefault="00E37948" w:rsidP="00C7119E">
      <w:pPr>
        <w:spacing w:line="480" w:lineRule="auto"/>
        <w:rPr>
          <w:rFonts w:ascii="Times" w:hAnsi="Times"/>
          <w:sz w:val="24"/>
          <w:szCs w:val="24"/>
        </w:rPr>
      </w:pPr>
      <w:r>
        <w:rPr>
          <w:rFonts w:ascii="Times" w:hAnsi="Times"/>
          <w:sz w:val="24"/>
          <w:szCs w:val="24"/>
        </w:rPr>
        <w:t xml:space="preserve">The enterprise requirements we have are that we get a product that is easily manageable and within our budget. What really stood out to me about this open source product is that it has a cancellation period called the “14 day cooling off.” If you are a customer, you consent to the immediate start of the service under your subscription from the subscription date and will be </w:t>
      </w:r>
      <w:r w:rsidR="0048741E">
        <w:rPr>
          <w:rFonts w:ascii="Times" w:hAnsi="Times"/>
          <w:sz w:val="24"/>
          <w:szCs w:val="24"/>
        </w:rPr>
        <w:t>entitled</w:t>
      </w:r>
      <w:r>
        <w:rPr>
          <w:rFonts w:ascii="Times" w:hAnsi="Times"/>
          <w:sz w:val="24"/>
          <w:szCs w:val="24"/>
        </w:rPr>
        <w:t xml:space="preserve"> to receive immediate access to the services from the subscription date. You acknowledge that this may affect your right </w:t>
      </w:r>
      <w:r w:rsidR="0048741E">
        <w:rPr>
          <w:rFonts w:ascii="Times" w:hAnsi="Times"/>
          <w:sz w:val="24"/>
          <w:szCs w:val="24"/>
        </w:rPr>
        <w:t>to</w:t>
      </w:r>
      <w:r>
        <w:rPr>
          <w:rFonts w:ascii="Times" w:hAnsi="Times"/>
          <w:sz w:val="24"/>
          <w:szCs w:val="24"/>
        </w:rPr>
        <w:t xml:space="preserve"> cancel under the cooling off period below. The cooling off period states that if you are a customer, you have the right to cancel your paid for subscription </w:t>
      </w:r>
      <w:r>
        <w:rPr>
          <w:rFonts w:ascii="Times" w:hAnsi="Times"/>
          <w:sz w:val="24"/>
          <w:szCs w:val="24"/>
        </w:rPr>
        <w:lastRenderedPageBreak/>
        <w:t>within 14 days from the date on which we confirm acceptance of your subscription. To exercise the right of the cooling off period, you must send an email within the 14 days clearly stating your decision to cancel and the details associated.</w:t>
      </w:r>
      <w:bookmarkStart w:id="0" w:name="_GoBack"/>
      <w:bookmarkEnd w:id="0"/>
    </w:p>
    <w:p w14:paraId="37C2C5A5" w14:textId="47983A5C" w:rsidR="00BD22BE" w:rsidRPr="00A504E2" w:rsidRDefault="00BD22BE" w:rsidP="00C7119E">
      <w:pPr>
        <w:pStyle w:val="Heading3"/>
        <w:numPr>
          <w:ilvl w:val="0"/>
          <w:numId w:val="2"/>
        </w:numPr>
        <w:shd w:val="clear" w:color="auto" w:fill="FFFFFF"/>
        <w:spacing w:before="300" w:after="150" w:line="480" w:lineRule="auto"/>
        <w:rPr>
          <w:rFonts w:ascii="Times" w:hAnsi="Times" w:cs="Times New Roman"/>
          <w:b/>
          <w:bCs/>
          <w:color w:val="333333"/>
        </w:rPr>
      </w:pPr>
      <w:r w:rsidRPr="00A504E2">
        <w:rPr>
          <w:rFonts w:ascii="Times" w:hAnsi="Times" w:cs="Times New Roman"/>
          <w:b/>
          <w:bCs/>
          <w:color w:val="333333"/>
        </w:rPr>
        <w:t>Are there regular security patches?</w:t>
      </w:r>
    </w:p>
    <w:p w14:paraId="3603B4D0" w14:textId="4E49E6AF" w:rsidR="00652C47" w:rsidRPr="00A504E2" w:rsidRDefault="00652C47" w:rsidP="00C7119E">
      <w:pPr>
        <w:spacing w:line="480" w:lineRule="auto"/>
        <w:rPr>
          <w:rFonts w:ascii="Times" w:hAnsi="Times"/>
          <w:sz w:val="24"/>
          <w:szCs w:val="24"/>
        </w:rPr>
      </w:pPr>
      <w:r w:rsidRPr="00A504E2">
        <w:rPr>
          <w:rFonts w:ascii="Times" w:hAnsi="Times"/>
          <w:sz w:val="24"/>
          <w:szCs w:val="24"/>
        </w:rPr>
        <w:t xml:space="preserve">Yes, neither party shall without the consent of the other during the term of this agreement or following its termination use the other party’s “confidential information” (meaning all information in any form which is secret or not </w:t>
      </w:r>
      <w:r w:rsidR="00EE188E" w:rsidRPr="00A504E2">
        <w:rPr>
          <w:rFonts w:ascii="Times" w:hAnsi="Times"/>
          <w:sz w:val="24"/>
          <w:szCs w:val="24"/>
        </w:rPr>
        <w:t>publicly</w:t>
      </w:r>
      <w:r w:rsidRPr="00A504E2">
        <w:rPr>
          <w:rFonts w:ascii="Times" w:hAnsi="Times"/>
          <w:sz w:val="24"/>
          <w:szCs w:val="24"/>
        </w:rPr>
        <w:t xml:space="preserve"> available either in its entirely </w:t>
      </w:r>
      <w:r w:rsidR="00EE188E" w:rsidRPr="00A504E2">
        <w:rPr>
          <w:rFonts w:ascii="Times" w:hAnsi="Times"/>
          <w:sz w:val="24"/>
          <w:szCs w:val="24"/>
        </w:rPr>
        <w:t xml:space="preserve">or in part including commercial, financial, marketing, or technical information, know how, trade secrets, business methods and other information in any form, and only reproductions of such information in any form or any part(s) of this information) for any purpose other than as strictly necessary in connection with this agreement nor disclose to </w:t>
      </w:r>
      <w:r w:rsidR="00FD212F" w:rsidRPr="00A504E2">
        <w:rPr>
          <w:rFonts w:ascii="Times" w:hAnsi="Times"/>
          <w:sz w:val="24"/>
          <w:szCs w:val="24"/>
        </w:rPr>
        <w:t>an</w:t>
      </w:r>
      <w:r w:rsidR="00EE188E" w:rsidRPr="00A504E2">
        <w:rPr>
          <w:rFonts w:ascii="Times" w:hAnsi="Times"/>
          <w:sz w:val="24"/>
          <w:szCs w:val="24"/>
        </w:rPr>
        <w:t xml:space="preserve">y other person unless necessary for the performance of obligations under this agreement. </w:t>
      </w:r>
    </w:p>
    <w:p w14:paraId="327B791D" w14:textId="23EF8942" w:rsidR="00EE188E" w:rsidRPr="00A504E2" w:rsidRDefault="00EE188E" w:rsidP="00C7119E">
      <w:pPr>
        <w:spacing w:line="480" w:lineRule="auto"/>
        <w:rPr>
          <w:rFonts w:ascii="Times" w:hAnsi="Times"/>
          <w:sz w:val="24"/>
          <w:szCs w:val="24"/>
        </w:rPr>
      </w:pPr>
      <w:r w:rsidRPr="00A504E2">
        <w:rPr>
          <w:rFonts w:ascii="Times" w:hAnsi="Times"/>
          <w:sz w:val="24"/>
          <w:szCs w:val="24"/>
        </w:rPr>
        <w:t xml:space="preserve">Any party disclosing confidential information in accordance with the above clause shall procure that the person whom such information is disclosed is made aware of the obligations of </w:t>
      </w:r>
      <w:r w:rsidR="00A72AB5" w:rsidRPr="00A504E2">
        <w:rPr>
          <w:rFonts w:ascii="Times" w:hAnsi="Times"/>
          <w:sz w:val="24"/>
          <w:szCs w:val="24"/>
        </w:rPr>
        <w:t>confidentiality</w:t>
      </w:r>
      <w:r w:rsidRPr="00A504E2">
        <w:rPr>
          <w:rFonts w:ascii="Times" w:hAnsi="Times"/>
          <w:sz w:val="24"/>
          <w:szCs w:val="24"/>
        </w:rPr>
        <w:t xml:space="preserve"> under this agreement and complies with those obligations as if it were a party to this agreement.</w:t>
      </w:r>
    </w:p>
    <w:p w14:paraId="0D7B2071" w14:textId="77777777" w:rsidR="00652C47" w:rsidRPr="00A504E2" w:rsidRDefault="00652C47" w:rsidP="00C7119E">
      <w:pPr>
        <w:spacing w:line="480" w:lineRule="auto"/>
        <w:rPr>
          <w:rFonts w:ascii="Times" w:hAnsi="Times"/>
          <w:sz w:val="24"/>
          <w:szCs w:val="24"/>
        </w:rPr>
      </w:pPr>
    </w:p>
    <w:p w14:paraId="46252E39" w14:textId="77777777" w:rsidR="00BD22BE" w:rsidRPr="00A504E2" w:rsidRDefault="00BD22BE" w:rsidP="00C7119E">
      <w:pPr>
        <w:spacing w:line="480" w:lineRule="auto"/>
        <w:rPr>
          <w:rFonts w:ascii="Times" w:hAnsi="Times" w:cs="Times New Roman"/>
          <w:sz w:val="24"/>
          <w:szCs w:val="24"/>
        </w:rPr>
      </w:pPr>
    </w:p>
    <w:p w14:paraId="1B6B0E09" w14:textId="77777777" w:rsidR="00BD22BE" w:rsidRPr="00A504E2" w:rsidRDefault="00BD22BE" w:rsidP="00C7119E">
      <w:pPr>
        <w:spacing w:line="480" w:lineRule="auto"/>
        <w:rPr>
          <w:rFonts w:ascii="Times" w:hAnsi="Times" w:cs="Times New Roman"/>
          <w:sz w:val="24"/>
          <w:szCs w:val="24"/>
        </w:rPr>
      </w:pPr>
    </w:p>
    <w:sectPr w:rsidR="00BD22BE" w:rsidRPr="00A504E2">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B5C01F" w14:textId="77777777" w:rsidR="00C0128C" w:rsidRDefault="00C0128C" w:rsidP="00DC14FD">
      <w:pPr>
        <w:spacing w:after="0" w:line="240" w:lineRule="auto"/>
      </w:pPr>
      <w:r>
        <w:separator/>
      </w:r>
    </w:p>
  </w:endnote>
  <w:endnote w:type="continuationSeparator" w:id="0">
    <w:p w14:paraId="336EB1F9" w14:textId="77777777" w:rsidR="00C0128C" w:rsidRDefault="00C0128C" w:rsidP="00DC1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6F3B3B" w14:textId="77777777" w:rsidR="00C0128C" w:rsidRDefault="00C0128C" w:rsidP="00DC14FD">
      <w:pPr>
        <w:spacing w:after="0" w:line="240" w:lineRule="auto"/>
      </w:pPr>
      <w:r>
        <w:separator/>
      </w:r>
    </w:p>
  </w:footnote>
  <w:footnote w:type="continuationSeparator" w:id="0">
    <w:p w14:paraId="7787E198" w14:textId="77777777" w:rsidR="00C0128C" w:rsidRDefault="00C0128C" w:rsidP="00DC14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21622674"/>
      <w:docPartObj>
        <w:docPartGallery w:val="Page Numbers (Top of Page)"/>
        <w:docPartUnique/>
      </w:docPartObj>
    </w:sdtPr>
    <w:sdtContent>
      <w:p w14:paraId="0218414C" w14:textId="122B82B4" w:rsidR="00EE5394" w:rsidRDefault="00EE5394" w:rsidP="00D3762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448CD8" w14:textId="77777777" w:rsidR="00076143" w:rsidRDefault="00076143" w:rsidP="00EE539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77666813"/>
      <w:docPartObj>
        <w:docPartGallery w:val="Page Numbers (Top of Page)"/>
        <w:docPartUnique/>
      </w:docPartObj>
    </w:sdtPr>
    <w:sdtContent>
      <w:p w14:paraId="5CE17899" w14:textId="443E9520" w:rsidR="00EE5394" w:rsidRDefault="00EE5394" w:rsidP="00D3762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7744D83A" w14:textId="77777777" w:rsidR="00DC14FD" w:rsidRPr="00ED3E8C" w:rsidRDefault="00DC14FD" w:rsidP="00EE5394">
    <w:pPr>
      <w:pStyle w:val="Header"/>
      <w:ind w:right="360"/>
      <w:jc w:val="center"/>
      <w:rPr>
        <w:rFonts w:ascii="Times New Roman" w:hAnsi="Times New Roman" w:cs="Times New Roman"/>
        <w:b/>
        <w:sz w:val="36"/>
        <w:szCs w:val="36"/>
      </w:rPr>
    </w:pPr>
    <w:r w:rsidRPr="00ED3E8C">
      <w:rPr>
        <w:rFonts w:ascii="Times New Roman" w:hAnsi="Times New Roman" w:cs="Times New Roman"/>
        <w:b/>
        <w:sz w:val="36"/>
        <w:szCs w:val="36"/>
      </w:rPr>
      <w:t>CSCI P445</w:t>
    </w:r>
  </w:p>
  <w:p w14:paraId="27281352" w14:textId="28AA0F50" w:rsidR="00DC14FD" w:rsidRDefault="00DC14FD" w:rsidP="0092201B">
    <w:pPr>
      <w:pStyle w:val="Header"/>
      <w:spacing w:after="4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Open Source Software Selection Report</w:t>
    </w:r>
  </w:p>
  <w:p w14:paraId="4E1EF9C3" w14:textId="77777777" w:rsidR="0092201B" w:rsidRPr="00976F31" w:rsidRDefault="0092201B" w:rsidP="0092201B">
    <w:pPr>
      <w:shd w:val="clear" w:color="auto" w:fill="FFFFFF"/>
      <w:spacing w:after="40" w:line="240" w:lineRule="auto"/>
      <w:jc w:val="center"/>
      <w:outlineLvl w:val="0"/>
      <w:rPr>
        <w:rFonts w:ascii="Times New Roman" w:eastAsia="Times New Roman" w:hAnsi="Times New Roman" w:cs="Times New Roman"/>
        <w:bCs/>
        <w:color w:val="333333"/>
        <w:spacing w:val="-10"/>
        <w:kern w:val="36"/>
        <w:sz w:val="32"/>
        <w:szCs w:val="32"/>
      </w:rPr>
    </w:pPr>
    <w:r w:rsidRPr="00976F31">
      <w:rPr>
        <w:rFonts w:ascii="Times New Roman" w:eastAsia="Times New Roman" w:hAnsi="Times New Roman" w:cs="Times New Roman"/>
        <w:bCs/>
        <w:color w:val="333333"/>
        <w:spacing w:val="-10"/>
        <w:kern w:val="36"/>
        <w:sz w:val="32"/>
        <w:szCs w:val="32"/>
      </w:rPr>
      <w:t xml:space="preserve">Amanda Goodridge, Will </w:t>
    </w:r>
    <w:proofErr w:type="spellStart"/>
    <w:r w:rsidRPr="00976F31">
      <w:rPr>
        <w:rFonts w:ascii="Times New Roman" w:eastAsia="Times New Roman" w:hAnsi="Times New Roman" w:cs="Times New Roman"/>
        <w:bCs/>
        <w:color w:val="333333"/>
        <w:spacing w:val="-10"/>
        <w:kern w:val="36"/>
        <w:sz w:val="32"/>
        <w:szCs w:val="32"/>
      </w:rPr>
      <w:t>Schottler</w:t>
    </w:r>
    <w:proofErr w:type="spellEnd"/>
    <w:r w:rsidRPr="00976F31">
      <w:rPr>
        <w:rFonts w:ascii="Times New Roman" w:eastAsia="Times New Roman" w:hAnsi="Times New Roman" w:cs="Times New Roman"/>
        <w:bCs/>
        <w:color w:val="333333"/>
        <w:spacing w:val="-10"/>
        <w:kern w:val="36"/>
        <w:sz w:val="32"/>
        <w:szCs w:val="32"/>
      </w:rPr>
      <w:t>, Brandon Baugh</w:t>
    </w:r>
  </w:p>
  <w:p w14:paraId="4779FA25" w14:textId="00DEEC96" w:rsidR="00DC14FD" w:rsidRPr="00976F31" w:rsidRDefault="0092201B" w:rsidP="0092201B">
    <w:pPr>
      <w:shd w:val="clear" w:color="auto" w:fill="FFFFFF"/>
      <w:spacing w:after="40" w:line="240" w:lineRule="auto"/>
      <w:jc w:val="center"/>
      <w:outlineLvl w:val="0"/>
      <w:rPr>
        <w:rFonts w:ascii="Times New Roman" w:eastAsia="Times New Roman" w:hAnsi="Times New Roman" w:cs="Times New Roman"/>
        <w:bCs/>
        <w:color w:val="333333"/>
        <w:spacing w:val="-10"/>
        <w:kern w:val="36"/>
        <w:sz w:val="32"/>
        <w:szCs w:val="32"/>
      </w:rPr>
    </w:pPr>
    <w:r w:rsidRPr="00976F31">
      <w:rPr>
        <w:rFonts w:ascii="Times New Roman" w:eastAsia="Times New Roman" w:hAnsi="Times New Roman" w:cs="Times New Roman"/>
        <w:bCs/>
        <w:color w:val="333333"/>
        <w:spacing w:val="-10"/>
        <w:kern w:val="36"/>
        <w:sz w:val="32"/>
        <w:szCs w:val="32"/>
      </w:rPr>
      <w:t>November 9, 2019</w:t>
    </w:r>
  </w:p>
  <w:p w14:paraId="2D7E309D" w14:textId="77777777" w:rsidR="00DC14FD" w:rsidRDefault="00DC14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C60C3"/>
    <w:multiLevelType w:val="hybridMultilevel"/>
    <w:tmpl w:val="F0C2E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1563FB"/>
    <w:multiLevelType w:val="hybridMultilevel"/>
    <w:tmpl w:val="41B2A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2BE"/>
    <w:rsid w:val="00053665"/>
    <w:rsid w:val="00076143"/>
    <w:rsid w:val="00117D2E"/>
    <w:rsid w:val="0014105B"/>
    <w:rsid w:val="001F05D6"/>
    <w:rsid w:val="001F1A1D"/>
    <w:rsid w:val="00212DB3"/>
    <w:rsid w:val="002173F4"/>
    <w:rsid w:val="002B6DB8"/>
    <w:rsid w:val="002E5920"/>
    <w:rsid w:val="00307841"/>
    <w:rsid w:val="003505ED"/>
    <w:rsid w:val="00387285"/>
    <w:rsid w:val="003B788F"/>
    <w:rsid w:val="003E5129"/>
    <w:rsid w:val="004049A0"/>
    <w:rsid w:val="00404A19"/>
    <w:rsid w:val="0042738B"/>
    <w:rsid w:val="004674E1"/>
    <w:rsid w:val="004774DB"/>
    <w:rsid w:val="0048741E"/>
    <w:rsid w:val="00523C75"/>
    <w:rsid w:val="00545E24"/>
    <w:rsid w:val="005A38CD"/>
    <w:rsid w:val="005C3B4A"/>
    <w:rsid w:val="005E47BC"/>
    <w:rsid w:val="005F3B87"/>
    <w:rsid w:val="00615843"/>
    <w:rsid w:val="00640DFA"/>
    <w:rsid w:val="00652C47"/>
    <w:rsid w:val="007370F0"/>
    <w:rsid w:val="00775723"/>
    <w:rsid w:val="00783E64"/>
    <w:rsid w:val="007C2AD4"/>
    <w:rsid w:val="00845369"/>
    <w:rsid w:val="0088755D"/>
    <w:rsid w:val="00891339"/>
    <w:rsid w:val="0092201B"/>
    <w:rsid w:val="00945AA4"/>
    <w:rsid w:val="00976F31"/>
    <w:rsid w:val="00977E98"/>
    <w:rsid w:val="00983F93"/>
    <w:rsid w:val="00A21655"/>
    <w:rsid w:val="00A35393"/>
    <w:rsid w:val="00A504E2"/>
    <w:rsid w:val="00A72AB5"/>
    <w:rsid w:val="00A765F9"/>
    <w:rsid w:val="00A91975"/>
    <w:rsid w:val="00AE59BA"/>
    <w:rsid w:val="00B04647"/>
    <w:rsid w:val="00B17A46"/>
    <w:rsid w:val="00B329C3"/>
    <w:rsid w:val="00B44FA9"/>
    <w:rsid w:val="00BC5D53"/>
    <w:rsid w:val="00BD22BE"/>
    <w:rsid w:val="00C0128C"/>
    <w:rsid w:val="00C7119E"/>
    <w:rsid w:val="00C82990"/>
    <w:rsid w:val="00C93F50"/>
    <w:rsid w:val="00CA2B3A"/>
    <w:rsid w:val="00CA5C12"/>
    <w:rsid w:val="00CE6A49"/>
    <w:rsid w:val="00D0696E"/>
    <w:rsid w:val="00D26D79"/>
    <w:rsid w:val="00D73E07"/>
    <w:rsid w:val="00DC14FD"/>
    <w:rsid w:val="00DE5101"/>
    <w:rsid w:val="00E0555E"/>
    <w:rsid w:val="00E24423"/>
    <w:rsid w:val="00E32C72"/>
    <w:rsid w:val="00E37948"/>
    <w:rsid w:val="00E879CF"/>
    <w:rsid w:val="00EB6C24"/>
    <w:rsid w:val="00ED52C7"/>
    <w:rsid w:val="00EE188E"/>
    <w:rsid w:val="00EE5394"/>
    <w:rsid w:val="00F10FF8"/>
    <w:rsid w:val="00F63657"/>
    <w:rsid w:val="00FD0C5E"/>
    <w:rsid w:val="00FD2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288A4"/>
  <w15:chartTrackingRefBased/>
  <w15:docId w15:val="{E173AEFB-4D3C-4A1D-8037-96C8C47C9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BD22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BD22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2B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D22BE"/>
    <w:pPr>
      <w:ind w:left="720"/>
      <w:contextualSpacing/>
    </w:pPr>
  </w:style>
  <w:style w:type="character" w:customStyle="1" w:styleId="Heading3Char">
    <w:name w:val="Heading 3 Char"/>
    <w:basedOn w:val="DefaultParagraphFont"/>
    <w:link w:val="Heading3"/>
    <w:uiPriority w:val="9"/>
    <w:rsid w:val="00BD22BE"/>
    <w:rPr>
      <w:rFonts w:asciiTheme="majorHAnsi" w:eastAsiaTheme="majorEastAsia" w:hAnsiTheme="majorHAnsi" w:cstheme="majorBidi"/>
      <w:color w:val="1F3763" w:themeColor="accent1" w:themeShade="7F"/>
      <w:sz w:val="24"/>
      <w:szCs w:val="24"/>
    </w:rPr>
  </w:style>
  <w:style w:type="character" w:customStyle="1" w:styleId="apple-converted-space">
    <w:name w:val="apple-converted-space"/>
    <w:basedOn w:val="DefaultParagraphFont"/>
    <w:rsid w:val="00BD22BE"/>
  </w:style>
  <w:style w:type="character" w:styleId="Hyperlink">
    <w:name w:val="Hyperlink"/>
    <w:basedOn w:val="DefaultParagraphFont"/>
    <w:uiPriority w:val="99"/>
    <w:unhideWhenUsed/>
    <w:rsid w:val="00BD22BE"/>
    <w:rPr>
      <w:color w:val="0563C1" w:themeColor="hyperlink"/>
      <w:u w:val="single"/>
    </w:rPr>
  </w:style>
  <w:style w:type="character" w:styleId="Mention">
    <w:name w:val="Mention"/>
    <w:basedOn w:val="DefaultParagraphFont"/>
    <w:uiPriority w:val="99"/>
    <w:semiHidden/>
    <w:unhideWhenUsed/>
    <w:rsid w:val="00BD22BE"/>
    <w:rPr>
      <w:color w:val="2B579A"/>
      <w:shd w:val="clear" w:color="auto" w:fill="E6E6E6"/>
    </w:rPr>
  </w:style>
  <w:style w:type="paragraph" w:styleId="Header">
    <w:name w:val="header"/>
    <w:basedOn w:val="Normal"/>
    <w:link w:val="HeaderChar"/>
    <w:unhideWhenUsed/>
    <w:rsid w:val="00DC14FD"/>
    <w:pPr>
      <w:tabs>
        <w:tab w:val="center" w:pos="4680"/>
        <w:tab w:val="right" w:pos="9360"/>
      </w:tabs>
      <w:spacing w:after="0" w:line="240" w:lineRule="auto"/>
    </w:pPr>
  </w:style>
  <w:style w:type="character" w:customStyle="1" w:styleId="HeaderChar">
    <w:name w:val="Header Char"/>
    <w:basedOn w:val="DefaultParagraphFont"/>
    <w:link w:val="Header"/>
    <w:rsid w:val="00DC14FD"/>
  </w:style>
  <w:style w:type="paragraph" w:styleId="Footer">
    <w:name w:val="footer"/>
    <w:basedOn w:val="Normal"/>
    <w:link w:val="FooterChar"/>
    <w:uiPriority w:val="99"/>
    <w:unhideWhenUsed/>
    <w:rsid w:val="00DC14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4FD"/>
  </w:style>
  <w:style w:type="character" w:styleId="FollowedHyperlink">
    <w:name w:val="FollowedHyperlink"/>
    <w:basedOn w:val="DefaultParagraphFont"/>
    <w:uiPriority w:val="99"/>
    <w:semiHidden/>
    <w:unhideWhenUsed/>
    <w:rsid w:val="00307841"/>
    <w:rPr>
      <w:color w:val="954F72" w:themeColor="followedHyperlink"/>
      <w:u w:val="single"/>
    </w:rPr>
  </w:style>
  <w:style w:type="character" w:customStyle="1" w:styleId="text-line">
    <w:name w:val="text-line"/>
    <w:basedOn w:val="DefaultParagraphFont"/>
    <w:rsid w:val="003B788F"/>
  </w:style>
  <w:style w:type="character" w:styleId="PageNumber">
    <w:name w:val="page number"/>
    <w:basedOn w:val="DefaultParagraphFont"/>
    <w:uiPriority w:val="99"/>
    <w:semiHidden/>
    <w:unhideWhenUsed/>
    <w:rsid w:val="00EE53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04866">
      <w:bodyDiv w:val="1"/>
      <w:marLeft w:val="0"/>
      <w:marRight w:val="0"/>
      <w:marTop w:val="0"/>
      <w:marBottom w:val="0"/>
      <w:divBdr>
        <w:top w:val="none" w:sz="0" w:space="0" w:color="auto"/>
        <w:left w:val="none" w:sz="0" w:space="0" w:color="auto"/>
        <w:bottom w:val="none" w:sz="0" w:space="0" w:color="auto"/>
        <w:right w:val="none" w:sz="0" w:space="0" w:color="auto"/>
      </w:divBdr>
    </w:div>
    <w:div w:id="57440552">
      <w:bodyDiv w:val="1"/>
      <w:marLeft w:val="0"/>
      <w:marRight w:val="0"/>
      <w:marTop w:val="0"/>
      <w:marBottom w:val="0"/>
      <w:divBdr>
        <w:top w:val="none" w:sz="0" w:space="0" w:color="auto"/>
        <w:left w:val="none" w:sz="0" w:space="0" w:color="auto"/>
        <w:bottom w:val="none" w:sz="0" w:space="0" w:color="auto"/>
        <w:right w:val="none" w:sz="0" w:space="0" w:color="auto"/>
      </w:divBdr>
    </w:div>
    <w:div w:id="126045530">
      <w:bodyDiv w:val="1"/>
      <w:marLeft w:val="0"/>
      <w:marRight w:val="0"/>
      <w:marTop w:val="0"/>
      <w:marBottom w:val="0"/>
      <w:divBdr>
        <w:top w:val="none" w:sz="0" w:space="0" w:color="auto"/>
        <w:left w:val="none" w:sz="0" w:space="0" w:color="auto"/>
        <w:bottom w:val="none" w:sz="0" w:space="0" w:color="auto"/>
        <w:right w:val="none" w:sz="0" w:space="0" w:color="auto"/>
      </w:divBdr>
    </w:div>
    <w:div w:id="199441760">
      <w:bodyDiv w:val="1"/>
      <w:marLeft w:val="0"/>
      <w:marRight w:val="0"/>
      <w:marTop w:val="0"/>
      <w:marBottom w:val="0"/>
      <w:divBdr>
        <w:top w:val="none" w:sz="0" w:space="0" w:color="auto"/>
        <w:left w:val="none" w:sz="0" w:space="0" w:color="auto"/>
        <w:bottom w:val="none" w:sz="0" w:space="0" w:color="auto"/>
        <w:right w:val="none" w:sz="0" w:space="0" w:color="auto"/>
      </w:divBdr>
    </w:div>
    <w:div w:id="299385939">
      <w:bodyDiv w:val="1"/>
      <w:marLeft w:val="0"/>
      <w:marRight w:val="0"/>
      <w:marTop w:val="0"/>
      <w:marBottom w:val="0"/>
      <w:divBdr>
        <w:top w:val="none" w:sz="0" w:space="0" w:color="auto"/>
        <w:left w:val="none" w:sz="0" w:space="0" w:color="auto"/>
        <w:bottom w:val="none" w:sz="0" w:space="0" w:color="auto"/>
        <w:right w:val="none" w:sz="0" w:space="0" w:color="auto"/>
      </w:divBdr>
    </w:div>
    <w:div w:id="606039071">
      <w:bodyDiv w:val="1"/>
      <w:marLeft w:val="0"/>
      <w:marRight w:val="0"/>
      <w:marTop w:val="0"/>
      <w:marBottom w:val="0"/>
      <w:divBdr>
        <w:top w:val="none" w:sz="0" w:space="0" w:color="auto"/>
        <w:left w:val="none" w:sz="0" w:space="0" w:color="auto"/>
        <w:bottom w:val="none" w:sz="0" w:space="0" w:color="auto"/>
        <w:right w:val="none" w:sz="0" w:space="0" w:color="auto"/>
      </w:divBdr>
    </w:div>
    <w:div w:id="801849897">
      <w:bodyDiv w:val="1"/>
      <w:marLeft w:val="0"/>
      <w:marRight w:val="0"/>
      <w:marTop w:val="0"/>
      <w:marBottom w:val="0"/>
      <w:divBdr>
        <w:top w:val="none" w:sz="0" w:space="0" w:color="auto"/>
        <w:left w:val="none" w:sz="0" w:space="0" w:color="auto"/>
        <w:bottom w:val="none" w:sz="0" w:space="0" w:color="auto"/>
        <w:right w:val="none" w:sz="0" w:space="0" w:color="auto"/>
      </w:divBdr>
    </w:div>
    <w:div w:id="975642453">
      <w:bodyDiv w:val="1"/>
      <w:marLeft w:val="0"/>
      <w:marRight w:val="0"/>
      <w:marTop w:val="0"/>
      <w:marBottom w:val="0"/>
      <w:divBdr>
        <w:top w:val="none" w:sz="0" w:space="0" w:color="auto"/>
        <w:left w:val="none" w:sz="0" w:space="0" w:color="auto"/>
        <w:bottom w:val="none" w:sz="0" w:space="0" w:color="auto"/>
        <w:right w:val="none" w:sz="0" w:space="0" w:color="auto"/>
      </w:divBdr>
    </w:div>
    <w:div w:id="1548757636">
      <w:bodyDiv w:val="1"/>
      <w:marLeft w:val="0"/>
      <w:marRight w:val="0"/>
      <w:marTop w:val="0"/>
      <w:marBottom w:val="0"/>
      <w:divBdr>
        <w:top w:val="none" w:sz="0" w:space="0" w:color="auto"/>
        <w:left w:val="none" w:sz="0" w:space="0" w:color="auto"/>
        <w:bottom w:val="none" w:sz="0" w:space="0" w:color="auto"/>
        <w:right w:val="none" w:sz="0" w:space="0" w:color="auto"/>
      </w:divBdr>
    </w:div>
    <w:div w:id="1575161476">
      <w:bodyDiv w:val="1"/>
      <w:marLeft w:val="0"/>
      <w:marRight w:val="0"/>
      <w:marTop w:val="0"/>
      <w:marBottom w:val="0"/>
      <w:divBdr>
        <w:top w:val="none" w:sz="0" w:space="0" w:color="auto"/>
        <w:left w:val="none" w:sz="0" w:space="0" w:color="auto"/>
        <w:bottom w:val="none" w:sz="0" w:space="0" w:color="auto"/>
        <w:right w:val="none" w:sz="0" w:space="0" w:color="auto"/>
      </w:divBdr>
    </w:div>
    <w:div w:id="1744597961">
      <w:bodyDiv w:val="1"/>
      <w:marLeft w:val="0"/>
      <w:marRight w:val="0"/>
      <w:marTop w:val="0"/>
      <w:marBottom w:val="0"/>
      <w:divBdr>
        <w:top w:val="none" w:sz="0" w:space="0" w:color="auto"/>
        <w:left w:val="none" w:sz="0" w:space="0" w:color="auto"/>
        <w:bottom w:val="none" w:sz="0" w:space="0" w:color="auto"/>
        <w:right w:val="none" w:sz="0" w:space="0" w:color="auto"/>
      </w:divBdr>
    </w:div>
    <w:div w:id="1851215326">
      <w:bodyDiv w:val="1"/>
      <w:marLeft w:val="0"/>
      <w:marRight w:val="0"/>
      <w:marTop w:val="0"/>
      <w:marBottom w:val="0"/>
      <w:divBdr>
        <w:top w:val="none" w:sz="0" w:space="0" w:color="auto"/>
        <w:left w:val="none" w:sz="0" w:space="0" w:color="auto"/>
        <w:bottom w:val="none" w:sz="0" w:space="0" w:color="auto"/>
        <w:right w:val="none" w:sz="0" w:space="0" w:color="auto"/>
      </w:divBdr>
    </w:div>
    <w:div w:id="212140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1141</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Finkbine</dc:creator>
  <cp:keywords/>
  <dc:description/>
  <cp:lastModifiedBy>Goodridge, Amanda Morgan</cp:lastModifiedBy>
  <cp:revision>201</cp:revision>
  <dcterms:created xsi:type="dcterms:W3CDTF">2017-03-30T01:34:00Z</dcterms:created>
  <dcterms:modified xsi:type="dcterms:W3CDTF">2019-11-09T18:53:00Z</dcterms:modified>
</cp:coreProperties>
</file>