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864C7" w14:textId="03D7FAE7" w:rsidR="00B47D93" w:rsidRDefault="00EE6BA4">
      <w:r>
        <w:t>35 000</w:t>
      </w:r>
    </w:p>
    <w:p w14:paraId="5679039A" w14:textId="77777777" w:rsidR="00EE6BA4" w:rsidRDefault="00EE6BA4"/>
    <w:p w14:paraId="000764E7" w14:textId="254965E4" w:rsidR="00EE6BA4" w:rsidRDefault="00EE6BA4">
      <w:r w:rsidRPr="00EE6BA4">
        <w:t xml:space="preserve">Лимитированные мужские часы Casio </w:t>
      </w:r>
      <w:proofErr w:type="spellStart"/>
      <w:r w:rsidRPr="00EE6BA4">
        <w:t>Edifice</w:t>
      </w:r>
      <w:proofErr w:type="spellEnd"/>
      <w:r w:rsidRPr="00EE6BA4">
        <w:t xml:space="preserve"> ECB-2000HR-1A из коллекции </w:t>
      </w:r>
      <w:proofErr w:type="spellStart"/>
      <w:r w:rsidRPr="00EE6BA4">
        <w:t>Sospensione</w:t>
      </w:r>
      <w:proofErr w:type="spellEnd"/>
      <w:r w:rsidRPr="00EE6BA4">
        <w:t xml:space="preserve">, созданные в коллаборации с гоночным подразделением Honda Racing Corporation (HRC). Модель выполнена в культовой трехцветной гамме HRC (красный, синий, белый) с корпусом из карбона и ремешком из премиальной алькантары, украшенным лазерной гравировкой клапана и шатуна гоночного двигателя Honda. Часы оснащены сапфировым стеклом с </w:t>
      </w:r>
      <w:proofErr w:type="spellStart"/>
      <w:r w:rsidRPr="00EE6BA4">
        <w:t>антибликом</w:t>
      </w:r>
      <w:proofErr w:type="spellEnd"/>
      <w:r w:rsidRPr="00EE6BA4">
        <w:t xml:space="preserve">, технологией </w:t>
      </w:r>
      <w:proofErr w:type="spellStart"/>
      <w:r w:rsidRPr="00EE6BA4">
        <w:t>Tough</w:t>
      </w:r>
      <w:proofErr w:type="spellEnd"/>
      <w:r w:rsidRPr="00EE6BA4">
        <w:t xml:space="preserve"> </w:t>
      </w:r>
      <w:proofErr w:type="spellStart"/>
      <w:r w:rsidRPr="00EE6BA4">
        <w:t>Solar</w:t>
      </w:r>
      <w:proofErr w:type="spellEnd"/>
      <w:r w:rsidRPr="00EE6BA4">
        <w:t xml:space="preserve"> для подзарядки от любого источника света, Bluetooth синхронизацией со смартфоном для автоматической коррекции времени, мировым временем (38 часовых поясов), секундомером 1/100 сек с передачей данных в приложение, таймером обратного отсчета с ретроградным индикатором на "9 часах", 5 будильниками и двойной LED-подсветкой Super </w:t>
      </w:r>
      <w:proofErr w:type="spellStart"/>
      <w:r w:rsidRPr="00EE6BA4">
        <w:t>Illuminator</w:t>
      </w:r>
      <w:proofErr w:type="spellEnd"/>
      <w:r w:rsidRPr="00EE6BA4">
        <w:t xml:space="preserve">. Уникальный дизайн корпуса в стиле подвески гоночного болида, </w:t>
      </w:r>
      <w:proofErr w:type="spellStart"/>
      <w:r w:rsidRPr="00EE6BA4">
        <w:t>водозащита</w:t>
      </w:r>
      <w:proofErr w:type="spellEnd"/>
      <w:r w:rsidRPr="00EE6BA4">
        <w:t xml:space="preserve"> 100 м и полный автоматический календарь до 2099 года. Идеальный выбор для коллекционеров, поклонников автоспорта и ценителей эксклюзивного технологичного дизайна.</w:t>
      </w:r>
    </w:p>
    <w:sectPr w:rsidR="00EE6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93"/>
    <w:rsid w:val="00B47D93"/>
    <w:rsid w:val="00E22712"/>
    <w:rsid w:val="00EE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74CC2"/>
  <w15:chartTrackingRefBased/>
  <w15:docId w15:val="{689576E5-3016-4F0D-A39E-0174DAD0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D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D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D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D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D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D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D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D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D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D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2026-04-09T15:43:00Z</dcterms:created>
  <dcterms:modified xsi:type="dcterms:W3CDTF">2026-04-09T15:44:00Z</dcterms:modified>
</cp:coreProperties>
</file>