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Diagramas de casos de uso y de proceso</w:t>
      </w:r>
    </w:p>
    <w:p>
      <w:r>
        <w:t xml:space="preserve">Proyecto PARKIA — Sistema de gestión de estacionamiento</w:t>
      </w:r>
    </w:p>
    <w:p>
      <w:r>
        <w:t xml:space="preserve">Est. Carlos Javier Alanoca Siles</w:t>
      </w:r>
    </w:p>
    <w:p>
      <w:r>
        <w:t xml:space="preserve">Materia: Sistemas de Información</w:t>
      </w:r>
    </w:p>
    <w:p>
      <w:r>
        <w:t xml:space="preserve"/>
      </w:r>
    </w:p>
    <w:p>
      <w:r>
        <w:t xml:space="preserve">Alcance: Módulo 4 (control de ingreso y salida por placa) y módulo 5 (gestión de zonas, plazas y cámaras).</w:t>
      </w:r>
    </w:p>
    <w:p>
      <w:r>
        <w:t xml:space="preserve">Se entregan 8 diagramas: 2 de casos de uso y 3 procesos en doble notación (UML de actividad y BPMN 2.0), porque el enunciado no precisa cuál de las dos exige la cátedra.</w:t>
      </w:r>
    </w:p>
    <w:p>
      <w:r>
        <w:t xml:space="preserve"/>
      </w:r>
    </w:p>
    <w:p>
      <w:r>
        <w:t xml:space="preserve">Restricciones del sistema respetadas en todos los diagramas:</w:t>
      </w:r>
    </w:p>
    <w:p>
      <w:r>
        <w:t xml:space="preserve">RNF-09 — Una lectura de placa incierta nunca autoriza el acceso de forma automática; se escala a validación manual.</w:t>
      </w:r>
    </w:p>
    <w:p>
      <w:r>
        <w:t xml:space="preserve">RNF-10 — No se emplea reconocimiento facial ni biometría del conductor; la validación manual es por inspección física de la placa.</w:t>
      </w:r>
    </w:p>
    <w:p>
      <w:r>
        <w:t xml:space="preserve"/>
      </w:r>
    </w:p>
    <w:p>
      <w:r>
        <w:t xml:space="preserve">No se incluye el proceso de detección de ocupación, por corresponder al módulo 6.</w:t>
      </w:r>
    </w:p>
    <w:p>
      <w:r>
        <w:br w:type="page"/>
      </w:r>
    </w:p>
    <w:p>
      <w:pPr>
        <w:pStyle w:val="Heading1"/>
      </w:pPr>
      <w:r>
        <w:t xml:space="preserve">DCU-1. Diagrama de casos de uso de alto nivel</w:t>
      </w:r>
    </w:p>
    <w:p>
      <w:r>
        <w:t xml:space="preserve">Casos de uso del módulo 4 (CU-04): control de ingreso y salida de vehículos por lectura de placa. El flujo principal captura la imagen, reconoce la placa, verifica el nivel de confianza de la lectura y la compara con las autorizaciones vigentes. Si la lectura es incierta se escala a validación manual, nunca a autorización automática.</w:t>
      </w:r>
    </w:p>
    <w:p>
      <w:r>
        <w:t xml:space="preserve">Requisitos: RF-14, RF-15, RF-16, RF-17, RF-18, RF-19 · RNF-08, RNF-09, RNF-10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760000" cy="3438806"/>
            <wp:effectExtent l="0" t="0" r="0" b="0"/>
            <wp:docPr id="1" name="DCU-1" descr="DCU-1. Diagrama de casos de uso de alto ni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CU-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3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1. DCU-1. Diagrama de casos de uso de alto nivel.</w:t>
      </w:r>
    </w:p>
    <w:p>
      <w:r>
        <w:br w:type="page"/>
      </w:r>
    </w:p>
    <w:p>
      <w:pPr>
        <w:pStyle w:val="Heading1"/>
      </w:pPr>
      <w:r>
        <w:t xml:space="preserve">DCU-2. Diagrama de casos de uso de alto nivel</w:t>
      </w:r>
    </w:p>
    <w:p>
      <w:r>
        <w:t xml:space="preserve">Casos de uso del módulo 5 (CU-05): gestión de zonas, plazas, cámaras y tarifario. La administración de la configuración se modela como caso agregado que incluye el alta de zonas, plazas, cámaras y tarifario, y que deja todo cambio auditado.</w:t>
      </w:r>
    </w:p>
    <w:p>
      <w:r>
        <w:t xml:space="preserve">Requisitos: RF-20, RF-21, RF-22, RF-23, RF-24 · RNF-11, RNF-12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760000" cy="2652632"/>
            <wp:effectExtent l="0" t="0" r="0" b="0"/>
            <wp:docPr id="2" name="DCU-2" descr="DCU-2. Diagrama de casos de uso de alto ni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CU-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2. DCU-2. Diagrama de casos de uso de alto nivel.</w:t>
      </w:r>
    </w:p>
    <w:p>
      <w:r>
        <w:br w:type="page"/>
      </w:r>
    </w:p>
    <w:p>
      <w:pPr>
        <w:pStyle w:val="Heading1"/>
      </w:pPr>
      <w:r>
        <w:t xml:space="preserve">DPR-1a. Proceso de acceso por placa (UML de actividad)</w:t>
      </w:r>
    </w:p>
    <w:p>
      <w:r>
        <w:t xml:space="preserve">Proceso completo del acceso por placa en notación UML de actividad, con carriles de responsabilidad. Se observa la distinción entre lectura válida, lectura incierta y autorización vigente.</w:t>
      </w:r>
    </w:p>
    <w:p>
      <w:r>
        <w:t xml:space="preserve">Requisitos: RF-14 a RF-19 · RNF-08 a RNF-10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760000" cy="6543360"/>
            <wp:effectExtent l="0" t="0" r="0" b="0"/>
            <wp:docPr id="3" name="DPR-1a" descr="DPR-1a. Proceso de acceso por placa (UML de activida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PR-1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4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3. DPR-1a. Proceso de acceso por placa (UML de actividad).</w:t>
      </w:r>
    </w:p>
    <w:p>
      <w:r>
        <w:br w:type="page"/>
      </w:r>
    </w:p>
    <w:p>
      <w:pPr>
        <w:pStyle w:val="Heading1"/>
      </w:pPr>
      <w:r>
        <w:t xml:space="preserve">DPR-1b. Proceso de acceso por placa (BPMN 2.0)</w:t>
      </w:r>
    </w:p>
    <w:p>
      <w:r>
        <w:t xml:space="preserve">El mismo proceso de DPR-1a en notación BPMN 2.0, con pool, carriles, compuertas exclusivas y condiciones en los flujos de secuencia. Se incluye por si la cátedra exige BPMN.</w:t>
      </w:r>
    </w:p>
    <w:p>
      <w:r>
        <w:t xml:space="preserve">Requisitos: RF-14 a RF-19 · RNF-08 a RNF-10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760000" cy="6635520"/>
            <wp:effectExtent l="0" t="0" r="0" b="0"/>
            <wp:docPr id="4" name="DPR-1b" descr="DPR-1b. Proceso de acceso por placa (BPMN 2.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PR-1b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4. DPR-1b. Proceso de acceso por placa (BPMN 2.0).</w:t>
      </w:r>
    </w:p>
    <w:p>
      <w:r>
        <w:br w:type="page"/>
      </w:r>
    </w:p>
    <w:p>
      <w:pPr>
        <w:pStyle w:val="Heading1"/>
      </w:pPr>
      <w:r>
        <w:t xml:space="preserve">DPR-2a. Proceso de gestión de zonas, plazas y cámaras (UML de actividad)</w:t>
      </w:r>
    </w:p>
    <w:p>
      <w:r>
        <w:t xml:space="preserve">Proceso de configuración del estacionamiento en UML de actividad. Incluye el camino de ocupación en tiempo real que alimenta el sensor IoT de plaza, y la publicación de la disponibilidad al panel y a la app.</w:t>
      </w:r>
    </w:p>
    <w:p>
      <w:r>
        <w:t xml:space="preserve">Requisitos: RF-20 a RF-24 · RNF-11, RNF-12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760000" cy="6786977"/>
            <wp:effectExtent l="0" t="0" r="0" b="0"/>
            <wp:docPr id="5" name="DPR-2a" descr="DPR-2a. Proceso de gestión de zonas, plazas y cámaras (UML de activida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PR-2a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8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5. DPR-2a. Proceso de gestión de zonas, plazas y cámaras (UML de actividad).</w:t>
      </w:r>
    </w:p>
    <w:p>
      <w:r>
        <w:br w:type="page"/>
      </w:r>
    </w:p>
    <w:p>
      <w:pPr>
        <w:pStyle w:val="Heading1"/>
      </w:pPr>
      <w:r>
        <w:t xml:space="preserve">DPR-2b. Proceso de gestión de zonas, plazas y cámaras (BPMN 2.0)</w:t>
      </w:r>
    </w:p>
    <w:p>
      <w:r>
        <w:t xml:space="preserve">El mismo proceso de DPR-2a en notación BPMN 2.0.</w:t>
      </w:r>
    </w:p>
    <w:p>
      <w:r>
        <w:t xml:space="preserve">Requisitos: RF-20 a RF-24 · RNF-11, RNF-12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760000" cy="6786977"/>
            <wp:effectExtent l="0" t="0" r="0" b="0"/>
            <wp:docPr id="6" name="DPR-2b" descr="DPR-2b. Proceso de gestión de zonas, plazas y cámaras (BPMN 2.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PR-2b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8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6. DPR-2b. Proceso de gestión de zonas, plazas y cámaras (BPMN 2.0).</w:t>
      </w:r>
    </w:p>
    <w:p>
      <w:r>
        <w:br w:type="page"/>
      </w:r>
    </w:p>
    <w:p>
      <w:pPr>
        <w:pStyle w:val="Heading1"/>
      </w:pPr>
      <w:r>
        <w:t xml:space="preserve">DPR-3a. Proceso de validación manual excepcional (UML de actividad)</w:t>
      </w:r>
    </w:p>
    <w:p>
      <w:r>
        <w:t xml:space="preserve">Detalle de la excepción por lectura incierta en UML de actividad. Si el guardia no verifica la placa dentro del tiempo límite, el evento escala a jefatura de seguridad y se registra como incidencia.</w:t>
      </w:r>
    </w:p>
    <w:p>
      <w:r>
        <w:t xml:space="preserve">Requisitos: RF-19 · RNF-09, RNF-10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760000" cy="7696552"/>
            <wp:effectExtent l="0" t="0" r="0" b="0"/>
            <wp:docPr id="7" name="DPR-3a" descr="DPR-3a. Proceso de validación manual excepcional (UML de activida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PR-3a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9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7. DPR-3a. Proceso de validación manual excepcional (UML de actividad).</w:t>
      </w:r>
    </w:p>
    <w:p>
      <w:r>
        <w:br w:type="page"/>
      </w:r>
    </w:p>
    <w:p>
      <w:pPr>
        <w:pStyle w:val="Heading1"/>
      </w:pPr>
      <w:r>
        <w:t xml:space="preserve">DPR-3b. Proceso de validación manual excepcional (BPMN 2.0)</w:t>
      </w:r>
    </w:p>
    <w:p>
      <w:r>
        <w:t xml:space="preserve">El mismo proceso de DPR-3a en notación BPMN 2.0.</w:t>
      </w:r>
    </w:p>
    <w:p>
      <w:r>
        <w:t xml:space="preserve">Requisitos: RF-19 · RNF-09, RNF-10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760000" cy="7696552"/>
            <wp:effectExtent l="0" t="0" r="0" b="0"/>
            <wp:docPr id="8" name="DPR-3b" descr="DPR-3b. Proceso de validación manual excepcional (BPMN 2.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PR-3b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9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8. DPR-3b. Proceso de validación manual excepcional (BPMN 2.0).</w:t>
      </w:r>
    </w:p>
    <w:sectPr>
      <w:pgSz w:w="11906" w:h="16838"/>
      <w:pgMar w:top="1418" w:right="1418" w:bottom="1418" w:left="1418" w:header="709" w:footer="709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cs="Calibri"/>
        <w:sz w:val="22"/>
        <w:lang w:val="es-PE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40"/>
    </w:pPr>
    <w:rPr>
      <w:b/>
      <w:sz w:val="52"/>
      <w:color w:val="0B2545"/>
    </w:rPr>
  </w:style>
  <w:style w:type="paragraph" w:styleId="Heading1">
    <w:name w:val="heading 1"/>
    <w:basedOn w:val="Normal"/>
    <w:next w:val="Normal"/>
    <w:qFormat/>
    <w:pPr>
      <w:outlineLvl w:val="0"/>
      <w:spacing w:before="240" w:after="120"/>
      <w:pBdr>
        <w:bottom w:val="single" w:sz="6" w:space="4" w:color="0C3F73"/>
      </w:pBdr>
    </w:pPr>
    <w:rPr>
      <w:b/>
      <w:sz w:val="32"/>
      <w:color w:val="0C3F73"/>
    </w:rPr>
  </w:style>
  <w:style w:type="paragraph" w:styleId="Caption">
    <w:name w:val="caption"/>
    <w:basedOn w:val="Normal"/>
    <w:qFormat/>
    <w:pPr>
      <w:jc w:val="center"/>
      <w:spacing w:before="80"/>
    </w:pPr>
    <w:rPr>
      <w:i/>
      <w:sz w:val="18"/>
      <w:color w:val="5B6B7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10" Type="http://schemas.openxmlformats.org/officeDocument/2006/relationships/image" Target="media/DCU-1.png"/>
<Relationship Id="rId11" Type="http://schemas.openxmlformats.org/officeDocument/2006/relationships/image" Target="media/DCU-2.png"/>
<Relationship Id="rId12" Type="http://schemas.openxmlformats.org/officeDocument/2006/relationships/image" Target="media/DPR-1a.png"/>
<Relationship Id="rId13" Type="http://schemas.openxmlformats.org/officeDocument/2006/relationships/image" Target="media/DPR-1b.png"/>
<Relationship Id="rId14" Type="http://schemas.openxmlformats.org/officeDocument/2006/relationships/image" Target="media/DPR-2a.png"/>
<Relationship Id="rId15" Type="http://schemas.openxmlformats.org/officeDocument/2006/relationships/image" Target="media/DPR-2b.png"/>
<Relationship Id="rId16" Type="http://schemas.openxmlformats.org/officeDocument/2006/relationships/image" Target="media/DPR-3a.png"/>
<Relationship Id="rId17" Type="http://schemas.openxmlformats.org/officeDocument/2006/relationships/image" Target="media/DPR-3b.png"/>
</Relationships>
</file>