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5"/>
      </w:pPr>
      <w:r>
        <w:t>Diagrama de casos de uso de alto nivel</w:t>
      </w:r>
    </w:p>
    <w:p>
      <w:pPr>
        <w:keepNext/>
      </w:pPr>
      <w:r>
        <w:t>Nueve módulos y siete actores. Propietario representa a estudiantes y docentes. Portal y autenticación son funciones transversales.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lto_niv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M01 Gestión de usuarios</w:t>
      </w:r>
    </w:p>
    <w:p>
      <w:pPr>
        <w:keepNext/>
      </w:pPr>
      <w:r>
        <w:t>La asignación de privilegios y la gestión de cuentas administradoras requieren el permiso usuarios.permisos.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M02 Informes y reportes</w:t>
      </w:r>
    </w:p>
    <w:p>
      <w:pPr>
        <w:keepNext/>
      </w:pPr>
      <w:r>
        <w:t>El PDF se previsualiza antes de su descarga. La exportación de datos implementada es CSV.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M03 Registro de propietarios</w:t>
      </w:r>
    </w:p>
    <w:p>
      <w:pPr>
        <w:keepNext/>
      </w:pPr>
      <w:r>
        <w:t>Propietario comprende únicamente estudiante o docente; no agrega un octavo actor.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M04 Registro de vehículos</w:t>
      </w:r>
    </w:p>
    <w:p>
      <w:pPr>
        <w:keepNext/>
      </w:pPr>
      <w:r>
        <w:t>Las consultas y las operaciones de gestión se habilitan según los permisos de la cuenta.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M05 Gestión de lugares y clasificación</w:t>
      </w:r>
    </w:p>
    <w:p>
      <w:pPr>
        <w:keepNext/>
      </w:pPr>
      <w:r>
        <w:t>Este módulo agrupa el panel de supervisión, zonas, plazas, cámaras y ocupación visual.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M06 Control de ingreso y salida</w:t>
      </w:r>
    </w:p>
    <w:p>
      <w:pPr>
        <w:keepNext/>
      </w:pPr>
      <w:r>
        <w:t>El historial institucional y la consulta propia se separan por permisos y por el vehículo vinculado al propietario.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M07 Alertas y notificaciones</w:t>
      </w:r>
    </w:p>
    <w:p>
      <w:pPr>
        <w:keepNext/>
      </w:pPr>
      <w:r>
        <w:t>Las notificaciones se consultan dentro del sistema. No se representan servicios externos de correo o SMS.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M08 Auditoría y control</w:t>
      </w:r>
    </w:p>
    <w:p>
      <w:pPr>
        <w:keepNext/>
      </w:pPr>
      <w:r>
        <w:t>La web registra solicitudes y evidencias. La ejecución de respaldos y restauraciones requiere el procedimiento técnico autorizado.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M09 Componente móvil</w:t>
      </w:r>
    </w:p>
    <w:p>
      <w:pPr>
        <w:keepNext/>
      </w:pPr>
      <w:r>
        <w:t>Los siete actores utilizan la interfaz adaptable. El propietario solo consulta su zona y sus movimientos.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Portal EMI e ingreso a NEXO PARK</w:t>
      </w:r>
    </w:p>
    <w:p>
      <w:pPr>
        <w:keepNext/>
      </w:pPr>
      <w:r>
        <w:t>Función transversal. La navegación pública también está disponible sin una sesión iniciada.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5"/>
      </w:pPr>
      <w:r>
        <w:t>Inicio de sesión y autenticación</w:t>
      </w:r>
    </w:p>
    <w:p>
      <w:pPr>
        <w:keepNext/>
      </w:pPr>
      <w:r>
        <w:t>Función transversal compartida por los siete actores; no constituye un módulo adicional.</w:t>
      </w:r>
    </w:p>
    <w:p>
      <w:r>
        <w:drawing>
          <wp:inline xmlns:a="http://schemas.openxmlformats.org/drawingml/2006/main" xmlns:pic="http://schemas.openxmlformats.org/drawingml/2006/picture">
            <wp:extent cx="6309360" cy="8001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720" w:right="792" w:bottom="720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0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Arial" w:cstheme="minorBidi"/>
      <w:color w:val="000000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Arial" w:hAnsi="Arial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spacing w:after="100" w:line="240" w:lineRule="auto"/>
      <w:contextualSpacing/>
    </w:pPr>
    <w:rPr>
      <w:rFonts w:asciiTheme="majorHAnsi" w:hAnsiTheme="majorHAnsi" w:eastAsiaTheme="majorEastAsia" w:cstheme="majorBidi" w:ascii="Arial" w:hAnsi="Arial"/>
      <w:color w:val="000000"/>
      <w:spacing w:val="5"/>
      <w:kern w:val="28"/>
      <w:sz w:val="3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IVAN LOZA CONDORI</cp:lastModifiedBy>
  <cp:lastPrinted>2026-10-06T06:59:14Z</cp:lastPrinted>
  <dcterms:modified xsi:type="dcterms:W3CDTF">2026-10-06T07:17:54Z</dcterms:modified>
  <cp:revision>1</cp:revision>
  <dc:title>NEXO PARK Diagramas de casos de uso actualizados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eyJoZGlkIjoiY2NhNjI0Y2E0ODllOWYyOWQ1YTAxZDI0NjQwZDE4OTIiLCJ1c2VySWQiOiIxOTUzNDAxMzk0MjMwMyJ9</vt:lpwstr>
  </property>
  <property fmtid="{D5CDD505-2E9C-101B-9397-08002B2CF9AE}" pid="3" name="KSOProductBuildVer">
    <vt:lpwstr>3082-12.1.0.28485</vt:lpwstr>
  </property>
  <property fmtid="{D5CDD505-2E9C-101B-9397-08002B2CF9AE}" pid="4" name="ICV">
    <vt:lpwstr>D2DA0510EF5B477C8C50904FD6AAEF69_12</vt:lpwstr>
  </property>
</Properties>
</file>