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Communication Plan Template</w:t>
      </w:r>
    </w:p>
    <w:p>
      <w:r>
        <w:t>This document outlines the key communication streams for the Operating Model Transformation initiative. It supports alignment across stakeholders by clearly defining message goals, delivery methods, frequency, and ownership.</w:t>
      </w:r>
    </w:p>
    <w:p>
      <w:pPr>
        <w:pStyle w:val="Heading2"/>
      </w:pPr>
      <w:r>
        <w:t>Stakeholder Communication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Stakeholder Group</w:t>
            </w:r>
          </w:p>
        </w:tc>
        <w:tc>
          <w:tcPr>
            <w:tcW w:type="dxa" w:w="1728"/>
          </w:tcPr>
          <w:p>
            <w:r>
              <w:t>Key Message / Objective</w:t>
            </w:r>
          </w:p>
        </w:tc>
        <w:tc>
          <w:tcPr>
            <w:tcW w:type="dxa" w:w="1728"/>
          </w:tcPr>
          <w:p>
            <w:r>
              <w:t>Channel</w:t>
            </w:r>
          </w:p>
        </w:tc>
        <w:tc>
          <w:tcPr>
            <w:tcW w:type="dxa" w:w="1728"/>
          </w:tcPr>
          <w:p>
            <w:r>
              <w:t>Frequency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</w:tr>
      <w:tr>
        <w:tc>
          <w:tcPr>
            <w:tcW w:type="dxa" w:w="1728"/>
          </w:tcPr>
          <w:p>
            <w:r>
              <w:t>CEO</w:t>
            </w:r>
          </w:p>
        </w:tc>
        <w:tc>
          <w:tcPr>
            <w:tcW w:type="dxa" w:w="1728"/>
          </w:tcPr>
          <w:p>
            <w:r>
              <w:t>Strategic alignment, milestone updates</w:t>
            </w:r>
          </w:p>
        </w:tc>
        <w:tc>
          <w:tcPr>
            <w:tcW w:type="dxa" w:w="1728"/>
          </w:tcPr>
          <w:p>
            <w:r>
              <w:t>1:1, Executive deck</w:t>
            </w:r>
          </w:p>
        </w:tc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COO</w:t>
            </w:r>
          </w:p>
        </w:tc>
      </w:tr>
      <w:tr>
        <w:tc>
          <w:tcPr>
            <w:tcW w:type="dxa" w:w="1728"/>
          </w:tcPr>
          <w:p>
            <w:r>
              <w:t>COO &amp; Project Team</w:t>
            </w:r>
          </w:p>
        </w:tc>
        <w:tc>
          <w:tcPr>
            <w:tcW w:type="dxa" w:w="1728"/>
          </w:tcPr>
          <w:p>
            <w:r>
              <w:t>Daily operations, blockers, status</w:t>
            </w:r>
          </w:p>
        </w:tc>
        <w:tc>
          <w:tcPr>
            <w:tcW w:type="dxa" w:w="1728"/>
          </w:tcPr>
          <w:p>
            <w:r>
              <w:t>Standups, Slack</w:t>
            </w:r>
          </w:p>
        </w:tc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PMO Lead</w:t>
            </w:r>
          </w:p>
        </w:tc>
      </w:tr>
      <w:tr>
        <w:tc>
          <w:tcPr>
            <w:tcW w:type="dxa" w:w="1728"/>
          </w:tcPr>
          <w:p>
            <w:r>
              <w:t>VP SharedOps</w:t>
            </w:r>
          </w:p>
        </w:tc>
        <w:tc>
          <w:tcPr>
            <w:tcW w:type="dxa" w:w="1728"/>
          </w:tcPr>
          <w:p>
            <w:r>
              <w:t>Changes to workflows, role clarity</w:t>
            </w:r>
          </w:p>
        </w:tc>
        <w:tc>
          <w:tcPr>
            <w:tcW w:type="dxa" w:w="1728"/>
          </w:tcPr>
          <w:p>
            <w:r>
              <w:t>Email, Workshop</w:t>
            </w:r>
          </w:p>
        </w:tc>
        <w:tc>
          <w:tcPr>
            <w:tcW w:type="dxa" w:w="1728"/>
          </w:tcPr>
          <w:p>
            <w:r>
              <w:t>Weekly</w:t>
            </w:r>
          </w:p>
        </w:tc>
        <w:tc>
          <w:tcPr>
            <w:tcW w:type="dxa" w:w="1728"/>
          </w:tcPr>
          <w:p>
            <w:r>
              <w:t>PMO Lead</w:t>
            </w:r>
          </w:p>
        </w:tc>
      </w:tr>
      <w:tr>
        <w:tc>
          <w:tcPr>
            <w:tcW w:type="dxa" w:w="1728"/>
          </w:tcPr>
          <w:p>
            <w:r>
              <w:t>VPHR</w:t>
            </w:r>
          </w:p>
        </w:tc>
        <w:tc>
          <w:tcPr>
            <w:tcW w:type="dxa" w:w="1728"/>
          </w:tcPr>
          <w:p>
            <w:r>
              <w:t>Org impacts, training needs, change adoption</w:t>
            </w:r>
          </w:p>
        </w:tc>
        <w:tc>
          <w:tcPr>
            <w:tcW w:type="dxa" w:w="1728"/>
          </w:tcPr>
          <w:p>
            <w:r>
              <w:t>Working sessions</w:t>
            </w:r>
          </w:p>
        </w:tc>
        <w:tc>
          <w:tcPr>
            <w:tcW w:type="dxa" w:w="1728"/>
          </w:tcPr>
          <w:p>
            <w:r>
              <w:t>Bi-weekly</w:t>
            </w:r>
          </w:p>
        </w:tc>
        <w:tc>
          <w:tcPr>
            <w:tcW w:type="dxa" w:w="1728"/>
          </w:tcPr>
          <w:p>
            <w:r>
              <w:t>COO / Comms</w:t>
            </w:r>
          </w:p>
        </w:tc>
      </w:tr>
      <w:tr>
        <w:tc>
          <w:tcPr>
            <w:tcW w:type="dxa" w:w="1728"/>
          </w:tcPr>
          <w:p>
            <w:r>
              <w:t>IT Director</w:t>
            </w:r>
          </w:p>
        </w:tc>
        <w:tc>
          <w:tcPr>
            <w:tcW w:type="dxa" w:w="1728"/>
          </w:tcPr>
          <w:p>
            <w:r>
              <w:t>Integration timelines, support expectations</w:t>
            </w:r>
          </w:p>
        </w:tc>
        <w:tc>
          <w:tcPr>
            <w:tcW w:type="dxa" w:w="1728"/>
          </w:tcPr>
          <w:p>
            <w:r>
              <w:t>Jira, Sync calls</w:t>
            </w:r>
          </w:p>
        </w:tc>
        <w:tc>
          <w:tcPr>
            <w:tcW w:type="dxa" w:w="1728"/>
          </w:tcPr>
          <w:p>
            <w:r>
              <w:t>Weekly</w:t>
            </w:r>
          </w:p>
        </w:tc>
        <w:tc>
          <w:tcPr>
            <w:tcW w:type="dxa" w:w="1728"/>
          </w:tcPr>
          <w:p>
            <w:r>
              <w:t>PMO / IT Lead</w:t>
            </w:r>
          </w:p>
        </w:tc>
      </w:tr>
      <w:tr>
        <w:tc>
          <w:tcPr>
            <w:tcW w:type="dxa" w:w="1728"/>
          </w:tcPr>
          <w:p>
            <w:r>
              <w:t>Finance Partner</w:t>
            </w:r>
          </w:p>
        </w:tc>
        <w:tc>
          <w:tcPr>
            <w:tcW w:type="dxa" w:w="1728"/>
          </w:tcPr>
          <w:p>
            <w:r>
              <w:t>Business case updates, cost impacts</w:t>
            </w:r>
          </w:p>
        </w:tc>
        <w:tc>
          <w:tcPr>
            <w:tcW w:type="dxa" w:w="1728"/>
          </w:tcPr>
          <w:p>
            <w:r>
              <w:t>Email, Tracker</w:t>
            </w:r>
          </w:p>
        </w:tc>
        <w:tc>
          <w:tcPr>
            <w:tcW w:type="dxa" w:w="1728"/>
          </w:tcPr>
          <w:p>
            <w:r>
              <w:t>Bi-weekly</w:t>
            </w:r>
          </w:p>
        </w:tc>
        <w:tc>
          <w:tcPr>
            <w:tcW w:type="dxa" w:w="1728"/>
          </w:tcPr>
          <w:p>
            <w:r>
              <w:t>COO / Finance</w:t>
            </w:r>
          </w:p>
        </w:tc>
      </w:tr>
      <w:tr>
        <w:tc>
          <w:tcPr>
            <w:tcW w:type="dxa" w:w="1728"/>
          </w:tcPr>
          <w:p>
            <w:r>
              <w:t>Client Success Lead</w:t>
            </w:r>
          </w:p>
        </w:tc>
        <w:tc>
          <w:tcPr>
            <w:tcW w:type="dxa" w:w="1728"/>
          </w:tcPr>
          <w:p>
            <w:r>
              <w:t>Customer experience tie-ins</w:t>
            </w:r>
          </w:p>
        </w:tc>
        <w:tc>
          <w:tcPr>
            <w:tcW w:type="dxa" w:w="1728"/>
          </w:tcPr>
          <w:p>
            <w:r>
              <w:t>Sync call, Summary</w:t>
            </w:r>
          </w:p>
        </w:tc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COO</w:t>
            </w:r>
          </w:p>
        </w:tc>
      </w:tr>
      <w:tr>
        <w:tc>
          <w:tcPr>
            <w:tcW w:type="dxa" w:w="1728"/>
          </w:tcPr>
          <w:p>
            <w:r>
              <w:t>Comms Lead</w:t>
            </w:r>
          </w:p>
        </w:tc>
        <w:tc>
          <w:tcPr>
            <w:tcW w:type="dxa" w:w="1728"/>
          </w:tcPr>
          <w:p>
            <w:r>
              <w:t>Owns end-to-end comms strategy</w:t>
            </w:r>
          </w:p>
        </w:tc>
        <w:tc>
          <w:tcPr>
            <w:tcW w:type="dxa" w:w="1728"/>
          </w:tcPr>
          <w:p>
            <w:r>
              <w:t>Internal cadence</w:t>
            </w:r>
          </w:p>
        </w:tc>
        <w:tc>
          <w:tcPr>
            <w:tcW w:type="dxa" w:w="1728"/>
          </w:tcPr>
          <w:p>
            <w:r>
              <w:t>Daily–Weekly</w:t>
            </w:r>
          </w:p>
        </w:tc>
        <w:tc>
          <w:tcPr>
            <w:tcW w:type="dxa" w:w="1728"/>
          </w:tcPr>
          <w:p>
            <w:r>
              <w:t>Comms Lead</w:t>
            </w:r>
          </w:p>
        </w:tc>
      </w:tr>
    </w:tbl>
    <w:p/>
    <w:p>
      <w:r>
        <w:t>Last updated: May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