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Moenchengladbach - 3. Zivilkammer</w:t>
        <w:br/>
        <w:t>Hohenzollernstrasse 157, 41061 Moenchengladbach</w:t>
      </w:r>
    </w:p>
    <w:p>
      <w:pPr>
        <w:pStyle w:val="Heading1"/>
      </w:pPr>
      <w:r>
        <w:t>Vergleichsverhandlungsprotokoll</w:t>
      </w:r>
    </w:p>
    <w:p>
      <w:r>
        <w:t>Im Anschluss an die Beweisaufnahme vom 10.11.2026 erklaeren die Parteien Vergleichsbereitschaft.</w:t>
      </w:r>
    </w:p>
    <w:p>
      <w:r>
        <w:t>Die Beklagte bietet eine Zahlung von EUR 140.000,00 zur Abgeltung des unmittelbaren Benachteiligungskomplexes an; der Klaeger fordert EUR 170.000,00 unter Hinweis auf das Beweisergebnis.</w:t>
      </w:r>
    </w:p>
    <w:p>
      <w:r>
        <w:t>Beiden Seiten wird eine Erklaerungsfrist bis zum 24.11.2026 eingeraeumt.</w:t>
      </w:r>
    </w:p>
    <w:p/>
    <w:p>
      <w:r>
        <w:t>Protokollfuehrerin: Justizangestellte C. Wollersheim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