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364D"/>
          <w:sz w:val="30"/>
        </w:rPr>
        <w:t>KÄLTEWERKSTATT PÜTZ &amp; SÖHNE</w:t>
      </w:r>
    </w:p>
    <w:p>
      <w:pPr>
        <w:jc w:val="center"/>
      </w:pPr>
      <w:r>
        <w:rPr>
          <w:sz w:val="18"/>
        </w:rPr>
        <w:t>Kälteanlagenbau | Haushaltskälte | Werkskundendienst</w:t>
      </w:r>
    </w:p>
    <w:p>
      <w:pPr>
        <w:jc w:val="center"/>
      </w:pPr>
      <w:r>
        <w:rPr>
          <w:sz w:val="17"/>
        </w:rPr>
        <w:t>Niehler Straße 214 | 50733 Köln | Telefon 0221 778491-0 | werkstatt@puetz-kaelte.de</w:t>
      </w:r>
    </w:p>
    <w:p>
      <w:pPr>
        <w:pStyle w:val="Title"/>
      </w:pPr>
      <w:r>
        <w:t>Reparatur- und Diagnoseprotokoll VestaCool FR-900</w:t>
      </w:r>
    </w:p>
    <w:tbl>
      <w:tblPr>
        <w:tblStyle w:val="TableGrid"/>
        <w:tblW w:type="auto" w:w="0"/>
        <w:jc w:val="center"/>
        <w:tblLayout w:type="fixed"/>
        <w:tblLook w:firstColumn="1" w:firstRow="1" w:lastColumn="0" w:lastRow="0" w:noHBand="0" w:noVBand="1" w:val="04A0"/>
      </w:tblPr>
      <w:tblGrid>
        <w:gridCol w:w="4762"/>
        <w:gridCol w:w="4762"/>
      </w:tblGrid>
      <w:tr>
        <w:trPr>
          <w:cantSplit/>
        </w:trPr>
        <w:tc>
          <w:tcPr>
            <w:tcW w:type="dxa" w:w="2494"/>
            <w:vAlign w:val="top"/>
            <w:tcMar>
              <w:top w:w="90" w:type="dxa"/>
              <w:start w:w="90" w:type="dxa"/>
              <w:bottom w:w="90" w:type="dxa"/>
              <w:end w:w="90" w:type="dxa"/>
            </w:tcMar>
          </w:tcPr>
          <w:p>
            <w:r>
              <w:rPr>
                <w:rFonts w:ascii="Times New Roman" w:hAnsi="Times New Roman"/>
                <w:b/>
                <w:sz w:val="19"/>
              </w:rPr>
              <w:t>Kundin</w:t>
            </w:r>
          </w:p>
        </w:tc>
        <w:tc>
          <w:tcPr>
            <w:tcW w:type="dxa" w:w="6463"/>
            <w:vAlign w:val="top"/>
            <w:tcMar>
              <w:top w:w="90" w:type="dxa"/>
              <w:start w:w="90" w:type="dxa"/>
              <w:bottom w:w="90" w:type="dxa"/>
              <w:end w:w="90" w:type="dxa"/>
            </w:tcMar>
          </w:tcPr>
          <w:p>
            <w:r>
              <w:rPr>
                <w:rFonts w:ascii="Times New Roman" w:hAnsi="Times New Roman"/>
                <w:sz w:val="19"/>
              </w:rPr>
              <w:t>Amalie von Reichenbach, Rheinufer 14, 50668 Köln</w:t>
            </w:r>
          </w:p>
        </w:tc>
      </w:tr>
      <w:tr>
        <w:trPr>
          <w:cantSplit/>
        </w:trPr>
        <w:tc>
          <w:tcPr>
            <w:tcW w:type="dxa" w:w="2494"/>
            <w:vAlign w:val="top"/>
            <w:tcMar>
              <w:top w:w="90" w:type="dxa"/>
              <w:start w:w="90" w:type="dxa"/>
              <w:bottom w:w="90" w:type="dxa"/>
              <w:end w:w="90" w:type="dxa"/>
            </w:tcMar>
          </w:tcPr>
          <w:p>
            <w:r>
              <w:rPr>
                <w:rFonts w:ascii="Times New Roman" w:hAnsi="Times New Roman"/>
                <w:b/>
                <w:sz w:val="19"/>
              </w:rPr>
              <w:t>Gerät</w:t>
            </w:r>
          </w:p>
        </w:tc>
        <w:tc>
          <w:tcPr>
            <w:tcW w:type="dxa" w:w="6463"/>
            <w:vAlign w:val="top"/>
            <w:tcMar>
              <w:top w:w="90" w:type="dxa"/>
              <w:start w:w="90" w:type="dxa"/>
              <w:bottom w:w="90" w:type="dxa"/>
              <w:end w:w="90" w:type="dxa"/>
            </w:tcMar>
          </w:tcPr>
          <w:p>
            <w:r>
              <w:rPr>
                <w:rFonts w:ascii="Times New Roman" w:hAnsi="Times New Roman"/>
                <w:sz w:val="19"/>
              </w:rPr>
              <w:t>VestaCool FR-900, Seriennummer VCFR9-DE-22104-55</w:t>
            </w:r>
          </w:p>
        </w:tc>
      </w:tr>
      <w:tr>
        <w:trPr>
          <w:cantSplit/>
        </w:trPr>
        <w:tc>
          <w:tcPr>
            <w:tcW w:type="dxa" w:w="2494"/>
            <w:vAlign w:val="top"/>
            <w:tcMar>
              <w:top w:w="90" w:type="dxa"/>
              <w:start w:w="90" w:type="dxa"/>
              <w:bottom w:w="90" w:type="dxa"/>
              <w:end w:w="90" w:type="dxa"/>
            </w:tcMar>
          </w:tcPr>
          <w:p>
            <w:r>
              <w:rPr>
                <w:rFonts w:ascii="Times New Roman" w:hAnsi="Times New Roman"/>
                <w:b/>
                <w:sz w:val="19"/>
              </w:rPr>
              <w:t>Termin</w:t>
            </w:r>
          </w:p>
        </w:tc>
        <w:tc>
          <w:tcPr>
            <w:tcW w:type="dxa" w:w="6463"/>
            <w:vAlign w:val="top"/>
            <w:tcMar>
              <w:top w:w="90" w:type="dxa"/>
              <w:start w:w="90" w:type="dxa"/>
              <w:bottom w:w="90" w:type="dxa"/>
              <w:end w:w="90" w:type="dxa"/>
            </w:tcMar>
          </w:tcPr>
          <w:p>
            <w:r>
              <w:rPr>
                <w:rFonts w:ascii="Times New Roman" w:hAnsi="Times New Roman"/>
                <w:sz w:val="19"/>
              </w:rPr>
              <w:t>3. Mai 2026, 09:12 Uhr bis 11:06 Uhr</w:t>
            </w:r>
          </w:p>
        </w:tc>
      </w:tr>
      <w:tr>
        <w:trPr>
          <w:cantSplit/>
        </w:trPr>
        <w:tc>
          <w:tcPr>
            <w:tcW w:type="dxa" w:w="2494"/>
            <w:vAlign w:val="top"/>
            <w:tcMar>
              <w:top w:w="90" w:type="dxa"/>
              <w:start w:w="90" w:type="dxa"/>
              <w:bottom w:w="90" w:type="dxa"/>
              <w:end w:w="90" w:type="dxa"/>
            </w:tcMar>
          </w:tcPr>
          <w:p>
            <w:r>
              <w:rPr>
                <w:rFonts w:ascii="Times New Roman" w:hAnsi="Times New Roman"/>
                <w:b/>
                <w:sz w:val="19"/>
              </w:rPr>
              <w:t>Techniker</w:t>
            </w:r>
          </w:p>
        </w:tc>
        <w:tc>
          <w:tcPr>
            <w:tcW w:type="dxa" w:w="6463"/>
            <w:vAlign w:val="top"/>
            <w:tcMar>
              <w:top w:w="90" w:type="dxa"/>
              <w:start w:w="90" w:type="dxa"/>
              <w:bottom w:w="90" w:type="dxa"/>
              <w:end w:w="90" w:type="dxa"/>
            </w:tcMar>
          </w:tcPr>
          <w:p>
            <w:r>
              <w:rPr>
                <w:rFonts w:ascii="Times New Roman" w:hAnsi="Times New Roman"/>
                <w:sz w:val="19"/>
              </w:rPr>
              <w:t>Gregor Pütz, Kälteanlagenbauermeister</w:t>
            </w:r>
          </w:p>
        </w:tc>
      </w:tr>
      <w:tr>
        <w:trPr>
          <w:cantSplit/>
        </w:trPr>
        <w:tc>
          <w:tcPr>
            <w:tcW w:type="dxa" w:w="2494"/>
            <w:vAlign w:val="top"/>
            <w:tcMar>
              <w:top w:w="90" w:type="dxa"/>
              <w:start w:w="90" w:type="dxa"/>
              <w:bottom w:w="90" w:type="dxa"/>
              <w:end w:w="90" w:type="dxa"/>
            </w:tcMar>
          </w:tcPr>
          <w:p>
            <w:r>
              <w:rPr>
                <w:rFonts w:ascii="Times New Roman" w:hAnsi="Times New Roman"/>
                <w:b/>
                <w:sz w:val="19"/>
              </w:rPr>
              <w:t>Auftrag</w:t>
            </w:r>
          </w:p>
        </w:tc>
        <w:tc>
          <w:tcPr>
            <w:tcW w:type="dxa" w:w="6463"/>
            <w:vAlign w:val="top"/>
            <w:tcMar>
              <w:top w:w="90" w:type="dxa"/>
              <w:start w:w="90" w:type="dxa"/>
              <w:bottom w:w="90" w:type="dxa"/>
              <w:end w:w="90" w:type="dxa"/>
            </w:tcMar>
          </w:tcPr>
          <w:p>
            <w:r>
              <w:rPr>
                <w:rFonts w:ascii="Times New Roman" w:hAnsi="Times New Roman"/>
                <w:sz w:val="19"/>
              </w:rPr>
              <w:t>Temperaturschwankungen im Frischefach, Ausfall Eiswürfelmodul, Diagnose nach Aktualisierung</w:t>
            </w:r>
          </w:p>
        </w:tc>
      </w:tr>
      <w:tr>
        <w:trPr>
          <w:cantSplit/>
        </w:trPr>
        <w:tc>
          <w:tcPr>
            <w:tcW w:type="dxa" w:w="2494"/>
            <w:vAlign w:val="top"/>
            <w:tcMar>
              <w:top w:w="90" w:type="dxa"/>
              <w:start w:w="90" w:type="dxa"/>
              <w:bottom w:w="90" w:type="dxa"/>
              <w:end w:w="90" w:type="dxa"/>
            </w:tcMar>
          </w:tcPr>
          <w:p>
            <w:r>
              <w:rPr>
                <w:rFonts w:ascii="Times New Roman" w:hAnsi="Times New Roman"/>
                <w:b/>
                <w:sz w:val="19"/>
              </w:rPr>
              <w:t>Arbeitsort</w:t>
            </w:r>
          </w:p>
        </w:tc>
        <w:tc>
          <w:tcPr>
            <w:tcW w:type="dxa" w:w="6463"/>
            <w:vAlign w:val="top"/>
            <w:tcMar>
              <w:top w:w="90" w:type="dxa"/>
              <w:start w:w="90" w:type="dxa"/>
              <w:bottom w:w="90" w:type="dxa"/>
              <w:end w:w="90" w:type="dxa"/>
            </w:tcMar>
          </w:tcPr>
          <w:p>
            <w:r>
              <w:rPr>
                <w:rFonts w:ascii="Times New Roman" w:hAnsi="Times New Roman"/>
                <w:sz w:val="19"/>
              </w:rPr>
              <w:t>Küche der Kundin; anwesend bis 09:45 Uhr Hausmeister Ralf Kemper</w:t>
            </w:r>
          </w:p>
        </w:tc>
      </w:tr>
    </w:tbl>
    <w:p/>
    <w:p>
      <w:pPr>
        <w:pStyle w:val="Heading1"/>
      </w:pPr>
      <w:r>
        <w:t>1. Zustand bei Beginn</w:t>
      </w:r>
    </w:p>
    <w:p>
      <w:r>
        <w:t>Die Anzeige meldete für das Kühlfach 5 Grad Celsius und für das Frischefach 2 Grad Celsius. Das eingebrachte Vergleichsthermometer zeigte nach 25 Minuten im Frischefach 7,4 Grad Celsius. Im Auffangbereich des Eiswürfelmoduls befanden sich Schmelzwasserreste. Türdichtungen, Scharniere und Lüfter waren frei von sichtbaren Beschädigungen.</w:t>
      </w:r>
    </w:p>
    <w:p>
      <w:pPr>
        <w:pStyle w:val="Heading1"/>
      </w:pPr>
      <w:r>
        <w:t>2. Prüfschritte</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361"/>
            <w:vAlign w:val="center"/>
            <w:shd w:fill="DCE6EC"/>
            <w:tcMar>
              <w:top w:w="70" w:type="dxa"/>
              <w:start w:w="70" w:type="dxa"/>
              <w:bottom w:w="70" w:type="dxa"/>
              <w:end w:w="70" w:type="dxa"/>
            </w:tcMar>
          </w:tcPr>
          <w:p>
            <w:r>
              <w:rPr>
                <w:rFonts w:ascii="Times New Roman" w:hAnsi="Times New Roman"/>
                <w:b/>
                <w:sz w:val="17"/>
              </w:rPr>
              <w:t>Uhrzeit</w:t>
            </w:r>
          </w:p>
        </w:tc>
        <w:tc>
          <w:tcPr>
            <w:tcW w:type="dxa" w:w="2608"/>
            <w:vAlign w:val="center"/>
            <w:shd w:fill="DCE6EC"/>
            <w:tcMar>
              <w:top w:w="70" w:type="dxa"/>
              <w:start w:w="70" w:type="dxa"/>
              <w:bottom w:w="70" w:type="dxa"/>
              <w:end w:w="70" w:type="dxa"/>
            </w:tcMar>
          </w:tcPr>
          <w:p>
            <w:r>
              <w:rPr>
                <w:rFonts w:ascii="Times New Roman" w:hAnsi="Times New Roman"/>
                <w:b/>
                <w:sz w:val="17"/>
              </w:rPr>
              <w:t>Prüfung</w:t>
            </w:r>
          </w:p>
        </w:tc>
        <w:tc>
          <w:tcPr>
            <w:tcW w:type="dxa" w:w="4989"/>
            <w:vAlign w:val="center"/>
            <w:shd w:fill="DCE6EC"/>
            <w:tcMar>
              <w:top w:w="70" w:type="dxa"/>
              <w:start w:w="70" w:type="dxa"/>
              <w:bottom w:w="70" w:type="dxa"/>
              <w:end w:w="70" w:type="dxa"/>
            </w:tcMar>
          </w:tcPr>
          <w:p>
            <w:r>
              <w:rPr>
                <w:rFonts w:ascii="Times New Roman" w:hAnsi="Times New Roman"/>
                <w:b/>
                <w:sz w:val="17"/>
              </w:rPr>
              <w:t>Messwert oder Feststellung</w:t>
            </w:r>
          </w:p>
        </w:tc>
      </w:tr>
      <w:tr>
        <w:trPr>
          <w:cantSplit/>
        </w:trPr>
        <w:tc>
          <w:tcPr>
            <w:tcW w:type="dxa" w:w="1361"/>
            <w:vAlign w:val="top"/>
            <w:tcMar>
              <w:top w:w="70" w:type="dxa"/>
              <w:start w:w="70" w:type="dxa"/>
              <w:bottom w:w="70" w:type="dxa"/>
              <w:end w:w="70" w:type="dxa"/>
            </w:tcMar>
          </w:tcPr>
          <w:p>
            <w:r>
              <w:rPr>
                <w:rFonts w:ascii="Times New Roman" w:hAnsi="Times New Roman"/>
                <w:sz w:val="17"/>
              </w:rPr>
              <w:t>09:28</w:t>
            </w:r>
          </w:p>
        </w:tc>
        <w:tc>
          <w:tcPr>
            <w:tcW w:type="dxa" w:w="2608"/>
            <w:vAlign w:val="top"/>
            <w:tcMar>
              <w:top w:w="70" w:type="dxa"/>
              <w:start w:w="70" w:type="dxa"/>
              <w:bottom w:w="70" w:type="dxa"/>
              <w:end w:w="70" w:type="dxa"/>
            </w:tcMar>
          </w:tcPr>
          <w:p>
            <w:r>
              <w:rPr>
                <w:rFonts w:ascii="Times New Roman" w:hAnsi="Times New Roman"/>
                <w:sz w:val="17"/>
              </w:rPr>
              <w:t>Kompressoranlauf</w:t>
            </w:r>
          </w:p>
        </w:tc>
        <w:tc>
          <w:tcPr>
            <w:tcW w:type="dxa" w:w="4989"/>
            <w:vAlign w:val="top"/>
            <w:tcMar>
              <w:top w:w="70" w:type="dxa"/>
              <w:start w:w="70" w:type="dxa"/>
              <w:bottom w:w="70" w:type="dxa"/>
              <w:end w:w="70" w:type="dxa"/>
            </w:tcMar>
          </w:tcPr>
          <w:p>
            <w:r>
              <w:rPr>
                <w:rFonts w:ascii="Times New Roman" w:hAnsi="Times New Roman"/>
                <w:sz w:val="17"/>
              </w:rPr>
              <w:t>Stromaufnahme 1,7 Ampere; Abschaltung nach 41 Sekunden; erneuter Anlauf nach 6 Minuten</w:t>
            </w:r>
          </w:p>
        </w:tc>
      </w:tr>
      <w:tr>
        <w:trPr>
          <w:cantSplit/>
        </w:trPr>
        <w:tc>
          <w:tcPr>
            <w:tcW w:type="dxa" w:w="1361"/>
            <w:vAlign w:val="top"/>
            <w:tcMar>
              <w:top w:w="70" w:type="dxa"/>
              <w:start w:w="70" w:type="dxa"/>
              <w:bottom w:w="70" w:type="dxa"/>
              <w:end w:w="70" w:type="dxa"/>
            </w:tcMar>
          </w:tcPr>
          <w:p>
            <w:r>
              <w:rPr>
                <w:rFonts w:ascii="Times New Roman" w:hAnsi="Times New Roman"/>
                <w:sz w:val="17"/>
              </w:rPr>
              <w:t>09:46</w:t>
            </w:r>
          </w:p>
        </w:tc>
        <w:tc>
          <w:tcPr>
            <w:tcW w:type="dxa" w:w="2608"/>
            <w:vAlign w:val="top"/>
            <w:tcMar>
              <w:top w:w="70" w:type="dxa"/>
              <w:start w:w="70" w:type="dxa"/>
              <w:bottom w:w="70" w:type="dxa"/>
              <w:end w:w="70" w:type="dxa"/>
            </w:tcMar>
          </w:tcPr>
          <w:p>
            <w:r>
              <w:rPr>
                <w:rFonts w:ascii="Times New Roman" w:hAnsi="Times New Roman"/>
                <w:sz w:val="17"/>
              </w:rPr>
              <w:t>Temperaturfühler oben</w:t>
            </w:r>
          </w:p>
        </w:tc>
        <w:tc>
          <w:tcPr>
            <w:tcW w:type="dxa" w:w="4989"/>
            <w:vAlign w:val="top"/>
            <w:tcMar>
              <w:top w:w="70" w:type="dxa"/>
              <w:start w:w="70" w:type="dxa"/>
              <w:bottom w:w="70" w:type="dxa"/>
              <w:end w:w="70" w:type="dxa"/>
            </w:tcMar>
          </w:tcPr>
          <w:p>
            <w:r>
              <w:rPr>
                <w:rFonts w:ascii="Times New Roman" w:hAnsi="Times New Roman"/>
                <w:sz w:val="17"/>
              </w:rPr>
              <w:t>Widerstandswert plausibel; Anzeige und Referenzwert weichen um 0,6 Grad ab</w:t>
            </w:r>
          </w:p>
        </w:tc>
      </w:tr>
      <w:tr>
        <w:trPr>
          <w:cantSplit/>
        </w:trPr>
        <w:tc>
          <w:tcPr>
            <w:tcW w:type="dxa" w:w="1361"/>
            <w:vAlign w:val="top"/>
            <w:tcMar>
              <w:top w:w="70" w:type="dxa"/>
              <w:start w:w="70" w:type="dxa"/>
              <w:bottom w:w="70" w:type="dxa"/>
              <w:end w:w="70" w:type="dxa"/>
            </w:tcMar>
          </w:tcPr>
          <w:p>
            <w:r>
              <w:rPr>
                <w:rFonts w:ascii="Times New Roman" w:hAnsi="Times New Roman"/>
                <w:sz w:val="17"/>
              </w:rPr>
              <w:t>10:03</w:t>
            </w:r>
          </w:p>
        </w:tc>
        <w:tc>
          <w:tcPr>
            <w:tcW w:type="dxa" w:w="2608"/>
            <w:vAlign w:val="top"/>
            <w:tcMar>
              <w:top w:w="70" w:type="dxa"/>
              <w:start w:w="70" w:type="dxa"/>
              <w:bottom w:w="70" w:type="dxa"/>
              <w:end w:w="70" w:type="dxa"/>
            </w:tcMar>
          </w:tcPr>
          <w:p>
            <w:r>
              <w:rPr>
                <w:rFonts w:ascii="Times New Roman" w:hAnsi="Times New Roman"/>
                <w:sz w:val="17"/>
              </w:rPr>
              <w:t>Fühler Frischefach</w:t>
            </w:r>
          </w:p>
        </w:tc>
        <w:tc>
          <w:tcPr>
            <w:tcW w:type="dxa" w:w="4989"/>
            <w:vAlign w:val="top"/>
            <w:tcMar>
              <w:top w:w="70" w:type="dxa"/>
              <w:start w:w="70" w:type="dxa"/>
              <w:bottom w:w="70" w:type="dxa"/>
              <w:end w:w="70" w:type="dxa"/>
            </w:tcMar>
          </w:tcPr>
          <w:p>
            <w:r>
              <w:rPr>
                <w:rFonts w:ascii="Times New Roman" w:hAnsi="Times New Roman"/>
                <w:sz w:val="17"/>
              </w:rPr>
              <w:t>Sprunghafte Werte zwischen 2,1 und 8,0 Grad bei unveränderter Referenztemperatur</w:t>
            </w:r>
          </w:p>
        </w:tc>
      </w:tr>
      <w:tr>
        <w:trPr>
          <w:cantSplit/>
        </w:trPr>
        <w:tc>
          <w:tcPr>
            <w:tcW w:type="dxa" w:w="1361"/>
            <w:vAlign w:val="top"/>
            <w:tcMar>
              <w:top w:w="70" w:type="dxa"/>
              <w:start w:w="70" w:type="dxa"/>
              <w:bottom w:w="70" w:type="dxa"/>
              <w:end w:w="70" w:type="dxa"/>
            </w:tcMar>
          </w:tcPr>
          <w:p>
            <w:r>
              <w:rPr>
                <w:rFonts w:ascii="Times New Roman" w:hAnsi="Times New Roman"/>
                <w:sz w:val="17"/>
              </w:rPr>
              <w:t>10:19</w:t>
            </w:r>
          </w:p>
        </w:tc>
        <w:tc>
          <w:tcPr>
            <w:tcW w:type="dxa" w:w="2608"/>
            <w:vAlign w:val="top"/>
            <w:tcMar>
              <w:top w:w="70" w:type="dxa"/>
              <w:start w:w="70" w:type="dxa"/>
              <w:bottom w:w="70" w:type="dxa"/>
              <w:end w:w="70" w:type="dxa"/>
            </w:tcMar>
          </w:tcPr>
          <w:p>
            <w:r>
              <w:rPr>
                <w:rFonts w:ascii="Times New Roman" w:hAnsi="Times New Roman"/>
                <w:sz w:val="17"/>
              </w:rPr>
              <w:t>Eiswürfelmodul</w:t>
            </w:r>
          </w:p>
        </w:tc>
        <w:tc>
          <w:tcPr>
            <w:tcW w:type="dxa" w:w="4989"/>
            <w:vAlign w:val="top"/>
            <w:tcMar>
              <w:top w:w="70" w:type="dxa"/>
              <w:start w:w="70" w:type="dxa"/>
              <w:bottom w:w="70" w:type="dxa"/>
              <w:end w:w="70" w:type="dxa"/>
            </w:tcMar>
          </w:tcPr>
          <w:p>
            <w:r>
              <w:rPr>
                <w:rFonts w:ascii="Times New Roman" w:hAnsi="Times New Roman"/>
                <w:sz w:val="17"/>
              </w:rPr>
              <w:t>Mechanik frei; Kalibrierung verlangt Anmeldung in der Mobilanwendung</w:t>
            </w:r>
          </w:p>
        </w:tc>
      </w:tr>
      <w:tr>
        <w:trPr>
          <w:cantSplit/>
        </w:trPr>
        <w:tc>
          <w:tcPr>
            <w:tcW w:type="dxa" w:w="1361"/>
            <w:vAlign w:val="top"/>
            <w:tcMar>
              <w:top w:w="70" w:type="dxa"/>
              <w:start w:w="70" w:type="dxa"/>
              <w:bottom w:w="70" w:type="dxa"/>
              <w:end w:w="70" w:type="dxa"/>
            </w:tcMar>
          </w:tcPr>
          <w:p>
            <w:r>
              <w:rPr>
                <w:rFonts w:ascii="Times New Roman" w:hAnsi="Times New Roman"/>
                <w:sz w:val="17"/>
              </w:rPr>
              <w:t>10:37</w:t>
            </w:r>
          </w:p>
        </w:tc>
        <w:tc>
          <w:tcPr>
            <w:tcW w:type="dxa" w:w="2608"/>
            <w:vAlign w:val="top"/>
            <w:tcMar>
              <w:top w:w="70" w:type="dxa"/>
              <w:start w:w="70" w:type="dxa"/>
              <w:bottom w:w="70" w:type="dxa"/>
              <w:end w:w="70" w:type="dxa"/>
            </w:tcMar>
          </w:tcPr>
          <w:p>
            <w:r>
              <w:rPr>
                <w:rFonts w:ascii="Times New Roman" w:hAnsi="Times New Roman"/>
                <w:sz w:val="17"/>
              </w:rPr>
              <w:t>ServicePort</w:t>
            </w:r>
          </w:p>
        </w:tc>
        <w:tc>
          <w:tcPr>
            <w:tcW w:type="dxa" w:w="4989"/>
            <w:vAlign w:val="top"/>
            <w:tcMar>
              <w:top w:w="70" w:type="dxa"/>
              <w:start w:w="70" w:type="dxa"/>
              <w:bottom w:w="70" w:type="dxa"/>
              <w:end w:w="70" w:type="dxa"/>
            </w:tcMar>
          </w:tcPr>
          <w:p>
            <w:r>
              <w:rPr>
                <w:rFonts w:ascii="Times New Roman" w:hAnsi="Times New Roman"/>
                <w:sz w:val="17"/>
              </w:rPr>
              <w:t>Meldung Token refused - authorized service session required</w:t>
            </w:r>
          </w:p>
        </w:tc>
      </w:tr>
      <w:tr>
        <w:trPr>
          <w:cantSplit/>
        </w:trPr>
        <w:tc>
          <w:tcPr>
            <w:tcW w:type="dxa" w:w="1361"/>
            <w:vAlign w:val="top"/>
            <w:tcMar>
              <w:top w:w="70" w:type="dxa"/>
              <w:start w:w="70" w:type="dxa"/>
              <w:bottom w:w="70" w:type="dxa"/>
              <w:end w:w="70" w:type="dxa"/>
            </w:tcMar>
          </w:tcPr>
          <w:p>
            <w:r>
              <w:rPr>
                <w:rFonts w:ascii="Times New Roman" w:hAnsi="Times New Roman"/>
                <w:sz w:val="17"/>
              </w:rPr>
              <w:t>10:51</w:t>
            </w:r>
          </w:p>
        </w:tc>
        <w:tc>
          <w:tcPr>
            <w:tcW w:type="dxa" w:w="2608"/>
            <w:vAlign w:val="top"/>
            <w:tcMar>
              <w:top w:w="70" w:type="dxa"/>
              <w:start w:w="70" w:type="dxa"/>
              <w:bottom w:w="70" w:type="dxa"/>
              <w:end w:w="70" w:type="dxa"/>
            </w:tcMar>
          </w:tcPr>
          <w:p>
            <w:r>
              <w:rPr>
                <w:rFonts w:ascii="Times New Roman" w:hAnsi="Times New Roman"/>
                <w:sz w:val="17"/>
              </w:rPr>
              <w:t>Ersatzkompressor VC-CMP-900</w:t>
            </w:r>
          </w:p>
        </w:tc>
        <w:tc>
          <w:tcPr>
            <w:tcW w:type="dxa" w:w="4989"/>
            <w:vAlign w:val="top"/>
            <w:tcMar>
              <w:top w:w="70" w:type="dxa"/>
              <w:start w:w="70" w:type="dxa"/>
              <w:bottom w:w="70" w:type="dxa"/>
              <w:end w:w="70" w:type="dxa"/>
            </w:tcMar>
          </w:tcPr>
          <w:p>
            <w:r>
              <w:rPr>
                <w:rFonts w:ascii="Times New Roman" w:hAnsi="Times New Roman"/>
                <w:sz w:val="17"/>
              </w:rPr>
              <w:t>Bauteil physisch passend; NFC-Pairing ohne freigegebene Sitzung abgewiesen</w:t>
            </w:r>
          </w:p>
        </w:tc>
      </w:tr>
    </w:tbl>
    <w:p/>
    <w:p>
      <w:pPr>
        <w:pStyle w:val="Heading1"/>
      </w:pPr>
      <w:r>
        <w:t>3. Nicht ausgeführte Arbeiten</w:t>
      </w:r>
    </w:p>
    <w:p>
      <w:r>
        <w:t>Der Kompressor wurde nicht ausgebaut und das Gerät nicht auf Werkseinstellungen zurückgesetzt. Ohne autorisierte Sitzung bestand das Risiko, dass ein eingebautes Ersatzteil nicht freigeschaltet wird und der bisherige Diagnosezustand verloren geht. Ein Eingriff in die Cloud- oder App-Konfiguration war nicht beauftragt und technisch nicht möglich.</w:t>
      </w:r>
    </w:p>
    <w:p>
      <w:pPr>
        <w:pStyle w:val="Heading1"/>
      </w:pPr>
      <w:r>
        <w:t>4. Abrechnung und Rückgabe</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4649"/>
            <w:vAlign w:val="center"/>
            <w:shd w:fill="DCE6EC"/>
            <w:tcMar>
              <w:top w:w="70" w:type="dxa"/>
              <w:start w:w="70" w:type="dxa"/>
              <w:bottom w:w="70" w:type="dxa"/>
              <w:end w:w="70" w:type="dxa"/>
            </w:tcMar>
          </w:tcPr>
          <w:p>
            <w:r>
              <w:rPr>
                <w:rFonts w:ascii="Times New Roman" w:hAnsi="Times New Roman"/>
                <w:b/>
                <w:sz w:val="17"/>
              </w:rPr>
              <w:t>Position</w:t>
            </w:r>
          </w:p>
        </w:tc>
        <w:tc>
          <w:tcPr>
            <w:tcW w:type="dxa" w:w="1701"/>
            <w:vAlign w:val="center"/>
            <w:shd w:fill="DCE6EC"/>
            <w:tcMar>
              <w:top w:w="70" w:type="dxa"/>
              <w:start w:w="70" w:type="dxa"/>
              <w:bottom w:w="70" w:type="dxa"/>
              <w:end w:w="70" w:type="dxa"/>
            </w:tcMar>
          </w:tcPr>
          <w:p>
            <w:r>
              <w:rPr>
                <w:rFonts w:ascii="Times New Roman" w:hAnsi="Times New Roman"/>
                <w:b/>
                <w:sz w:val="17"/>
              </w:rPr>
              <w:t>Menge</w:t>
            </w:r>
          </w:p>
        </w:tc>
        <w:tc>
          <w:tcPr>
            <w:tcW w:type="dxa" w:w="2608"/>
            <w:vAlign w:val="center"/>
            <w:shd w:fill="DCE6EC"/>
            <w:tcMar>
              <w:top w:w="70" w:type="dxa"/>
              <w:start w:w="70" w:type="dxa"/>
              <w:bottom w:w="70" w:type="dxa"/>
              <w:end w:w="70" w:type="dxa"/>
            </w:tcMar>
          </w:tcPr>
          <w:p>
            <w:r>
              <w:rPr>
                <w:rFonts w:ascii="Times New Roman" w:hAnsi="Times New Roman"/>
                <w:b/>
                <w:sz w:val="17"/>
              </w:rPr>
              <w:t>Betrag</w:t>
            </w:r>
          </w:p>
        </w:tc>
      </w:tr>
      <w:tr>
        <w:trPr>
          <w:cantSplit/>
        </w:trPr>
        <w:tc>
          <w:tcPr>
            <w:tcW w:type="dxa" w:w="4649"/>
            <w:vAlign w:val="top"/>
            <w:tcMar>
              <w:top w:w="70" w:type="dxa"/>
              <w:start w:w="70" w:type="dxa"/>
              <w:bottom w:w="70" w:type="dxa"/>
              <w:end w:w="70" w:type="dxa"/>
            </w:tcMar>
          </w:tcPr>
          <w:p>
            <w:r>
              <w:rPr>
                <w:rFonts w:ascii="Times New Roman" w:hAnsi="Times New Roman"/>
                <w:sz w:val="17"/>
              </w:rPr>
              <w:t>Anfahrt Köln-Nippes bis Rheinufer</w:t>
            </w:r>
          </w:p>
        </w:tc>
        <w:tc>
          <w:tcPr>
            <w:tcW w:type="dxa" w:w="1701"/>
            <w:vAlign w:val="top"/>
            <w:tcMar>
              <w:top w:w="70" w:type="dxa"/>
              <w:start w:w="70" w:type="dxa"/>
              <w:bottom w:w="70" w:type="dxa"/>
              <w:end w:w="70" w:type="dxa"/>
            </w:tcMar>
          </w:tcPr>
          <w:p>
            <w:r>
              <w:rPr>
                <w:rFonts w:ascii="Times New Roman" w:hAnsi="Times New Roman"/>
                <w:sz w:val="17"/>
              </w:rPr>
              <w:t>1</w:t>
            </w:r>
          </w:p>
        </w:tc>
        <w:tc>
          <w:tcPr>
            <w:tcW w:type="dxa" w:w="2608"/>
            <w:vAlign w:val="top"/>
            <w:tcMar>
              <w:top w:w="70" w:type="dxa"/>
              <w:start w:w="70" w:type="dxa"/>
              <w:bottom w:w="70" w:type="dxa"/>
              <w:end w:w="70" w:type="dxa"/>
            </w:tcMar>
          </w:tcPr>
          <w:p>
            <w:r>
              <w:rPr>
                <w:rFonts w:ascii="Times New Roman" w:hAnsi="Times New Roman"/>
                <w:sz w:val="17"/>
              </w:rPr>
              <w:t>38,00 EUR</w:t>
            </w:r>
          </w:p>
        </w:tc>
      </w:tr>
      <w:tr>
        <w:trPr>
          <w:cantSplit/>
        </w:trPr>
        <w:tc>
          <w:tcPr>
            <w:tcW w:type="dxa" w:w="4649"/>
            <w:vAlign w:val="top"/>
            <w:tcMar>
              <w:top w:w="70" w:type="dxa"/>
              <w:start w:w="70" w:type="dxa"/>
              <w:bottom w:w="70" w:type="dxa"/>
              <w:end w:w="70" w:type="dxa"/>
            </w:tcMar>
          </w:tcPr>
          <w:p>
            <w:r>
              <w:rPr>
                <w:rFonts w:ascii="Times New Roman" w:hAnsi="Times New Roman"/>
                <w:sz w:val="17"/>
              </w:rPr>
              <w:t>Fehlerdiagnose und Messung</w:t>
            </w:r>
          </w:p>
        </w:tc>
        <w:tc>
          <w:tcPr>
            <w:tcW w:type="dxa" w:w="1701"/>
            <w:vAlign w:val="top"/>
            <w:tcMar>
              <w:top w:w="70" w:type="dxa"/>
              <w:start w:w="70" w:type="dxa"/>
              <w:bottom w:w="70" w:type="dxa"/>
              <w:end w:w="70" w:type="dxa"/>
            </w:tcMar>
          </w:tcPr>
          <w:p>
            <w:r>
              <w:rPr>
                <w:rFonts w:ascii="Times New Roman" w:hAnsi="Times New Roman"/>
                <w:sz w:val="17"/>
              </w:rPr>
              <w:t>1,5 Stunden</w:t>
            </w:r>
          </w:p>
        </w:tc>
        <w:tc>
          <w:tcPr>
            <w:tcW w:type="dxa" w:w="2608"/>
            <w:vAlign w:val="top"/>
            <w:tcMar>
              <w:top w:w="70" w:type="dxa"/>
              <w:start w:w="70" w:type="dxa"/>
              <w:bottom w:w="70" w:type="dxa"/>
              <w:end w:w="70" w:type="dxa"/>
            </w:tcMar>
          </w:tcPr>
          <w:p>
            <w:r>
              <w:rPr>
                <w:rFonts w:ascii="Times New Roman" w:hAnsi="Times New Roman"/>
                <w:sz w:val="17"/>
              </w:rPr>
              <w:t>126,00 EUR</w:t>
            </w:r>
          </w:p>
        </w:tc>
      </w:tr>
      <w:tr>
        <w:trPr>
          <w:cantSplit/>
        </w:trPr>
        <w:tc>
          <w:tcPr>
            <w:tcW w:type="dxa" w:w="4649"/>
            <w:vAlign w:val="top"/>
            <w:tcMar>
              <w:top w:w="70" w:type="dxa"/>
              <w:start w:w="70" w:type="dxa"/>
              <w:bottom w:w="70" w:type="dxa"/>
              <w:end w:w="70" w:type="dxa"/>
            </w:tcMar>
          </w:tcPr>
          <w:p>
            <w:r>
              <w:rPr>
                <w:rFonts w:ascii="Times New Roman" w:hAnsi="Times New Roman"/>
                <w:sz w:val="17"/>
              </w:rPr>
              <w:t>Kleinmaterial und Messprotokoll</w:t>
            </w:r>
          </w:p>
        </w:tc>
        <w:tc>
          <w:tcPr>
            <w:tcW w:type="dxa" w:w="1701"/>
            <w:vAlign w:val="top"/>
            <w:tcMar>
              <w:top w:w="70" w:type="dxa"/>
              <w:start w:w="70" w:type="dxa"/>
              <w:bottom w:w="70" w:type="dxa"/>
              <w:end w:w="70" w:type="dxa"/>
            </w:tcMar>
          </w:tcPr>
          <w:p>
            <w:r>
              <w:rPr>
                <w:rFonts w:ascii="Times New Roman" w:hAnsi="Times New Roman"/>
                <w:sz w:val="17"/>
              </w:rPr>
              <w:t>1</w:t>
            </w:r>
          </w:p>
        </w:tc>
        <w:tc>
          <w:tcPr>
            <w:tcW w:type="dxa" w:w="2608"/>
            <w:vAlign w:val="top"/>
            <w:tcMar>
              <w:top w:w="70" w:type="dxa"/>
              <w:start w:w="70" w:type="dxa"/>
              <w:bottom w:w="70" w:type="dxa"/>
              <w:end w:w="70" w:type="dxa"/>
            </w:tcMar>
          </w:tcPr>
          <w:p>
            <w:r>
              <w:rPr>
                <w:rFonts w:ascii="Times New Roman" w:hAnsi="Times New Roman"/>
                <w:sz w:val="17"/>
              </w:rPr>
              <w:t>14,50 EUR</w:t>
            </w:r>
          </w:p>
        </w:tc>
      </w:tr>
      <w:tr>
        <w:trPr>
          <w:cantSplit/>
        </w:trPr>
        <w:tc>
          <w:tcPr>
            <w:tcW w:type="dxa" w:w="4649"/>
            <w:vAlign w:val="top"/>
            <w:tcMar>
              <w:top w:w="70" w:type="dxa"/>
              <w:start w:w="70" w:type="dxa"/>
              <w:bottom w:w="70" w:type="dxa"/>
              <w:end w:w="70" w:type="dxa"/>
            </w:tcMar>
          </w:tcPr>
          <w:p>
            <w:r>
              <w:rPr>
                <w:rFonts w:ascii="Times New Roman" w:hAnsi="Times New Roman"/>
                <w:sz w:val="17"/>
              </w:rPr>
              <w:t>Gesamtbetrag</w:t>
            </w:r>
          </w:p>
        </w:tc>
        <w:tc>
          <w:tcPr>
            <w:tcW w:type="dxa" w:w="1701"/>
            <w:vAlign w:val="top"/>
            <w:tcMar>
              <w:top w:w="70" w:type="dxa"/>
              <w:start w:w="70" w:type="dxa"/>
              <w:bottom w:w="70" w:type="dxa"/>
              <w:end w:w="70" w:type="dxa"/>
            </w:tcMar>
          </w:tcPr>
          <w:p>
            <w:r>
              <w:rPr>
                <w:rFonts w:ascii="Times New Roman" w:hAnsi="Times New Roman"/>
                <w:sz w:val="17"/>
              </w:rPr>
            </w:r>
          </w:p>
        </w:tc>
        <w:tc>
          <w:tcPr>
            <w:tcW w:type="dxa" w:w="2608"/>
            <w:vAlign w:val="top"/>
            <w:tcMar>
              <w:top w:w="70" w:type="dxa"/>
              <w:start w:w="70" w:type="dxa"/>
              <w:bottom w:w="70" w:type="dxa"/>
              <w:end w:w="70" w:type="dxa"/>
            </w:tcMar>
          </w:tcPr>
          <w:p>
            <w:r>
              <w:rPr>
                <w:rFonts w:ascii="Times New Roman" w:hAnsi="Times New Roman"/>
                <w:sz w:val="17"/>
              </w:rPr>
              <w:t>178,50 EUR</w:t>
            </w:r>
          </w:p>
        </w:tc>
      </w:tr>
    </w:tbl>
    <w:p/>
    <w:p>
      <w:r>
        <w:t>Das Gerät blieb angeschlossen. Der Kundin wurde empfohlen, Händler und Hersteller um einen autorisierten Servicetermin oder um Freigabe des Diagnosezugangs zu bitten. Das Protokoll dokumentiert ausschließlich die am 3. Mai 2026 festgestellten technischen Tatsachen.</w:t>
      </w:r>
    </w:p>
    <w:p>
      <w:r>
        <w:t>Köln, 3. Mai 2026</w:t>
        <w:br/>
        <w:br/>
        <w:t>Gregor Pütz</w:t>
        <w:br/>
        <w:t>Kälteanlagenbauermeister</w:t>
      </w:r>
    </w:p>
    <w:sectPr w:rsidR="00FC693F" w:rsidRPr="0006063C" w:rsidSect="00034616">
      <w:footerReference w:type="default" r:id="rId9"/>
      <w:pgSz w:w="11906" w:h="16838"/>
      <w:pgMar w:top="1020" w:right="1134"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F5F5F"/>
        <w:sz w:val="16"/>
      </w:rPr>
      <w:t xml:space="preserve">Kundendienstauftrag KP 26-0503-17 | VestaCool FR-900 | </w:t>
    </w:r>
    <w:r>
      <w:rPr>
        <w:rFonts w:ascii="Times New Roman" w:hAnsi="Times New Roman"/>
        <w:color w:val="5F5F5F"/>
        <w:sz w:val="16"/>
      </w:rPr>
      <w:t xml:space="preserve">Seite </w:t>
    </w:r>
    <w:r>
      <w:rPr>
        <w:rFonts w:ascii="Times New Roman" w:hAnsi="Times New Roman"/>
        <w:color w:val="5F5F5F"/>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2336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23364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Times New Roman" w:hAnsi="Times New Roman"/>
      <w:b/>
      <w:color w:val="23364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