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color w:val="555555"/>
          <w:sz w:val="15"/>
        </w:rPr>
        <w:t>KANZLEI AM ALTEN MARKT · Am Alten Markt 8, 14467 Potsdam</w:t>
      </w:r>
    </w:p>
    <w:p>
      <w:pPr>
        <w:spacing w:after="280"/>
      </w:pPr>
      <w:r>
        <w:t>QuadratLotse GmbH</w:t>
        <w:br/>
        <w:t>z. Hd. Geschäftsführung</w:t>
        <w:br/>
        <w:t>Märkische Allee 118</w:t>
        <w:br/>
        <w:t>10179 Berlin</w:t>
      </w:r>
    </w:p>
    <w:p>
      <w:pPr>
        <w:spacing w:after="180"/>
        <w:jc w:val="right"/>
      </w:pPr>
      <w:r>
        <w:t>Potsdam, 24. Juni 2026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7597"/>
      </w:tblGrid>
      <w:tr>
        <w:tc>
          <w:tcPr>
            <w:tcW w:type="dxa" w:w="4705"/>
            <w:vAlign w:val="top"/>
            <w:tcBorders>
              <w:top w:val="single" w:sz="4" w:color="B7C4C8"/>
              <w:left w:val="single" w:sz="4" w:color="B7C4C8"/>
              <w:bottom w:val="single" w:sz="4" w:color="B7C4C8"/>
              <w:right w:val="single" w:sz="4" w:color="B7C4C8"/>
              <w:insideH w:val="single" w:sz="4" w:color="B7C4C8"/>
              <w:insideV w:val="single" w:sz="4" w:color="B7C4C8"/>
            </w:tcBorders>
          </w:tcPr>
          <w:p>
            <w:pPr>
              <w:spacing w:after="40"/>
            </w:pPr>
            <w:r>
              <w:rPr>
                <w:b/>
              </w:rPr>
              <w:t>Unser Zeichen</w:t>
            </w:r>
          </w:p>
        </w:tc>
        <w:tc>
          <w:tcPr>
            <w:tcW w:type="dxa" w:w="4705"/>
            <w:vAlign w:val="top"/>
            <w:tcBorders>
              <w:top w:val="single" w:sz="4" w:color="B7C4C8"/>
              <w:left w:val="single" w:sz="4" w:color="B7C4C8"/>
              <w:bottom w:val="single" w:sz="4" w:color="B7C4C8"/>
              <w:right w:val="single" w:sz="4" w:color="B7C4C8"/>
              <w:insideH w:val="single" w:sz="4" w:color="B7C4C8"/>
              <w:insideV w:val="single" w:sz="4" w:color="B7C4C8"/>
            </w:tcBorders>
          </w:tcPr>
          <w:p>
            <w:pPr>
              <w:spacing w:after="40"/>
            </w:pPr>
            <w:r>
              <w:t>AM-26/441</w:t>
            </w:r>
          </w:p>
        </w:tc>
      </w:tr>
      <w:tr>
        <w:tc>
          <w:tcPr>
            <w:tcW w:type="dxa" w:w="4705"/>
            <w:vAlign w:val="top"/>
            <w:tcBorders>
              <w:top w:val="single" w:sz="4" w:color="B7C4C8"/>
              <w:left w:val="single" w:sz="4" w:color="B7C4C8"/>
              <w:bottom w:val="single" w:sz="4" w:color="B7C4C8"/>
              <w:right w:val="single" w:sz="4" w:color="B7C4C8"/>
              <w:insideH w:val="single" w:sz="4" w:color="B7C4C8"/>
              <w:insideV w:val="single" w:sz="4" w:color="B7C4C8"/>
            </w:tcBorders>
          </w:tcPr>
          <w:p>
            <w:pPr>
              <w:spacing w:after="40"/>
            </w:pPr>
            <w:r>
              <w:rPr>
                <w:b/>
              </w:rPr>
              <w:t>Betreff</w:t>
            </w:r>
          </w:p>
        </w:tc>
        <w:tc>
          <w:tcPr>
            <w:tcW w:type="dxa" w:w="4705"/>
            <w:vAlign w:val="top"/>
            <w:tcBorders>
              <w:top w:val="single" w:sz="4" w:color="B7C4C8"/>
              <w:left w:val="single" w:sz="4" w:color="B7C4C8"/>
              <w:bottom w:val="single" w:sz="4" w:color="B7C4C8"/>
              <w:right w:val="single" w:sz="4" w:color="B7C4C8"/>
              <w:insideH w:val="single" w:sz="4" w:color="B7C4C8"/>
              <w:insideV w:val="single" w:sz="4" w:color="B7C4C8"/>
            </w:tcBorders>
          </w:tcPr>
          <w:p>
            <w:pPr>
              <w:spacing w:after="40"/>
            </w:pPr>
            <w:r>
              <w:t>Abrufe aus der HavelImmo-Datenbank und Nutzung von Maklerkontaktdaten</w:t>
            </w:r>
          </w:p>
        </w:tc>
      </w:tr>
    </w:tbl>
    <w:p/>
    <w:p>
      <w:r>
        <w:t>Sehr geehrte Damen und Herren,</w:t>
      </w:r>
    </w:p>
    <w:p>
      <w:pPr>
        <w:keepLines w:val="0"/>
      </w:pPr>
      <w:r>
        <w:t>unsere Mandantin hat zwischen dem 3. Mai und 17. Juni mehr als 4,8 Millionen automatisierte API-Aufrufe festgestellt. 31 Konten verwendeten das Client-Merkmal ql-fetch/4.8. Dieses Merkmal erscheint auch in öffentlich ausgelieferten Dateien Ihres Vergleichsdienstes. Die betroffenen Konten und Zeitstempel sind in der Anlage bezeichnet.</w:t>
      </w:r>
    </w:p>
    <w:p>
      <w:pPr>
        <w:keepLines w:val="0"/>
      </w:pPr>
      <w:r>
        <w:t>Zudem bestehen Anhaltspunkte dafür, dass am 12. Februar exportierte CRM-Daten bei Ihnen verwendet wurden. Wir bitten bis zum 29. Juni um Mitteilung, welche Objekt-, Preis-, Standort- und Kontaktdaten Sie seit dem 1. März von HavelImmo oder ehemaligen Beschäftigten erhalten, abgerufen oder importiert haben und auf welchen Systemen diese gespeichert sind.</w:t>
      </w:r>
    </w:p>
    <w:p>
      <w:pPr>
        <w:keepLines w:val="0"/>
      </w:pPr>
      <w:r>
        <w:t>Bitte bewahren Sie Gateway-Logs, Importjournale, Container-Images, Datenbank-Snapshots und Kommunikation zu ql-fetch unverändert auf. Die Mandantin verlangt zunächst eine nachvollziehbare Tatsachenauskunft und Sicherung der Belege. Ein Vorschlag für eine technische Bestandsaufnahme durch einen neutralen Sachverständigen kann kurzfristig abgestimmt werden.</w:t>
      </w:r>
    </w:p>
    <w:p>
      <w:r>
        <w:t>Mit freundlichen Grüßen</w:t>
      </w:r>
    </w:p>
    <w:p>
      <w:pPr>
        <w:spacing w:before="280"/>
      </w:pPr>
      <w:r>
        <w:t>Nele Eßwein</w:t>
        <w:br/>
        <w:t>Rechtsanwältin</w:t>
      </w:r>
    </w:p>
    <w:p>
      <w:pPr>
        <w:spacing w:before="240"/>
      </w:pPr>
      <w:r>
        <w:rPr>
          <w:b/>
        </w:rPr>
        <w:t>Anlagen</w:t>
      </w:r>
    </w:p>
    <w:p>
      <w:pPr>
        <w:pStyle w:val="ListNumber"/>
        <w:spacing w:after="40"/>
      </w:pPr>
      <w:r>
        <w:t>Konten- und Zeitstempelliste</w:t>
      </w:r>
    </w:p>
    <w:p>
      <w:pPr>
        <w:pStyle w:val="ListNumber"/>
        <w:spacing w:after="40"/>
      </w:pPr>
      <w:r>
        <w:t>Hashmanifest Gateway-Logs</w:t>
      </w:r>
    </w:p>
    <w:p>
      <w:pPr>
        <w:pStyle w:val="ListNumber"/>
        <w:spacing w:after="40"/>
      </w:pPr>
      <w:r>
        <w:t>Screenshots Client-Merkmal</w:t>
      </w:r>
    </w:p>
    <w:p>
      <w:pPr>
        <w:pStyle w:val="ListNumber"/>
        <w:spacing w:after="40"/>
      </w:pPr>
      <w:r>
        <w:t>Liste CRM-Felder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1219" w:bottom="964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4"/>
      </w:rPr>
      <w:t>KANZLEI AM ALTEN MARKT · Vorgang AM-26/441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386"/>
      <w:gridCol w:w="4025"/>
    </w:tblGrid>
    <w:tr>
      <w:tc>
        <w:tcPr>
          <w:tcW w:type="dxa" w:w="4706"/>
          <w:vAlign w:val="center"/>
          <w:tcBorders>
            <w:top w:val="single" w:sz="4" w:color="4E7B83"/>
            <w:left w:val="single" w:sz="4" w:color="4E7B83"/>
            <w:bottom w:val="single" w:sz="4" w:color="4E7B83"/>
            <w:right w:val="single" w:sz="4" w:color="4E7B83"/>
            <w:insideH w:val="single" w:sz="4" w:color="4E7B83"/>
            <w:insideV w:val="single" w:sz="4" w:color="4E7B83"/>
          </w:tcBorders>
        </w:tcPr>
        <w:p>
          <w:r>
            <w:rPr>
              <w:b/>
              <w:color w:val="144D59"/>
              <w:sz w:val="28"/>
            </w:rPr>
            <w:t>KANZLEI AM ALTEN MARKT</w:t>
          </w:r>
        </w:p>
      </w:tc>
      <w:tc>
        <w:tcPr>
          <w:tcW w:type="dxa" w:w="4706"/>
          <w:vAlign w:val="center"/>
          <w:tcBorders>
            <w:top w:val="single" w:sz="4" w:color="4E7B83"/>
            <w:left w:val="single" w:sz="4" w:color="4E7B83"/>
            <w:bottom w:val="single" w:sz="4" w:color="4E7B83"/>
            <w:right w:val="single" w:sz="4" w:color="4E7B83"/>
            <w:insideH w:val="single" w:sz="4" w:color="4E7B83"/>
            <w:insideV w:val="single" w:sz="4" w:color="4E7B83"/>
          </w:tcBorders>
        </w:tcPr>
        <w:p>
          <w:pPr>
            <w:jc w:val="right"/>
          </w:pPr>
          <w:r>
            <w:rPr>
              <w:sz w:val="15"/>
            </w:rPr>
            <w:t>Am Alten Markt 8, 14467 Potsdam</w:t>
            <w:br/>
            <w:t>Telefon 0331 771 188 · kanzlei@alter-markt.de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Abrufe aus der HavelImmo-Datenbank und Nutzung von Maklerkontaktdaten</dc:title>
  <dc:subject>AM-26/441</dc:subject>
  <dc:creator>KANZLEI AM ALTEN MARKT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