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 w:val="0"/>
          <w:i/>
          <w:color w:val="808080"/>
          <w:sz w:val="18"/>
        </w:rPr>
        <w:t>MWK/2024/SIL-001  |  STRENG VERTRAULICH</w:t>
      </w:r>
    </w:p>
    <w:p>
      <w:pPr>
        <w:pStyle w:val="Heading1"/>
      </w:pPr>
      <w:r>
        <w:rPr>
          <w:rFonts w:ascii="Calibri" w:hAnsi="Calibri"/>
          <w:sz w:val="28"/>
        </w:rPr>
        <w:t>Virtual Data Room — Index Phase 2</w:t>
      </w:r>
    </w:p>
    <w:p>
      <w:r>
        <w:rPr>
          <w:rFonts w:ascii="Calibri" w:hAnsi="Calibri"/>
          <w:b w:val="0"/>
          <w:i/>
          <w:sz w:val="20"/>
        </w:rPr>
        <w:t>Projekt Silberfalke  |  Zielgesellschaft: Solaris Industries AG  |  Stand: 28. November 2024</w:t>
      </w:r>
    </w:p>
    <w:p>
      <w:r>
        <w:rPr>
          <w:rFonts w:ascii="Calibri" w:hAnsi="Calibri"/>
          <w:b w:val="0"/>
          <w:i w:val="0"/>
          <w:sz w:val="20"/>
        </w:rPr>
        <w:t>Plattform: Intralinks VDRPro  |  Zugang: Eagle Capital Partners Deal Team + Berater</w:t>
      </w:r>
    </w:p>
    <w:p>
      <w:pPr>
        <w:spacing w:after="40"/>
        <w:pBdr>
          <w:bottom w:val="single" w:sz="6" w:space="1" w:color="4472C4"/>
        </w:pBdr>
      </w:pPr>
    </w:p>
    <w:p/>
    <w:p>
      <w:pPr>
        <w:pStyle w:val="Heading2"/>
      </w:pPr>
      <w:r>
        <w:rPr>
          <w:rFonts w:ascii="Calibri" w:hAnsi="Calibri"/>
          <w:sz w:val="24"/>
        </w:rPr>
        <w:t>Legende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Kürzel</w:t>
            </w:r>
          </w:p>
        </w:tc>
        <w:tc>
          <w:tcPr>
            <w:tcW w:type="dxa" w:w="4844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Bedeutung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CR</w:t>
            </w:r>
          </w:p>
        </w:tc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Nur im Clean Room verfügbar (separate Zugangsberechtigung erforderlich)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Dokument laut VDR-Index erwartet, aber nicht hochgeladen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UNVOLL.</w:t>
            </w:r>
          </w:p>
        </w:tc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Dokument hochgeladen, aber unvollständig (Anlagen fehlen o.ä.)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Dokument vollständig und geprüft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VERALTET</w:t>
            </w:r>
          </w:p>
        </w:tc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Ältere Version vorhanden; aktuelle Version fehlt</w:t>
            </w:r>
          </w:p>
        </w:tc>
      </w:tr>
    </w:tbl>
    <w:p/>
    <w:p>
      <w:pPr>
        <w:pStyle w:val="Heading2"/>
      </w:pPr>
      <w:r>
        <w:rPr>
          <w:rFonts w:ascii="Calibri" w:hAnsi="Calibri"/>
          <w:sz w:val="24"/>
        </w:rPr>
        <w:t>Kapitel 01 — Corporate / Gesellschaft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VDR-ID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Dokumenttitel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Gap-Ref.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HRB-Auszug Solaris Industries AG (2024)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Register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Gesellschafterliste 2022 (notariell)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Corporate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VERALTET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G-001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Satzung Solaris Industries AG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Corporate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AR-Protokoll Q3 2024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Corporate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UBO Stamm I Grünwald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Corporate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UBO Stamm II Grünwald-Konrad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Corporate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G-002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Ausgliederungsvertrag Service GmbH (Entwurf)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Corporate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G-005</w:t>
            </w:r>
          </w:p>
        </w:tc>
      </w:tr>
    </w:tbl>
    <w:p/>
    <w:p>
      <w:pPr>
        <w:pStyle w:val="Heading2"/>
      </w:pPr>
      <w:r>
        <w:rPr>
          <w:rFonts w:ascii="Calibri" w:hAnsi="Calibri"/>
          <w:sz w:val="24"/>
        </w:rPr>
        <w:t>Kapitel 02 — Finanzen / Jahresabschlüsse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VDR-ID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Dokumenttitel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Gap-Ref.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Jahresabschluss 2022 (geprüft)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Financial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Jahresabschluss 2021 (geprüft)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Financial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Jahresabschluss 2023 (geprüft)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Financial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G-006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BWA 2024 YTD (Jan–Sep)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Financial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Treasury Policy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Financial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sz w:val="24"/>
        </w:rPr>
        <w:t>Kapitel 03 — Commercial / Verträge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VDR-ID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Dokumenttitel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Gap-Ref.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Rahmenvertrag C-001 Kunde A (Head Sheet)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Commercial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UNVOLL.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G-003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Rahmenvertrag C-001 Kunde A (Anlagen)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Commercial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G-003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Rahmenvertrag C-002 Kunde B (komplett)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Commercial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Rahmenvertrag C-003 Kunde C (komplett)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Commercial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Kundenliste Top-20 (Excel)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Commercial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Mustervertrag S-Care Servicevertrag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Commercial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sz w:val="24"/>
        </w:rPr>
        <w:t>Kapitel 04 — Steuern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VDR-ID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Dokumenttitel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Gap-Ref.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Steuerbescheid 2022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Tax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Steuerbescheid 2023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Tax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G-010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Steuerbescheid 2020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Tax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G-010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Umwandlungsvertrag 2024 (Verschmelzung)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Tax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sz w:val="24"/>
        </w:rPr>
        <w:t>Kapitel 05 — Regulatory / Exportkontrolle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VDR-ID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Dokumenttitel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Gap-Ref.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23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Exportkontrollklassifizierung PDS-500 (CR)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Regulatory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 (CR)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BAFA-Voranfrage 2023 (CR)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Regulatory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 (CR)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Exportgenehmigung 2022 (CR)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Regulatory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 (CR)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G-008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BAFA-Gutachten Dual-Use 2024 (CR)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Regulatory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 (CR)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sz w:val="24"/>
        </w:rPr>
        <w:t>Kapitel 06 — Intellectual Property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VDR-ID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Dokumenttitel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Gap-Ref.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27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Patentliste DPMA (Excel, Stand 2024)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IP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Europäische Patente — Zertifikate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IP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29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IP-Abtretungsvertrag Grünwald 2018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IP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G-004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Markeneintragung PDS-GreenDrive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IP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31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Markeneintragung S-Care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IP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sz w:val="24"/>
        </w:rPr>
        <w:t>Kapitel 07 — Employment / Personal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VDR-ID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Dokumenttitel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Gap-Ref.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Organigramm 2024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G-018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33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Betriebsvereinbarung 1 (Arbeitszeit)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Betriebsvereinbarung 2 (Homeoffice)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35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Betriebsvereinbarung 3 (Entgelt)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36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Betriebsvereinbarungen 4–7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G-012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Anstellungsvertrag CEO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38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Anstellungsvertrag CFO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sz w:val="24"/>
        </w:rPr>
        <w:t>Gesamtübersicht Vollständigkeit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Kapitel</w:t>
            </w:r>
          </w:p>
        </w:tc>
        <w:tc>
          <w:tcPr>
            <w:tcW w:type="dxa" w:w="3230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Vollständigkeit (%)</w:t>
            </w:r>
          </w:p>
        </w:tc>
        <w:tc>
          <w:tcPr>
            <w:tcW w:type="dxa" w:w="3230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Kommentar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01 Corporate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60 %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Gesellschafterliste, UBO II, Ausgliederung fehlen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02 Financial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50 %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JA 2023 und Steuerbescheide fehlen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03 Commercial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75 %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Kunde A Anlagen unvollständig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04 Tax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70 %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Steuerbescheide 2020/2023 fehlen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05 Regulatory (inkl. CR)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55 %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Exportgenehmigungen fehlen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06 IP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40 %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IP-Abtretung 2018 kritisch fehlend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07 Employment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65 %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Betriebsvereinbarungen 4–7, Organigramm fehlen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GESAMT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ca. 63 %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Unzureichend für Binding Offer</w:t>
            </w:r>
          </w:p>
        </w:tc>
      </w:tr>
    </w:tbl>
    <w:p/>
    <w:p>
      <w:pPr>
        <w:spacing w:after="40"/>
        <w:pBdr>
          <w:bottom w:val="single" w:sz="6" w:space="1" w:color="4472C4"/>
        </w:pBdr>
      </w:pPr>
    </w:p>
    <w:p>
      <w:pPr>
        <w:ind w:left="567"/>
      </w:pPr>
      <w:r>
        <w:rPr>
          <w:rFonts w:ascii="Calibri" w:hAnsi="Calibri"/>
          <w:b w:val="0"/>
          <w:i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