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BUNDESMINISTERIUM FÜR ARBEIT UND SOZIALES · Wilhelmstraße 49, 10117 Berlin</w:t>
      </w:r>
    </w:p>
    <w:p>
      <w:pPr>
        <w:spacing w:after="280"/>
      </w:pPr>
      <w:r>
        <w:t>Zur Akte Z H 2 - 4418/2026</w:t>
      </w:r>
    </w:p>
    <w:p>
      <w:pPr>
        <w:spacing w:after="180"/>
        <w:jc w:val="right"/>
      </w:pPr>
      <w:r>
        <w:t>Berlin, 26. Juni 2026, 17:18 Uhr</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Bearbeiterin: Selma Mäßler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Vermerk zum Doppelimport des Länderabrufs Küstenmark Mai 2026</w:t>
            </w:r>
          </w:p>
        </w:tc>
      </w:tr>
    </w:tbl>
    <w:p/>
    <w:p>
      <w:r>
        <w:t>Ausgangslage</w:t>
      </w:r>
    </w:p>
    <w:p>
      <w:pPr>
        <w:keepLines w:val="0"/>
      </w:pPr>
      <w:r>
        <w:t>Die Datei KM_2026_05_v2.xml wurde am 21. Juni um 22:18 Uhr über die Austauschplattform eingelesen. Wegen einer Zeitüberschreitung zeigte das Fachverfahren keinen Abschlussstatus. Der Bereitschaftsdienst startete den Import am 22. Juni um 00:07 Uhr erneut. Beide Läufe erzeugten eine Mittelbindung über 97200000,00 Euro.</w:t>
      </w:r>
    </w:p>
    <w:p>
      <w:pPr>
        <w:keepLines w:val="0"/>
      </w:pPr>
      <w:r>
        <w:t>Am 26. Juni fiel die doppelte Bindung beim Abgleich mit der Tagesliste auf. Die Buchung mit Belegnummer L-2026-05-07-B wurde um 11:42 Uhr technisch storniert. Die ursprüngliche Bindung L-2026-05-07-A blieb bestehen. Die Stornierung ist keine Rückforderung gegenüber dem Land.</w:t>
      </w:r>
    </w:p>
    <w:p>
      <w:pPr>
        <w:keepLines w:val="0"/>
      </w:pPr>
      <w:r>
        <w:t>Unabhängig davon fehlen in der Überleitungsdatei 1843 Bedarfsgemeinschaften, die im Summenblatt enthalten sind. Das Land hat eine korrigierte Datei bis zum 6. Juli angekündigt. Der Prüfstatus des Betrags bleibt deshalb offen.</w:t>
      </w:r>
    </w:p>
    <w:p>
      <w:r>
        <w:t>Mit freundlichen Grüßen</w:t>
      </w:r>
    </w:p>
    <w:p>
      <w:pPr>
        <w:spacing w:before="280"/>
      </w:pPr>
      <w:r>
        <w:t>Selma Mäßler</w:t>
        <w:br/>
        <w:t>Regierungsdirektorin</w:t>
      </w:r>
    </w:p>
    <w:p>
      <w:pPr>
        <w:spacing w:before="240"/>
      </w:pPr>
      <w:r>
        <w:rPr>
          <w:b/>
        </w:rPr>
        <w:t>Anlagen</w:t>
      </w:r>
    </w:p>
    <w:p>
      <w:pPr>
        <w:pStyle w:val="ListNumber"/>
        <w:spacing w:after="40"/>
      </w:pPr>
      <w:r>
        <w:t>Importprotokolle 21. und 22. Juni</w:t>
      </w:r>
    </w:p>
    <w:p>
      <w:pPr>
        <w:pStyle w:val="ListNumber"/>
        <w:spacing w:after="40"/>
      </w:pPr>
      <w:r>
        <w:t>Stornobeleg 26. Juni</w:t>
      </w:r>
    </w:p>
    <w:p>
      <w:pPr>
        <w:pStyle w:val="ListNumber"/>
        <w:spacing w:after="40"/>
      </w:pPr>
      <w:r>
        <w:t>Summenblatt Küstenmark</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BUNDESMINISTERIUM FÜR ARBEIT UND SOZIALES · Vorgang Bearbeiterin: Selma Mäßler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BUNDESMINISTERIUM FÜR ARBEIT UND SOZIALES</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Wilhelmstraße 49, 10117 Berlin</w:t>
            <w:br/>
            <w:t>Haushaltsreferat Z H 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zum Doppelimport des Länderabrufs Küstenmark Mai 2026</dc:title>
  <dc:subject>Bearbeiterin: Selma Mäßler</dc:subject>
  <dc:creator>BUNDESMINISTERIUM FÜR ARBEIT UND SOZIALES</dc:creator>
  <cp:keywords/>
  <dc:description>generated by python-docx</dc:description>
  <cp:lastModifiedBy/>
  <cp:revision>1</cp:revision>
  <dcterms:created xsi:type="dcterms:W3CDTF">2013-12-23T23:15:00Z</dcterms:created>
  <dcterms:modified xsi:type="dcterms:W3CDTF">2013-12-23T23:15:00Z</dcterms:modified>
  <cp:category/>
</cp:coreProperties>
</file>